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8502" w14:textId="3CE453E7" w:rsidR="00B15AD0" w:rsidRDefault="00A1091B" w:rsidP="00B15AD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AUTONOMIA PRIV</w:t>
      </w:r>
      <w:r w:rsidR="00CE7C6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 E DIREITO DE FAMÍLIA. </w:t>
      </w:r>
    </w:p>
    <w:p w14:paraId="6D2FC824" w14:textId="2AF8E42D" w:rsidR="00A1091B" w:rsidRPr="00B15AD0" w:rsidRDefault="00A1091B" w:rsidP="00B15AD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ALGUMAS REFLEXÕES ATUAIS. </w:t>
      </w:r>
    </w:p>
    <w:p w14:paraId="3059F6D7" w14:textId="77777777" w:rsidR="00B15AD0" w:rsidRPr="00B15AD0" w:rsidRDefault="00B15AD0" w:rsidP="00B15AD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F5533" w14:textId="2CA78663" w:rsidR="00B15AD0" w:rsidRPr="00B15AD0" w:rsidRDefault="00B15AD0" w:rsidP="00B15AD0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11756" w14:textId="77777777" w:rsidR="001A3BB7" w:rsidRDefault="001A3BB7" w:rsidP="00B15AD0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436C2" w14:textId="4AA0015D" w:rsidR="00B15AD0" w:rsidRPr="00B15AD0" w:rsidRDefault="00B15AD0" w:rsidP="00B15AD0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15AD0">
        <w:rPr>
          <w:rFonts w:ascii="Times New Roman" w:hAnsi="Times New Roman" w:cs="Times New Roman"/>
          <w:b/>
          <w:bCs/>
          <w:sz w:val="24"/>
          <w:szCs w:val="24"/>
        </w:rPr>
        <w:t>Flávio Tartuce</w:t>
      </w:r>
      <w:r w:rsidRPr="00B15A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</w:p>
    <w:p w14:paraId="330C3AF5" w14:textId="418B3BE9" w:rsidR="00EC15F6" w:rsidRPr="00416565" w:rsidRDefault="00EC15F6" w:rsidP="00A1091B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0550013B" w14:textId="0DF3F0AA" w:rsidR="00C92E87" w:rsidRDefault="00A1091B" w:rsidP="00C92E87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aplicações da autonomia privada ao Direito de Família estão novamente no cerne do debate </w:t>
      </w:r>
      <w:r w:rsidR="00C92E87">
        <w:rPr>
          <w:rFonts w:ascii="Times New Roman" w:hAnsi="Times New Roman" w:cs="Times New Roman"/>
          <w:sz w:val="24"/>
          <w:szCs w:val="24"/>
        </w:rPr>
        <w:t>n</w:t>
      </w:r>
      <w:r w:rsidR="00961295">
        <w:rPr>
          <w:rFonts w:ascii="Times New Roman" w:hAnsi="Times New Roman" w:cs="Times New Roman"/>
          <w:sz w:val="24"/>
          <w:szCs w:val="24"/>
        </w:rPr>
        <w:t>este</w:t>
      </w:r>
      <w:r w:rsidR="00C92E87">
        <w:rPr>
          <w:rFonts w:ascii="Times New Roman" w:hAnsi="Times New Roman" w:cs="Times New Roman"/>
          <w:sz w:val="24"/>
          <w:szCs w:val="24"/>
        </w:rPr>
        <w:t xml:space="preserve"> momento</w:t>
      </w:r>
      <w:r>
        <w:rPr>
          <w:rFonts w:ascii="Times New Roman" w:hAnsi="Times New Roman" w:cs="Times New Roman"/>
          <w:sz w:val="24"/>
          <w:szCs w:val="24"/>
        </w:rPr>
        <w:t xml:space="preserve">, o que </w:t>
      </w:r>
      <w:r w:rsidR="00C92E87">
        <w:rPr>
          <w:rFonts w:ascii="Times New Roman" w:hAnsi="Times New Roman" w:cs="Times New Roman"/>
          <w:sz w:val="24"/>
          <w:szCs w:val="24"/>
        </w:rPr>
        <w:t xml:space="preserve">tem relação direta com </w:t>
      </w:r>
      <w:r>
        <w:rPr>
          <w:rFonts w:ascii="Times New Roman" w:hAnsi="Times New Roman" w:cs="Times New Roman"/>
          <w:sz w:val="24"/>
          <w:szCs w:val="24"/>
        </w:rPr>
        <w:t xml:space="preserve">uma tendência </w:t>
      </w:r>
      <w:r w:rsidR="00C92E87">
        <w:rPr>
          <w:rFonts w:ascii="Times New Roman" w:hAnsi="Times New Roman" w:cs="Times New Roman"/>
          <w:sz w:val="24"/>
          <w:szCs w:val="24"/>
        </w:rPr>
        <w:t xml:space="preserve">percebida nos últimos anos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6129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contratualização</w:t>
      </w:r>
      <w:r w:rsidR="0096129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da matéria. Como já desenvolvi em textos anteriores, a </w:t>
      </w:r>
      <w:r w:rsidR="00961295">
        <w:rPr>
          <w:rFonts w:ascii="Times New Roman" w:hAnsi="Times New Roman" w:cs="Times New Roman"/>
          <w:sz w:val="24"/>
          <w:szCs w:val="24"/>
        </w:rPr>
        <w:t xml:space="preserve">sua </w:t>
      </w:r>
      <w:r>
        <w:rPr>
          <w:rFonts w:ascii="Times New Roman" w:hAnsi="Times New Roman" w:cs="Times New Roman"/>
          <w:sz w:val="24"/>
          <w:szCs w:val="24"/>
        </w:rPr>
        <w:t xml:space="preserve">viabilidade foi analisada, em território brasileiro, no ano de 2014, quando da realização, na cidade do Recife, </w:t>
      </w:r>
      <w:r w:rsidRPr="00A1091B">
        <w:rPr>
          <w:rFonts w:ascii="Times New Roman" w:hAnsi="Times New Roman" w:cs="Times New Roman"/>
          <w:sz w:val="24"/>
          <w:szCs w:val="24"/>
        </w:rPr>
        <w:t xml:space="preserve">da </w:t>
      </w:r>
      <w:r w:rsidRPr="00012D24">
        <w:rPr>
          <w:rFonts w:ascii="Times New Roman" w:hAnsi="Times New Roman" w:cs="Times New Roman"/>
          <w:i/>
          <w:sz w:val="24"/>
          <w:szCs w:val="24"/>
        </w:rPr>
        <w:t>XV Conferência Mundial da International Society of Family Law</w:t>
      </w:r>
      <w:r w:rsidR="00C92E87" w:rsidRPr="00012D24">
        <w:rPr>
          <w:rFonts w:ascii="Times New Roman" w:hAnsi="Times New Roman" w:cs="Times New Roman"/>
          <w:i/>
          <w:sz w:val="24"/>
          <w:szCs w:val="24"/>
        </w:rPr>
        <w:t xml:space="preserve"> (ISFL</w:t>
      </w:r>
      <w:r w:rsidR="00C92E87" w:rsidRPr="00012D24">
        <w:rPr>
          <w:rFonts w:ascii="Times New Roman" w:hAnsi="Times New Roman" w:cs="Times New Roman"/>
          <w:sz w:val="24"/>
          <w:szCs w:val="24"/>
        </w:rPr>
        <w:t>)</w:t>
      </w:r>
      <w:r w:rsidR="00C92E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47016">
        <w:rPr>
          <w:rFonts w:ascii="Times New Roman" w:hAnsi="Times New Roman" w:cs="Times New Roman"/>
          <w:sz w:val="24"/>
          <w:szCs w:val="24"/>
        </w:rPr>
        <w:t xml:space="preserve">Nesse </w:t>
      </w:r>
      <w:r w:rsidR="00C92E87">
        <w:rPr>
          <w:rFonts w:ascii="Times New Roman" w:hAnsi="Times New Roman" w:cs="Times New Roman"/>
          <w:sz w:val="24"/>
          <w:szCs w:val="24"/>
        </w:rPr>
        <w:t xml:space="preserve">evento, </w:t>
      </w:r>
      <w:r>
        <w:rPr>
          <w:rFonts w:ascii="Times New Roman" w:hAnsi="Times New Roman" w:cs="Times New Roman"/>
          <w:sz w:val="24"/>
          <w:szCs w:val="24"/>
        </w:rPr>
        <w:t xml:space="preserve">houve um histórico </w:t>
      </w:r>
      <w:r w:rsidR="00961295">
        <w:rPr>
          <w:rFonts w:ascii="Times New Roman" w:hAnsi="Times New Roman" w:cs="Times New Roman"/>
          <w:sz w:val="24"/>
          <w:szCs w:val="24"/>
        </w:rPr>
        <w:t xml:space="preserve">e marcante </w:t>
      </w:r>
      <w:r w:rsidRPr="00A1091B">
        <w:rPr>
          <w:rFonts w:ascii="Times New Roman" w:hAnsi="Times New Roman" w:cs="Times New Roman"/>
          <w:sz w:val="24"/>
          <w:szCs w:val="24"/>
        </w:rPr>
        <w:t xml:space="preserve">painel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1091B">
        <w:rPr>
          <w:rFonts w:ascii="Times New Roman" w:hAnsi="Times New Roman" w:cs="Times New Roman"/>
          <w:sz w:val="24"/>
          <w:szCs w:val="24"/>
        </w:rPr>
        <w:t xml:space="preserve">o qual participaram os professores Frederik Swennen e Elisabeth Alofs, da Bélgica. </w:t>
      </w:r>
    </w:p>
    <w:p w14:paraId="633E9F57" w14:textId="07519D25" w:rsidR="00C92E87" w:rsidRDefault="00A1091B" w:rsidP="00C92E87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1091B">
        <w:rPr>
          <w:rFonts w:ascii="Times New Roman" w:hAnsi="Times New Roman" w:cs="Times New Roman"/>
          <w:sz w:val="24"/>
          <w:szCs w:val="24"/>
        </w:rPr>
        <w:t xml:space="preserve">O primeiro </w:t>
      </w:r>
      <w:r>
        <w:rPr>
          <w:rFonts w:ascii="Times New Roman" w:hAnsi="Times New Roman" w:cs="Times New Roman"/>
          <w:sz w:val="24"/>
          <w:szCs w:val="24"/>
        </w:rPr>
        <w:t xml:space="preserve">jurista </w:t>
      </w:r>
      <w:r w:rsidRPr="00A1091B">
        <w:rPr>
          <w:rFonts w:ascii="Times New Roman" w:hAnsi="Times New Roman" w:cs="Times New Roman"/>
          <w:sz w:val="24"/>
          <w:szCs w:val="24"/>
        </w:rPr>
        <w:t>defend</w:t>
      </w:r>
      <w:r>
        <w:rPr>
          <w:rFonts w:ascii="Times New Roman" w:hAnsi="Times New Roman" w:cs="Times New Roman"/>
          <w:sz w:val="24"/>
          <w:szCs w:val="24"/>
        </w:rPr>
        <w:t>eu</w:t>
      </w:r>
      <w:r w:rsidRPr="00A1091B">
        <w:rPr>
          <w:rFonts w:ascii="Times New Roman" w:hAnsi="Times New Roman" w:cs="Times New Roman"/>
          <w:sz w:val="24"/>
          <w:szCs w:val="24"/>
        </w:rPr>
        <w:t xml:space="preserve"> a premissa da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091B">
        <w:rPr>
          <w:rFonts w:ascii="Times New Roman" w:hAnsi="Times New Roman" w:cs="Times New Roman"/>
          <w:sz w:val="24"/>
          <w:szCs w:val="24"/>
        </w:rPr>
        <w:t>contratualização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091B">
        <w:rPr>
          <w:rFonts w:ascii="Times New Roman" w:hAnsi="Times New Roman" w:cs="Times New Roman"/>
          <w:sz w:val="24"/>
          <w:szCs w:val="24"/>
        </w:rPr>
        <w:t xml:space="preserve"> e a segunda 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091B">
        <w:rPr>
          <w:rFonts w:ascii="Times New Roman" w:hAnsi="Times New Roman" w:cs="Times New Roman"/>
          <w:sz w:val="24"/>
          <w:szCs w:val="24"/>
        </w:rPr>
        <w:t>descontratualização</w:t>
      </w:r>
      <w:r>
        <w:rPr>
          <w:rFonts w:ascii="Times New Roman" w:hAnsi="Times New Roman" w:cs="Times New Roman"/>
          <w:sz w:val="24"/>
          <w:szCs w:val="24"/>
        </w:rPr>
        <w:t xml:space="preserve">”, em um raro debate de visões antagônicas e de </w:t>
      </w:r>
      <w:r w:rsidR="00961295">
        <w:rPr>
          <w:rFonts w:ascii="Times New Roman" w:hAnsi="Times New Roman" w:cs="Times New Roman"/>
          <w:sz w:val="24"/>
          <w:szCs w:val="24"/>
        </w:rPr>
        <w:t xml:space="preserve">profundos </w:t>
      </w:r>
      <w:r>
        <w:rPr>
          <w:rFonts w:ascii="Times New Roman" w:hAnsi="Times New Roman" w:cs="Times New Roman"/>
          <w:sz w:val="24"/>
          <w:szCs w:val="24"/>
        </w:rPr>
        <w:t>contraponto</w:t>
      </w:r>
      <w:r w:rsidR="009612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doutrinário</w:t>
      </w:r>
      <w:r w:rsidR="009612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E87">
        <w:rPr>
          <w:rFonts w:ascii="Times New Roman" w:hAnsi="Times New Roman" w:cs="Times New Roman"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 xml:space="preserve">no Brasil. Ali se comparou a autonomia privada a um </w:t>
      </w:r>
      <w:r w:rsidRPr="001A3BB7">
        <w:rPr>
          <w:rFonts w:ascii="Times New Roman" w:hAnsi="Times New Roman" w:cs="Times New Roman"/>
          <w:i/>
          <w:iCs/>
          <w:sz w:val="24"/>
          <w:szCs w:val="24"/>
        </w:rPr>
        <w:t>pêndulo</w:t>
      </w:r>
      <w:r>
        <w:rPr>
          <w:rFonts w:ascii="Times New Roman" w:hAnsi="Times New Roman" w:cs="Times New Roman"/>
          <w:sz w:val="24"/>
          <w:szCs w:val="24"/>
        </w:rPr>
        <w:t xml:space="preserve"> e o professor Swenne</w:t>
      </w:r>
      <w:r w:rsidR="00C92E8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demonstrou como ele poderia ser mais pesado no âmbito do Direito de Família. Esse </w:t>
      </w:r>
      <w:r w:rsidRPr="001A3BB7">
        <w:rPr>
          <w:rFonts w:ascii="Times New Roman" w:hAnsi="Times New Roman" w:cs="Times New Roman"/>
          <w:i/>
          <w:iCs/>
          <w:sz w:val="24"/>
          <w:szCs w:val="24"/>
        </w:rPr>
        <w:t>peso</w:t>
      </w:r>
      <w:r>
        <w:rPr>
          <w:rFonts w:ascii="Times New Roman" w:hAnsi="Times New Roman" w:cs="Times New Roman"/>
          <w:sz w:val="24"/>
          <w:szCs w:val="24"/>
        </w:rPr>
        <w:t xml:space="preserve"> se dá justamente pelo fato de existirem muitas normas cogentes ou de ordem pública no âmbito do Direito de Família</w:t>
      </w:r>
      <w:r w:rsidR="00C92E87">
        <w:rPr>
          <w:rFonts w:ascii="Times New Roman" w:hAnsi="Times New Roman" w:cs="Times New Roman"/>
          <w:sz w:val="24"/>
          <w:szCs w:val="24"/>
        </w:rPr>
        <w:t>, a limitarem a liberdade manifestada nos pactos firmados nesse campo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2E87">
        <w:rPr>
          <w:rFonts w:ascii="Times New Roman" w:hAnsi="Times New Roman" w:cs="Times New Roman"/>
          <w:sz w:val="24"/>
          <w:szCs w:val="24"/>
        </w:rPr>
        <w:t xml:space="preserve">Justamente pela presença de um </w:t>
      </w:r>
      <w:r w:rsidR="00C92E87" w:rsidRPr="001A3BB7">
        <w:rPr>
          <w:rFonts w:ascii="Times New Roman" w:hAnsi="Times New Roman" w:cs="Times New Roman"/>
          <w:i/>
          <w:iCs/>
          <w:sz w:val="24"/>
          <w:szCs w:val="24"/>
        </w:rPr>
        <w:t>peso maior</w:t>
      </w:r>
      <w:r w:rsidR="00C92E87">
        <w:rPr>
          <w:rFonts w:ascii="Times New Roman" w:hAnsi="Times New Roman" w:cs="Times New Roman"/>
          <w:sz w:val="24"/>
          <w:szCs w:val="24"/>
        </w:rPr>
        <w:t>, muitos têm defendido a “contratualização” como uma</w:t>
      </w:r>
      <w:r w:rsidR="00961295">
        <w:rPr>
          <w:rFonts w:ascii="Times New Roman" w:hAnsi="Times New Roman" w:cs="Times New Roman"/>
          <w:sz w:val="24"/>
          <w:szCs w:val="24"/>
        </w:rPr>
        <w:t xml:space="preserve"> suposta</w:t>
      </w:r>
      <w:r w:rsidR="00C92E87">
        <w:rPr>
          <w:rFonts w:ascii="Times New Roman" w:hAnsi="Times New Roman" w:cs="Times New Roman"/>
          <w:sz w:val="24"/>
          <w:szCs w:val="24"/>
        </w:rPr>
        <w:t xml:space="preserve"> </w:t>
      </w:r>
      <w:r w:rsidR="00C92E87" w:rsidRPr="001A3BB7">
        <w:rPr>
          <w:rFonts w:ascii="Times New Roman" w:hAnsi="Times New Roman" w:cs="Times New Roman"/>
          <w:i/>
          <w:iCs/>
          <w:sz w:val="24"/>
          <w:szCs w:val="24"/>
        </w:rPr>
        <w:t>fuga</w:t>
      </w:r>
      <w:r w:rsidR="00C92E87">
        <w:rPr>
          <w:rFonts w:ascii="Times New Roman" w:hAnsi="Times New Roman" w:cs="Times New Roman"/>
          <w:sz w:val="24"/>
          <w:szCs w:val="24"/>
        </w:rPr>
        <w:t xml:space="preserve"> </w:t>
      </w:r>
      <w:r w:rsidR="00961295">
        <w:rPr>
          <w:rFonts w:ascii="Times New Roman" w:hAnsi="Times New Roman" w:cs="Times New Roman"/>
          <w:sz w:val="24"/>
          <w:szCs w:val="24"/>
        </w:rPr>
        <w:t>dessa</w:t>
      </w:r>
      <w:r w:rsidR="00C92E87">
        <w:rPr>
          <w:rFonts w:ascii="Times New Roman" w:hAnsi="Times New Roman" w:cs="Times New Roman"/>
          <w:sz w:val="24"/>
          <w:szCs w:val="24"/>
        </w:rPr>
        <w:t xml:space="preserve"> intervenção, o que acaba sendo um engano. </w:t>
      </w:r>
    </w:p>
    <w:p w14:paraId="7B0BC06C" w14:textId="6F296078" w:rsidR="00C92E87" w:rsidRPr="00C92E87" w:rsidRDefault="00C92E87" w:rsidP="00C92E87">
      <w:pPr>
        <w:spacing w:before="120" w:after="120" w:line="360" w:lineRule="auto"/>
        <w:ind w:firstLine="1701"/>
        <w:jc w:val="both"/>
        <w:rPr>
          <w:rStyle w:val="elevado"/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 xml:space="preserve">Sobre a definição do que seja a autonomia privada, essa pode ser conceituada como a liberdade de autorregulamentação negocial, ou seja, a liberdade que a pessoa tem de regular </w:t>
      </w:r>
      <w:r w:rsidRPr="00C92E87">
        <w:rPr>
          <w:rFonts w:ascii="Times New Roman" w:hAnsi="Times New Roman" w:cs="Times New Roman"/>
          <w:sz w:val="24"/>
          <w:szCs w:val="24"/>
        </w:rPr>
        <w:t xml:space="preserve">os seus próprios interesses. Nos dizeres de Francisco Amaral, que </w:t>
      </w:r>
      <w:r w:rsidRPr="00C92E87">
        <w:rPr>
          <w:rFonts w:ascii="Times New Roman" w:hAnsi="Times New Roman" w:cs="Times New Roman"/>
          <w:sz w:val="24"/>
          <w:szCs w:val="24"/>
        </w:rPr>
        <w:lastRenderedPageBreak/>
        <w:t xml:space="preserve">muito me influenciou, </w:t>
      </w:r>
      <w:r w:rsidRPr="00C92E87">
        <w:rPr>
          <w:rFonts w:ascii="Times New Roman" w:hAnsi="Times New Roman" w:cs="Times New Roman"/>
          <w:sz w:val="24"/>
          <w:szCs w:val="24"/>
          <w:lang w:val="pt-PT"/>
        </w:rPr>
        <w:t>“</w:t>
      </w: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C92E87">
        <w:rPr>
          <w:rFonts w:ascii="Times New Roman" w:hAnsi="Times New Roman" w:cs="Times New Roman"/>
          <w:sz w:val="24"/>
          <w:szCs w:val="24"/>
          <w:lang w:val="pt-PT"/>
        </w:rPr>
        <w:t xml:space="preserve"> autonomia privada é o poder que os particulares têm de regular, pelo exercício de sua própria vontade, as relações que participam, estabelecendo-lhe o conteúdo e a respectiva disciplina jurídica. Sinônimo de autonomia da vontade para</w:t>
      </w:r>
      <w:r w:rsidRPr="00C92E87">
        <w:rPr>
          <w:rStyle w:val="italico"/>
          <w:rFonts w:ascii="Times New Roman" w:hAnsi="Times New Roman" w:cs="Times New Roman"/>
          <w:iCs/>
          <w:sz w:val="24"/>
          <w:szCs w:val="24"/>
          <w:lang w:val="pt-PT"/>
        </w:rPr>
        <w:t xml:space="preserve"> </w:t>
      </w:r>
      <w:r w:rsidRPr="00C92E87">
        <w:rPr>
          <w:rFonts w:ascii="Times New Roman" w:hAnsi="Times New Roman" w:cs="Times New Roman"/>
          <w:sz w:val="24"/>
          <w:szCs w:val="24"/>
          <w:lang w:val="pt-PT"/>
        </w:rPr>
        <w:t>grande parte</w:t>
      </w:r>
      <w:r w:rsidRPr="00C92E87">
        <w:rPr>
          <w:rStyle w:val="italico"/>
          <w:rFonts w:ascii="Times New Roman" w:hAnsi="Times New Roman" w:cs="Times New Roman"/>
          <w:iCs/>
          <w:sz w:val="24"/>
          <w:szCs w:val="24"/>
          <w:lang w:val="pt-PT"/>
        </w:rPr>
        <w:t xml:space="preserve"> </w:t>
      </w:r>
      <w:r w:rsidRPr="00C92E87">
        <w:rPr>
          <w:rFonts w:ascii="Times New Roman" w:hAnsi="Times New Roman" w:cs="Times New Roman"/>
          <w:sz w:val="24"/>
          <w:szCs w:val="24"/>
          <w:lang w:val="pt-PT"/>
        </w:rPr>
        <w:t>da doutrina contemporânea, com ela porém não se confunde, existindo entre ambas sensível diferença. A expressão ‘autonomia da vontade’ tem uma conotação subjetiva, psicológica, enquanto a autonomia privada marca o poder da vontade no direito de um modo objetivo, concreto e real”</w:t>
      </w:r>
      <w:r w:rsidR="00C55F21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1A3BB7">
        <w:rPr>
          <w:rFonts w:ascii="Times New Roman" w:hAnsi="Times New Roman" w:cs="Times New Roman"/>
          <w:sz w:val="24"/>
          <w:szCs w:val="24"/>
          <w:lang w:val="pt-PT"/>
        </w:rPr>
        <w:t xml:space="preserve">AMARAL, Francisco. </w:t>
      </w:r>
      <w:r w:rsidR="00C55F21" w:rsidRPr="00C55F21">
        <w:rPr>
          <w:rFonts w:ascii="Times New Roman" w:hAnsi="Times New Roman" w:cs="Times New Roman"/>
          <w:i/>
          <w:iCs/>
          <w:sz w:val="24"/>
          <w:szCs w:val="24"/>
          <w:lang w:val="pt-PT"/>
        </w:rPr>
        <w:t>Direito</w:t>
      </w:r>
      <w:r w:rsidR="00C55F21" w:rsidRPr="00C55F2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55F21" w:rsidRPr="00C55F21">
        <w:rPr>
          <w:rFonts w:ascii="Times New Roman" w:hAnsi="Times New Roman" w:cs="Times New Roman"/>
          <w:i/>
          <w:iCs/>
          <w:sz w:val="24"/>
          <w:szCs w:val="24"/>
          <w:lang w:val="pt-PT"/>
        </w:rPr>
        <w:t>Civil</w:t>
      </w:r>
      <w:r w:rsidR="00C55F21" w:rsidRPr="00C55F21">
        <w:rPr>
          <w:rFonts w:ascii="Times New Roman" w:hAnsi="Times New Roman" w:cs="Times New Roman"/>
          <w:sz w:val="24"/>
          <w:szCs w:val="24"/>
          <w:lang w:val="pt-PT"/>
        </w:rPr>
        <w:t xml:space="preserve">. Introdução. Rio de Janeiro: </w:t>
      </w:r>
      <w:r w:rsidR="00C55F21">
        <w:rPr>
          <w:rFonts w:ascii="Times New Roman" w:hAnsi="Times New Roman" w:cs="Times New Roman"/>
          <w:sz w:val="24"/>
          <w:szCs w:val="24"/>
          <w:lang w:val="pt-PT"/>
        </w:rPr>
        <w:t xml:space="preserve">5ª Edição, </w:t>
      </w:r>
      <w:r w:rsidR="00C55F21" w:rsidRPr="00C55F21">
        <w:rPr>
          <w:rFonts w:ascii="Times New Roman" w:hAnsi="Times New Roman" w:cs="Times New Roman"/>
          <w:sz w:val="24"/>
          <w:szCs w:val="24"/>
          <w:lang w:val="pt-PT"/>
        </w:rPr>
        <w:t>Renovar, 2003</w:t>
      </w:r>
      <w:r w:rsidR="00C55F21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C55F21" w:rsidRPr="00C55F21">
        <w:rPr>
          <w:rFonts w:ascii="Times New Roman" w:hAnsi="Times New Roman" w:cs="Times New Roman"/>
          <w:sz w:val="24"/>
          <w:szCs w:val="24"/>
          <w:lang w:val="pt-PT"/>
        </w:rPr>
        <w:t>p. 347-348</w:t>
      </w:r>
      <w:r w:rsidR="00C55F21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C55F21" w:rsidRPr="00C55F2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63BF49E8" w14:textId="4A0A4825" w:rsidR="00C55F21" w:rsidRDefault="00C92E87" w:rsidP="00C55F21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Ademais, a </w:t>
      </w:r>
      <w:r w:rsidRPr="00C92E87">
        <w:rPr>
          <w:rFonts w:ascii="Times New Roman" w:hAnsi="Times New Roman" w:cs="Times New Roman"/>
          <w:i/>
          <w:iCs/>
          <w:sz w:val="24"/>
          <w:szCs w:val="24"/>
        </w:rPr>
        <w:t>autonomia privada</w:t>
      </w:r>
      <w:r>
        <w:rPr>
          <w:rFonts w:ascii="Times New Roman" w:hAnsi="Times New Roman" w:cs="Times New Roman"/>
          <w:sz w:val="24"/>
          <w:szCs w:val="24"/>
        </w:rPr>
        <w:t xml:space="preserve"> – ao contrário da expressão </w:t>
      </w:r>
      <w:r w:rsidRPr="00C92E87">
        <w:rPr>
          <w:rFonts w:ascii="Times New Roman" w:hAnsi="Times New Roman" w:cs="Times New Roman"/>
          <w:i/>
          <w:iCs/>
          <w:sz w:val="24"/>
          <w:szCs w:val="24"/>
        </w:rPr>
        <w:t>autonomia da vontade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F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traz em seu conteúdo a necessidade imperiosa de respeito e de observância a normas de ordem pública e a outros princípios contratuais, como são, no caso do Código Civil Brasileiro, a função social do contrato (art. 421) e a boa-fé objetiva (art. 422).</w:t>
      </w:r>
    </w:p>
    <w:p w14:paraId="40024E4B" w14:textId="1ED292EB" w:rsidR="00C55F21" w:rsidRPr="00A1091B" w:rsidRDefault="00C92E87" w:rsidP="00C55F21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Direito Italiano, isso foi </w:t>
      </w:r>
      <w:r w:rsidR="00C55F21">
        <w:rPr>
          <w:rFonts w:ascii="Times New Roman" w:hAnsi="Times New Roman" w:cs="Times New Roman"/>
          <w:sz w:val="24"/>
          <w:szCs w:val="24"/>
        </w:rPr>
        <w:t xml:space="preserve">muito bem </w:t>
      </w:r>
      <w:r>
        <w:rPr>
          <w:rFonts w:ascii="Times New Roman" w:hAnsi="Times New Roman" w:cs="Times New Roman"/>
          <w:sz w:val="24"/>
          <w:szCs w:val="24"/>
        </w:rPr>
        <w:t xml:space="preserve">observado por Enzo Roppo, doutrinador cujo referencial a mim é conhecido, o que fez com que eu até o homenageasse dando o seu nome a um dos meus filhos. </w:t>
      </w:r>
      <w:r w:rsidR="00C55F21">
        <w:rPr>
          <w:rFonts w:ascii="Times New Roman" w:hAnsi="Times New Roman" w:cs="Times New Roman"/>
          <w:sz w:val="24"/>
          <w:szCs w:val="24"/>
        </w:rPr>
        <w:t>Segundo ele, “</w:t>
      </w:r>
      <w:r w:rsidR="00C55F21" w:rsidRPr="00A1091B">
        <w:rPr>
          <w:rFonts w:ascii="Times New Roman" w:hAnsi="Times New Roman" w:cs="Times New Roman"/>
          <w:sz w:val="24"/>
          <w:szCs w:val="24"/>
        </w:rPr>
        <w:t xml:space="preserve">a autonomia e a liberdade dos sujeitos privados em relação à escolha do tipo contratual, embora afirmada, em linha de princípio, pelo art. </w:t>
      </w:r>
      <w:proofErr w:type="gramStart"/>
      <w:r w:rsidR="00C55F21" w:rsidRPr="00A1091B">
        <w:rPr>
          <w:rFonts w:ascii="Times New Roman" w:hAnsi="Times New Roman" w:cs="Times New Roman"/>
          <w:sz w:val="24"/>
          <w:szCs w:val="24"/>
        </w:rPr>
        <w:t>1.322.º</w:t>
      </w:r>
      <w:proofErr w:type="gramEnd"/>
      <w:r w:rsidR="00C55F21" w:rsidRPr="00A1091B">
        <w:rPr>
          <w:rFonts w:ascii="Times New Roman" w:hAnsi="Times New Roman" w:cs="Times New Roman"/>
          <w:sz w:val="24"/>
          <w:szCs w:val="24"/>
        </w:rPr>
        <w:t xml:space="preserve"> c. 2 Cód. </w:t>
      </w:r>
      <w:proofErr w:type="spellStart"/>
      <w:r w:rsidR="00C55F21" w:rsidRPr="00A1091B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="00C55F21" w:rsidRPr="00A1091B">
        <w:rPr>
          <w:rFonts w:ascii="Times New Roman" w:hAnsi="Times New Roman" w:cs="Times New Roman"/>
          <w:sz w:val="24"/>
          <w:szCs w:val="24"/>
        </w:rPr>
        <w:t>. estão, na realidade, bem longe de ser tomadas como absolutas, encontrando, pelo contrário, limites não descuráveis no sistema de direito positivo</w:t>
      </w:r>
      <w:r w:rsidR="00C55F21" w:rsidRPr="00C55F21">
        <w:rPr>
          <w:rFonts w:ascii="Times New Roman" w:hAnsi="Times New Roman" w:cs="Times New Roman"/>
          <w:sz w:val="24"/>
          <w:szCs w:val="24"/>
        </w:rPr>
        <w:t xml:space="preserve">” </w:t>
      </w:r>
      <w:r w:rsidR="00C55F21">
        <w:rPr>
          <w:rFonts w:ascii="Times New Roman" w:hAnsi="Times New Roman" w:cs="Times New Roman"/>
          <w:sz w:val="24"/>
          <w:szCs w:val="24"/>
        </w:rPr>
        <w:t>(</w:t>
      </w:r>
      <w:r w:rsidR="00C55F21" w:rsidRPr="00C55F21">
        <w:rPr>
          <w:rStyle w:val="italico"/>
          <w:rFonts w:ascii="Times New Roman" w:hAnsi="Times New Roman" w:cs="Times New Roman"/>
          <w:iCs/>
          <w:sz w:val="24"/>
          <w:szCs w:val="24"/>
          <w:lang w:val="pt-PT"/>
        </w:rPr>
        <w:t>O contrato</w:t>
      </w:r>
      <w:r w:rsidR="00C55F21" w:rsidRPr="00C55F21">
        <w:rPr>
          <w:rFonts w:ascii="Times New Roman" w:hAnsi="Times New Roman" w:cs="Times New Roman"/>
          <w:sz w:val="24"/>
          <w:szCs w:val="24"/>
        </w:rPr>
        <w:t>. Coimbra: Almedina, 1988. p. 137</w:t>
      </w:r>
      <w:r w:rsidR="00C55F21">
        <w:rPr>
          <w:rFonts w:ascii="Times New Roman" w:hAnsi="Times New Roman" w:cs="Times New Roman"/>
          <w:sz w:val="24"/>
          <w:szCs w:val="24"/>
        </w:rPr>
        <w:t>)</w:t>
      </w:r>
      <w:r w:rsidR="00C55F21" w:rsidRPr="00C55F21">
        <w:rPr>
          <w:rFonts w:ascii="Times New Roman" w:hAnsi="Times New Roman" w:cs="Times New Roman"/>
          <w:sz w:val="24"/>
          <w:szCs w:val="24"/>
        </w:rPr>
        <w:t>. Rec</w:t>
      </w:r>
      <w:r w:rsidR="00C55F21" w:rsidRPr="00A1091B">
        <w:rPr>
          <w:rFonts w:ascii="Times New Roman" w:hAnsi="Times New Roman" w:cs="Times New Roman"/>
          <w:sz w:val="24"/>
          <w:szCs w:val="24"/>
        </w:rPr>
        <w:t>onhece Roppo</w:t>
      </w:r>
      <w:r w:rsidR="00C55F21">
        <w:rPr>
          <w:rFonts w:ascii="Times New Roman" w:hAnsi="Times New Roman" w:cs="Times New Roman"/>
          <w:sz w:val="24"/>
          <w:szCs w:val="24"/>
        </w:rPr>
        <w:t xml:space="preserve">, na sequência de sua obra, </w:t>
      </w:r>
      <w:r w:rsidR="00C55F21" w:rsidRPr="00A1091B">
        <w:rPr>
          <w:rFonts w:ascii="Times New Roman" w:hAnsi="Times New Roman" w:cs="Times New Roman"/>
          <w:sz w:val="24"/>
          <w:szCs w:val="24"/>
        </w:rPr>
        <w:t>a existência de claras restrições à vontade manifestada nos negócios. Primeiro percebe-se uma limitação sobre a própria liberdade de celebrar ou não o contrato. Em outras ocasiões, sinaliza o grande jurista italiano que as limitações são também subjetivas, pois se referem às pessoas com quem as avenças são celebradas.</w:t>
      </w:r>
      <w:r w:rsidR="00C55F21">
        <w:rPr>
          <w:rFonts w:ascii="Times New Roman" w:hAnsi="Times New Roman" w:cs="Times New Roman"/>
          <w:sz w:val="24"/>
          <w:szCs w:val="24"/>
        </w:rPr>
        <w:t xml:space="preserve"> A realidade jurídica brasileira nunca foi e não é diferente. </w:t>
      </w:r>
    </w:p>
    <w:p w14:paraId="25C934B5" w14:textId="1C19F54D" w:rsidR="00A1091B" w:rsidRPr="00A1091B" w:rsidRDefault="00C55F21" w:rsidP="00A1091B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campo dos contratos e </w:t>
      </w:r>
      <w:r w:rsidR="00961295"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z w:val="24"/>
          <w:szCs w:val="24"/>
        </w:rPr>
        <w:t xml:space="preserve">negócios jurídicos em geral, a autonomia privada se desdobra em duas </w:t>
      </w:r>
      <w:r w:rsidRPr="00C55F21">
        <w:rPr>
          <w:rFonts w:ascii="Times New Roman" w:hAnsi="Times New Roman" w:cs="Times New Roman"/>
          <w:i/>
          <w:iCs/>
          <w:sz w:val="24"/>
          <w:szCs w:val="24"/>
        </w:rPr>
        <w:t>liberdades.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91B" w:rsidRPr="00A1091B">
        <w:rPr>
          <w:rFonts w:ascii="Times New Roman" w:hAnsi="Times New Roman" w:cs="Times New Roman"/>
          <w:sz w:val="24"/>
          <w:szCs w:val="24"/>
        </w:rPr>
        <w:t xml:space="preserve">Inicialmente, percebe-se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1091B" w:rsidRPr="00A1091B">
        <w:rPr>
          <w:rFonts w:ascii="Times New Roman" w:hAnsi="Times New Roman" w:cs="Times New Roman"/>
          <w:sz w:val="24"/>
          <w:szCs w:val="24"/>
        </w:rPr>
        <w:t xml:space="preserve"> liberdade para a celebração dos pactos e avenças com determinadas pessoas, sendo o direito à contratação inerente à própria concepção d</w:t>
      </w:r>
      <w:r>
        <w:rPr>
          <w:rFonts w:ascii="Times New Roman" w:hAnsi="Times New Roman" w:cs="Times New Roman"/>
          <w:sz w:val="24"/>
          <w:szCs w:val="24"/>
        </w:rPr>
        <w:t xml:space="preserve">e pessoa </w:t>
      </w:r>
      <w:r w:rsidR="00A1091B" w:rsidRPr="00A1091B">
        <w:rPr>
          <w:rFonts w:ascii="Times New Roman" w:hAnsi="Times New Roman" w:cs="Times New Roman"/>
          <w:sz w:val="24"/>
          <w:szCs w:val="24"/>
        </w:rPr>
        <w:t xml:space="preserve">um direito advindo do princípio da liberdade. Essa é a </w:t>
      </w:r>
      <w:r w:rsidR="00A1091B" w:rsidRPr="00C55F21">
        <w:rPr>
          <w:rFonts w:ascii="Times New Roman" w:hAnsi="Times New Roman" w:cs="Times New Roman"/>
          <w:i/>
          <w:iCs/>
          <w:sz w:val="24"/>
          <w:szCs w:val="24"/>
        </w:rPr>
        <w:t>liberdade de contratar</w:t>
      </w:r>
      <w:r>
        <w:rPr>
          <w:rFonts w:ascii="Times New Roman" w:hAnsi="Times New Roman" w:cs="Times New Roman"/>
          <w:sz w:val="24"/>
          <w:szCs w:val="24"/>
        </w:rPr>
        <w:t xml:space="preserve">, que está </w:t>
      </w:r>
      <w:r w:rsidR="00A1091B" w:rsidRPr="00A1091B">
        <w:rPr>
          <w:rFonts w:ascii="Times New Roman" w:hAnsi="Times New Roman" w:cs="Times New Roman"/>
          <w:sz w:val="24"/>
          <w:szCs w:val="24"/>
        </w:rPr>
        <w:t xml:space="preserve">relacionada com a escolha da pessoa ou das pessoas com quem o negócio será celebrado, </w:t>
      </w:r>
      <w:r>
        <w:rPr>
          <w:rFonts w:ascii="Times New Roman" w:hAnsi="Times New Roman" w:cs="Times New Roman"/>
          <w:sz w:val="24"/>
          <w:szCs w:val="24"/>
        </w:rPr>
        <w:t xml:space="preserve">bem como com o momento em que se contrata, </w:t>
      </w:r>
      <w:r w:rsidR="00A1091B" w:rsidRPr="00A1091B">
        <w:rPr>
          <w:rFonts w:ascii="Times New Roman" w:hAnsi="Times New Roman" w:cs="Times New Roman"/>
          <w:sz w:val="24"/>
          <w:szCs w:val="24"/>
        </w:rPr>
        <w:t xml:space="preserve">sendo uma liberdade plena, </w:t>
      </w:r>
      <w:r>
        <w:rPr>
          <w:rFonts w:ascii="Times New Roman" w:hAnsi="Times New Roman" w:cs="Times New Roman"/>
          <w:sz w:val="24"/>
          <w:szCs w:val="24"/>
        </w:rPr>
        <w:t xml:space="preserve">pelo </w:t>
      </w:r>
      <w:r w:rsidR="00961295">
        <w:rPr>
          <w:rFonts w:ascii="Times New Roman" w:hAnsi="Times New Roman" w:cs="Times New Roman"/>
          <w:sz w:val="24"/>
          <w:szCs w:val="24"/>
        </w:rPr>
        <w:t xml:space="preserve">menos </w:t>
      </w:r>
      <w:r w:rsidR="00A1091B" w:rsidRPr="00A1091B">
        <w:rPr>
          <w:rFonts w:ascii="Times New Roman" w:hAnsi="Times New Roman" w:cs="Times New Roman"/>
          <w:sz w:val="24"/>
          <w:szCs w:val="24"/>
        </w:rPr>
        <w:t>em regra</w:t>
      </w:r>
      <w:r w:rsidR="00961295">
        <w:rPr>
          <w:rFonts w:ascii="Times New Roman" w:hAnsi="Times New Roman" w:cs="Times New Roman"/>
          <w:sz w:val="24"/>
          <w:szCs w:val="24"/>
        </w:rPr>
        <w:t xml:space="preserve"> e na grande maioria das vezes</w:t>
      </w:r>
      <w:r w:rsidR="00A1091B" w:rsidRPr="00A1091B">
        <w:rPr>
          <w:rFonts w:ascii="Times New Roman" w:hAnsi="Times New Roman" w:cs="Times New Roman"/>
          <w:sz w:val="24"/>
          <w:szCs w:val="24"/>
        </w:rPr>
        <w:t>.</w:t>
      </w:r>
      <w:r w:rsidR="001A3BB7">
        <w:rPr>
          <w:rFonts w:ascii="Times New Roman" w:hAnsi="Times New Roman" w:cs="Times New Roman"/>
          <w:sz w:val="24"/>
          <w:szCs w:val="24"/>
        </w:rPr>
        <w:t xml:space="preserve"> De fato, poucas e raras devem ser as restrições a essa </w:t>
      </w:r>
      <w:r w:rsidR="001A3BB7" w:rsidRPr="001A3BB7">
        <w:rPr>
          <w:rFonts w:ascii="Times New Roman" w:hAnsi="Times New Roman" w:cs="Times New Roman"/>
          <w:i/>
          <w:iCs/>
          <w:sz w:val="24"/>
          <w:szCs w:val="24"/>
        </w:rPr>
        <w:t>liberdade de contratar.</w:t>
      </w:r>
      <w:r w:rsidR="001A3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7FBB3" w14:textId="4D7A3E37" w:rsidR="00A1091B" w:rsidRPr="00A1091B" w:rsidRDefault="00A1091B" w:rsidP="00A1091B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1091B">
        <w:rPr>
          <w:rFonts w:ascii="Times New Roman" w:hAnsi="Times New Roman" w:cs="Times New Roman"/>
          <w:sz w:val="24"/>
          <w:szCs w:val="24"/>
        </w:rPr>
        <w:lastRenderedPageBreak/>
        <w:t xml:space="preserve">Em outro plano, a autonomia pode estar relacionada com o conteúdo do </w:t>
      </w:r>
      <w:r w:rsidR="00C55F21">
        <w:rPr>
          <w:rFonts w:ascii="Times New Roman" w:hAnsi="Times New Roman" w:cs="Times New Roman"/>
          <w:sz w:val="24"/>
          <w:szCs w:val="24"/>
        </w:rPr>
        <w:t>pacto</w:t>
      </w:r>
      <w:r w:rsidRPr="00A1091B">
        <w:rPr>
          <w:rFonts w:ascii="Times New Roman" w:hAnsi="Times New Roman" w:cs="Times New Roman"/>
          <w:sz w:val="24"/>
          <w:szCs w:val="24"/>
        </w:rPr>
        <w:t>, ponto em que residem limitações maiores à liberdade da pessoa</w:t>
      </w:r>
      <w:r w:rsidR="00C55F21">
        <w:rPr>
          <w:rFonts w:ascii="Times New Roman" w:hAnsi="Times New Roman" w:cs="Times New Roman"/>
          <w:sz w:val="24"/>
          <w:szCs w:val="24"/>
        </w:rPr>
        <w:t xml:space="preserve">. </w:t>
      </w:r>
      <w:r w:rsidRPr="00A1091B">
        <w:rPr>
          <w:rFonts w:ascii="Times New Roman" w:hAnsi="Times New Roman" w:cs="Times New Roman"/>
          <w:sz w:val="24"/>
          <w:szCs w:val="24"/>
        </w:rPr>
        <w:t xml:space="preserve">Trata-se, portanto, da </w:t>
      </w:r>
      <w:r w:rsidRPr="00C55F21">
        <w:rPr>
          <w:rFonts w:ascii="Times New Roman" w:hAnsi="Times New Roman" w:cs="Times New Roman"/>
          <w:i/>
          <w:iCs/>
          <w:sz w:val="24"/>
          <w:szCs w:val="24"/>
        </w:rPr>
        <w:t>liberdade contratual</w:t>
      </w:r>
      <w:r w:rsidR="00C55F21">
        <w:rPr>
          <w:rFonts w:ascii="Times New Roman" w:hAnsi="Times New Roman" w:cs="Times New Roman"/>
          <w:sz w:val="24"/>
          <w:szCs w:val="24"/>
        </w:rPr>
        <w:t xml:space="preserve">, </w:t>
      </w:r>
      <w:r w:rsidR="00C55F21" w:rsidRPr="00012D24">
        <w:rPr>
          <w:rFonts w:ascii="Times New Roman" w:hAnsi="Times New Roman" w:cs="Times New Roman"/>
          <w:sz w:val="24"/>
          <w:szCs w:val="24"/>
        </w:rPr>
        <w:t>que tem</w:t>
      </w:r>
      <w:r w:rsidR="00C55F21">
        <w:rPr>
          <w:rFonts w:ascii="Times New Roman" w:hAnsi="Times New Roman" w:cs="Times New Roman"/>
          <w:sz w:val="24"/>
          <w:szCs w:val="24"/>
        </w:rPr>
        <w:t xml:space="preserve"> relação </w:t>
      </w:r>
      <w:r w:rsidR="00961295">
        <w:rPr>
          <w:rFonts w:ascii="Times New Roman" w:hAnsi="Times New Roman" w:cs="Times New Roman"/>
          <w:sz w:val="24"/>
          <w:szCs w:val="24"/>
        </w:rPr>
        <w:t xml:space="preserve">específica com as </w:t>
      </w:r>
      <w:r w:rsidR="00961295" w:rsidRPr="00012D24">
        <w:rPr>
          <w:rFonts w:ascii="Times New Roman" w:hAnsi="Times New Roman" w:cs="Times New Roman"/>
          <w:sz w:val="24"/>
          <w:szCs w:val="24"/>
        </w:rPr>
        <w:t>previsões</w:t>
      </w:r>
      <w:r w:rsidR="00E03BC8" w:rsidRPr="00012D24">
        <w:rPr>
          <w:rFonts w:ascii="Times New Roman" w:hAnsi="Times New Roman" w:cs="Times New Roman"/>
          <w:sz w:val="24"/>
          <w:szCs w:val="24"/>
        </w:rPr>
        <w:t xml:space="preserve"> que</w:t>
      </w:r>
      <w:r w:rsidR="00C55F21">
        <w:rPr>
          <w:rFonts w:ascii="Times New Roman" w:hAnsi="Times New Roman" w:cs="Times New Roman"/>
          <w:sz w:val="24"/>
          <w:szCs w:val="24"/>
        </w:rPr>
        <w:t xml:space="preserve"> as partes escolheram para a regulamentação dos seus interesses, com as cláusulas contratuais propriamente ditas. </w:t>
      </w:r>
    </w:p>
    <w:p w14:paraId="7C2B44EE" w14:textId="6DFDE7CE" w:rsidR="00A1091B" w:rsidRPr="00A1091B" w:rsidRDefault="00A1091B" w:rsidP="00C55F21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1091B">
        <w:rPr>
          <w:rFonts w:ascii="Times New Roman" w:hAnsi="Times New Roman" w:cs="Times New Roman"/>
          <w:sz w:val="24"/>
          <w:szCs w:val="24"/>
        </w:rPr>
        <w:t xml:space="preserve">Dessa </w:t>
      </w:r>
      <w:r w:rsidRPr="00C55F21">
        <w:rPr>
          <w:rFonts w:ascii="Times New Roman" w:hAnsi="Times New Roman" w:cs="Times New Roman"/>
          <w:i/>
          <w:iCs/>
          <w:sz w:val="24"/>
          <w:szCs w:val="24"/>
        </w:rPr>
        <w:t>dupla liberdade</w:t>
      </w:r>
      <w:r w:rsidRPr="00A1091B">
        <w:rPr>
          <w:rFonts w:ascii="Times New Roman" w:hAnsi="Times New Roman" w:cs="Times New Roman"/>
          <w:sz w:val="24"/>
          <w:szCs w:val="24"/>
        </w:rPr>
        <w:t xml:space="preserve"> </w:t>
      </w:r>
      <w:r w:rsidR="00C55F21">
        <w:rPr>
          <w:rFonts w:ascii="Times New Roman" w:hAnsi="Times New Roman" w:cs="Times New Roman"/>
          <w:sz w:val="24"/>
          <w:szCs w:val="24"/>
        </w:rPr>
        <w:t>do</w:t>
      </w:r>
      <w:r w:rsidRPr="00A1091B">
        <w:rPr>
          <w:rFonts w:ascii="Times New Roman" w:hAnsi="Times New Roman" w:cs="Times New Roman"/>
          <w:sz w:val="24"/>
          <w:szCs w:val="24"/>
        </w:rPr>
        <w:t xml:space="preserve"> sujeito contratual é que decorre a autonomia privada, </w:t>
      </w:r>
      <w:r w:rsidR="00C55F21">
        <w:rPr>
          <w:rFonts w:ascii="Times New Roman" w:hAnsi="Times New Roman" w:cs="Times New Roman"/>
          <w:sz w:val="24"/>
          <w:szCs w:val="24"/>
        </w:rPr>
        <w:t>que</w:t>
      </w:r>
      <w:r w:rsidRPr="00A1091B">
        <w:rPr>
          <w:rFonts w:ascii="Times New Roman" w:hAnsi="Times New Roman" w:cs="Times New Roman"/>
          <w:sz w:val="24"/>
          <w:szCs w:val="24"/>
        </w:rPr>
        <w:t xml:space="preserve"> não é absoluta, encontrando limitações em normas de ordem pública e </w:t>
      </w:r>
      <w:r w:rsidR="00C55F21">
        <w:rPr>
          <w:rFonts w:ascii="Times New Roman" w:hAnsi="Times New Roman" w:cs="Times New Roman"/>
          <w:sz w:val="24"/>
          <w:szCs w:val="24"/>
        </w:rPr>
        <w:t>outros princípios</w:t>
      </w:r>
      <w:r w:rsidR="00961295">
        <w:rPr>
          <w:rFonts w:ascii="Times New Roman" w:hAnsi="Times New Roman" w:cs="Times New Roman"/>
          <w:sz w:val="24"/>
          <w:szCs w:val="24"/>
        </w:rPr>
        <w:t xml:space="preserve">, afirmação que existe em nosso Direito desde sempre. </w:t>
      </w:r>
      <w:r w:rsidR="00C55F21">
        <w:rPr>
          <w:rFonts w:ascii="Times New Roman" w:hAnsi="Times New Roman" w:cs="Times New Roman"/>
          <w:sz w:val="24"/>
          <w:szCs w:val="24"/>
        </w:rPr>
        <w:t>Filio-me, portanto,</w:t>
      </w:r>
      <w:r w:rsidRPr="00A1091B">
        <w:rPr>
          <w:rFonts w:ascii="Times New Roman" w:hAnsi="Times New Roman" w:cs="Times New Roman"/>
          <w:sz w:val="24"/>
          <w:szCs w:val="24"/>
        </w:rPr>
        <w:t xml:space="preserve"> à parcela da doutrina que propõe a </w:t>
      </w:r>
      <w:r w:rsidR="00961295">
        <w:rPr>
          <w:rFonts w:ascii="Times New Roman" w:hAnsi="Times New Roman" w:cs="Times New Roman"/>
          <w:sz w:val="24"/>
          <w:szCs w:val="24"/>
        </w:rPr>
        <w:t xml:space="preserve">citada </w:t>
      </w:r>
      <w:r w:rsidRPr="00A1091B">
        <w:rPr>
          <w:rFonts w:ascii="Times New Roman" w:hAnsi="Times New Roman" w:cs="Times New Roman"/>
          <w:sz w:val="24"/>
          <w:szCs w:val="24"/>
        </w:rPr>
        <w:t>substituição do princípio da autonomia da vontade pelo princípio da autonomia privada</w:t>
      </w:r>
      <w:r w:rsidR="00961295">
        <w:rPr>
          <w:rFonts w:ascii="Times New Roman" w:hAnsi="Times New Roman" w:cs="Times New Roman"/>
          <w:sz w:val="24"/>
          <w:szCs w:val="24"/>
        </w:rPr>
        <w:t xml:space="preserve"> </w:t>
      </w:r>
      <w:r w:rsidR="001A3BB7">
        <w:rPr>
          <w:rFonts w:ascii="Times New Roman" w:hAnsi="Times New Roman" w:cs="Times New Roman"/>
          <w:sz w:val="24"/>
          <w:szCs w:val="24"/>
        </w:rPr>
        <w:t xml:space="preserve">também </w:t>
      </w:r>
      <w:r w:rsidR="00961295">
        <w:rPr>
          <w:rFonts w:ascii="Times New Roman" w:hAnsi="Times New Roman" w:cs="Times New Roman"/>
          <w:sz w:val="24"/>
          <w:szCs w:val="24"/>
        </w:rPr>
        <w:t xml:space="preserve">diante dessas </w:t>
      </w:r>
      <w:r w:rsidR="001A3BB7">
        <w:rPr>
          <w:rFonts w:ascii="Times New Roman" w:hAnsi="Times New Roman" w:cs="Times New Roman"/>
          <w:sz w:val="24"/>
          <w:szCs w:val="24"/>
        </w:rPr>
        <w:t xml:space="preserve">notórias </w:t>
      </w:r>
      <w:r w:rsidR="00961295">
        <w:rPr>
          <w:rFonts w:ascii="Times New Roman" w:hAnsi="Times New Roman" w:cs="Times New Roman"/>
          <w:sz w:val="24"/>
          <w:szCs w:val="24"/>
        </w:rPr>
        <w:t>restrições</w:t>
      </w:r>
      <w:r w:rsidR="00C55F21">
        <w:rPr>
          <w:rFonts w:ascii="Times New Roman" w:hAnsi="Times New Roman" w:cs="Times New Roman"/>
          <w:sz w:val="24"/>
          <w:szCs w:val="24"/>
        </w:rPr>
        <w:t>.</w:t>
      </w:r>
      <w:r w:rsidRPr="00A1091B">
        <w:rPr>
          <w:rFonts w:ascii="Times New Roman" w:hAnsi="Times New Roman" w:cs="Times New Roman"/>
          <w:sz w:val="24"/>
          <w:szCs w:val="24"/>
        </w:rPr>
        <w:t xml:space="preserve"> </w:t>
      </w:r>
      <w:r w:rsidR="00C55F21">
        <w:rPr>
          <w:rFonts w:ascii="Times New Roman" w:hAnsi="Times New Roman" w:cs="Times New Roman"/>
          <w:sz w:val="24"/>
          <w:szCs w:val="24"/>
        </w:rPr>
        <w:t xml:space="preserve">Como sustenta </w:t>
      </w:r>
      <w:r w:rsidRPr="00A1091B">
        <w:rPr>
          <w:rFonts w:ascii="Times New Roman" w:hAnsi="Times New Roman" w:cs="Times New Roman"/>
          <w:sz w:val="24"/>
          <w:szCs w:val="24"/>
        </w:rPr>
        <w:t>Fernando Noronha “foi precisamente em consequência da revisão a que foram submetidos o liberalismo econômico e, sobretudo, as concepções voluntaristas do negócio jurídico, que se passou a falar em autonomia privada, de preferência à mais antiga autonomia da vontade. E, realmente, se a antiga autonomia da vontade, com o conteúdo que lhe era atribuído, era passível de críticas, já a autonomia privada é noção não só com sólidos fundamentos, como extremamente importante”</w:t>
      </w:r>
      <w:r w:rsidR="00C55F21">
        <w:rPr>
          <w:rFonts w:ascii="Times New Roman" w:hAnsi="Times New Roman" w:cs="Times New Roman"/>
          <w:sz w:val="24"/>
          <w:szCs w:val="24"/>
        </w:rPr>
        <w:t xml:space="preserve"> (</w:t>
      </w:r>
      <w:r w:rsidR="00C55F21" w:rsidRPr="00C55F21">
        <w:rPr>
          <w:rFonts w:ascii="Times New Roman" w:hAnsi="Times New Roman" w:cs="Times New Roman"/>
          <w:i/>
          <w:iCs/>
          <w:sz w:val="24"/>
          <w:szCs w:val="24"/>
        </w:rPr>
        <w:t>O direito dos contratos e seus princípios fundamentais</w:t>
      </w:r>
      <w:r w:rsidR="00C55F21" w:rsidRPr="001A3BB7">
        <w:rPr>
          <w:rFonts w:ascii="Times New Roman" w:hAnsi="Times New Roman" w:cs="Times New Roman"/>
          <w:sz w:val="24"/>
          <w:szCs w:val="24"/>
        </w:rPr>
        <w:t>: autonomia privada, boa-fé, justiça contratual</w:t>
      </w:r>
      <w:r w:rsidR="00C55F21" w:rsidRPr="00C55F2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55F21" w:rsidRPr="00C55F21">
        <w:rPr>
          <w:rFonts w:ascii="Times New Roman" w:hAnsi="Times New Roman" w:cs="Times New Roman"/>
          <w:sz w:val="24"/>
          <w:szCs w:val="24"/>
        </w:rPr>
        <w:t>São Paulo: Saraiva, 1994</w:t>
      </w:r>
      <w:r w:rsidR="00C55F21">
        <w:rPr>
          <w:rFonts w:ascii="Times New Roman" w:hAnsi="Times New Roman" w:cs="Times New Roman"/>
          <w:sz w:val="24"/>
          <w:szCs w:val="24"/>
        </w:rPr>
        <w:t xml:space="preserve">, </w:t>
      </w:r>
      <w:r w:rsidR="00C55F21" w:rsidRPr="00C55F21">
        <w:rPr>
          <w:rFonts w:ascii="Times New Roman" w:hAnsi="Times New Roman" w:cs="Times New Roman"/>
          <w:sz w:val="24"/>
          <w:szCs w:val="24"/>
        </w:rPr>
        <w:t>p. 113</w:t>
      </w:r>
      <w:r w:rsidR="00C55F21">
        <w:rPr>
          <w:rFonts w:ascii="Times New Roman" w:hAnsi="Times New Roman" w:cs="Times New Roman"/>
          <w:sz w:val="24"/>
          <w:szCs w:val="24"/>
        </w:rPr>
        <w:t>)</w:t>
      </w:r>
      <w:r w:rsidR="00C55F21" w:rsidRPr="00C55F21">
        <w:rPr>
          <w:rFonts w:ascii="Times New Roman" w:hAnsi="Times New Roman" w:cs="Times New Roman"/>
          <w:sz w:val="24"/>
          <w:szCs w:val="24"/>
        </w:rPr>
        <w:t>.</w:t>
      </w:r>
    </w:p>
    <w:p w14:paraId="1256BE0B" w14:textId="2166D0C9" w:rsidR="00D167BF" w:rsidRDefault="00A1091B" w:rsidP="00D167BF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1091B">
        <w:rPr>
          <w:rFonts w:ascii="Times New Roman" w:hAnsi="Times New Roman" w:cs="Times New Roman"/>
          <w:sz w:val="24"/>
          <w:szCs w:val="24"/>
        </w:rPr>
        <w:t xml:space="preserve">Por isso, </w:t>
      </w:r>
      <w:r w:rsidR="00C55F21">
        <w:rPr>
          <w:rFonts w:ascii="Times New Roman" w:hAnsi="Times New Roman" w:cs="Times New Roman"/>
          <w:sz w:val="24"/>
          <w:szCs w:val="24"/>
        </w:rPr>
        <w:t xml:space="preserve">tenho sustentado que </w:t>
      </w:r>
      <w:r w:rsidRPr="00A1091B">
        <w:rPr>
          <w:rFonts w:ascii="Times New Roman" w:hAnsi="Times New Roman" w:cs="Times New Roman"/>
          <w:sz w:val="24"/>
          <w:szCs w:val="24"/>
        </w:rPr>
        <w:t xml:space="preserve">são desatualizadas normas recentes que utilizam o superado termo </w:t>
      </w:r>
      <w:r w:rsidRPr="00C55F21">
        <w:rPr>
          <w:rFonts w:ascii="Times New Roman" w:hAnsi="Times New Roman" w:cs="Times New Roman"/>
          <w:i/>
          <w:iCs/>
          <w:sz w:val="24"/>
          <w:szCs w:val="24"/>
        </w:rPr>
        <w:t>autonomia da vontade</w:t>
      </w:r>
      <w:r w:rsidRPr="00A1091B">
        <w:rPr>
          <w:rFonts w:ascii="Times New Roman" w:hAnsi="Times New Roman" w:cs="Times New Roman"/>
          <w:sz w:val="24"/>
          <w:szCs w:val="24"/>
        </w:rPr>
        <w:t xml:space="preserve">, caso da </w:t>
      </w:r>
      <w:r w:rsidRPr="00E16C47">
        <w:rPr>
          <w:rFonts w:ascii="Times New Roman" w:hAnsi="Times New Roman" w:cs="Times New Roman"/>
          <w:i/>
          <w:iCs/>
          <w:sz w:val="24"/>
          <w:szCs w:val="24"/>
        </w:rPr>
        <w:t xml:space="preserve">Lei de Mediação </w:t>
      </w:r>
      <w:r w:rsidRPr="00A1091B">
        <w:rPr>
          <w:rFonts w:ascii="Times New Roman" w:hAnsi="Times New Roman" w:cs="Times New Roman"/>
          <w:sz w:val="24"/>
          <w:szCs w:val="24"/>
        </w:rPr>
        <w:t>(Lei</w:t>
      </w:r>
      <w:r w:rsidR="00C55F21">
        <w:rPr>
          <w:rFonts w:ascii="Times New Roman" w:hAnsi="Times New Roman" w:cs="Times New Roman"/>
          <w:sz w:val="24"/>
          <w:szCs w:val="24"/>
        </w:rPr>
        <w:t xml:space="preserve"> n.</w:t>
      </w:r>
      <w:r w:rsidRPr="00A1091B">
        <w:rPr>
          <w:rFonts w:ascii="Times New Roman" w:hAnsi="Times New Roman" w:cs="Times New Roman"/>
          <w:sz w:val="24"/>
          <w:szCs w:val="24"/>
        </w:rPr>
        <w:t xml:space="preserve"> 13.140/2015, art. 2.º, inc. V) e da Reforma Trabalhista (Lei 13.467/2017). A propósito, a Medida Provisória 881, de 2019, também trazia a expressão autonomia da vontade no seu art. 3.º, inc. V. Porém, de forma correta, na sua conversão </w:t>
      </w:r>
      <w:r w:rsidR="00E16C47">
        <w:rPr>
          <w:rFonts w:ascii="Times New Roman" w:hAnsi="Times New Roman" w:cs="Times New Roman"/>
          <w:sz w:val="24"/>
          <w:szCs w:val="24"/>
        </w:rPr>
        <w:t xml:space="preserve">na </w:t>
      </w:r>
      <w:r w:rsidR="00E16C47" w:rsidRPr="00E16C47">
        <w:rPr>
          <w:rFonts w:ascii="Times New Roman" w:hAnsi="Times New Roman" w:cs="Times New Roman"/>
          <w:i/>
          <w:iCs/>
          <w:sz w:val="24"/>
          <w:szCs w:val="24"/>
        </w:rPr>
        <w:t>Lei da Liberdade Econômica</w:t>
      </w:r>
      <w:r w:rsidRPr="00A1091B">
        <w:rPr>
          <w:rFonts w:ascii="Times New Roman" w:hAnsi="Times New Roman" w:cs="Times New Roman"/>
          <w:sz w:val="24"/>
          <w:szCs w:val="24"/>
        </w:rPr>
        <w:t xml:space="preserve">, o dispositivo passou a utilizar </w:t>
      </w:r>
      <w:r w:rsidR="00E16C47">
        <w:rPr>
          <w:rFonts w:ascii="Times New Roman" w:hAnsi="Times New Roman" w:cs="Times New Roman"/>
          <w:sz w:val="24"/>
          <w:szCs w:val="24"/>
        </w:rPr>
        <w:t>a expressão</w:t>
      </w:r>
      <w:r w:rsidRPr="00A1091B">
        <w:rPr>
          <w:rFonts w:ascii="Times New Roman" w:hAnsi="Times New Roman" w:cs="Times New Roman"/>
          <w:sz w:val="24"/>
          <w:szCs w:val="24"/>
        </w:rPr>
        <w:t xml:space="preserve"> </w:t>
      </w:r>
      <w:r w:rsidRPr="00E16C47">
        <w:rPr>
          <w:rFonts w:ascii="Times New Roman" w:hAnsi="Times New Roman" w:cs="Times New Roman"/>
          <w:i/>
          <w:iCs/>
          <w:sz w:val="24"/>
          <w:szCs w:val="24"/>
        </w:rPr>
        <w:t>autonomia privada</w:t>
      </w:r>
      <w:r w:rsidRPr="00A1091B">
        <w:rPr>
          <w:rFonts w:ascii="Times New Roman" w:hAnsi="Times New Roman" w:cs="Times New Roman"/>
          <w:sz w:val="24"/>
          <w:szCs w:val="24"/>
        </w:rPr>
        <w:t xml:space="preserve">, no sentido de ser um dos direitos de concretização </w:t>
      </w:r>
      <w:r w:rsidR="00E16C47">
        <w:rPr>
          <w:rFonts w:ascii="Times New Roman" w:hAnsi="Times New Roman" w:cs="Times New Roman"/>
          <w:sz w:val="24"/>
          <w:szCs w:val="24"/>
        </w:rPr>
        <w:t>dessa</w:t>
      </w:r>
      <w:r w:rsidRPr="00A1091B">
        <w:rPr>
          <w:rFonts w:ascii="Times New Roman" w:hAnsi="Times New Roman" w:cs="Times New Roman"/>
          <w:sz w:val="24"/>
          <w:szCs w:val="24"/>
        </w:rPr>
        <w:t xml:space="preserve"> liberdade</w:t>
      </w:r>
      <w:r w:rsidR="00E16C47">
        <w:rPr>
          <w:rFonts w:ascii="Times New Roman" w:hAnsi="Times New Roman" w:cs="Times New Roman"/>
          <w:sz w:val="24"/>
          <w:szCs w:val="24"/>
        </w:rPr>
        <w:t xml:space="preserve">, nos termos do art. 170 da Constituição Federal, </w:t>
      </w:r>
      <w:r w:rsidRPr="00A1091B">
        <w:rPr>
          <w:rFonts w:ascii="Times New Roman" w:hAnsi="Times New Roman" w:cs="Times New Roman"/>
          <w:sz w:val="24"/>
          <w:szCs w:val="24"/>
        </w:rPr>
        <w:t xml:space="preserve">“gozar de presunção de boa-fé nos atos praticados no exercício da atividade econômica, para os quais as dúvidas de interpretação do direito civil, empresarial, econômico e urbanístico serão resolvidas de forma a preservar a autonomia privada, exceto se houver expressa disposição legal em contrário” (Lei </w:t>
      </w:r>
      <w:r w:rsidR="00C55F21">
        <w:rPr>
          <w:rFonts w:ascii="Times New Roman" w:hAnsi="Times New Roman" w:cs="Times New Roman"/>
          <w:sz w:val="24"/>
          <w:szCs w:val="24"/>
        </w:rPr>
        <w:t xml:space="preserve">n. </w:t>
      </w:r>
      <w:r w:rsidRPr="00A1091B">
        <w:rPr>
          <w:rFonts w:ascii="Times New Roman" w:hAnsi="Times New Roman" w:cs="Times New Roman"/>
          <w:sz w:val="24"/>
          <w:szCs w:val="24"/>
        </w:rPr>
        <w:t xml:space="preserve">13.874/2019). </w:t>
      </w:r>
    </w:p>
    <w:p w14:paraId="45750FA0" w14:textId="12BBD1C0" w:rsidR="00D167BF" w:rsidRDefault="00D167BF" w:rsidP="00D167BF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167BF">
        <w:rPr>
          <w:rFonts w:ascii="Times New Roman" w:hAnsi="Times New Roman" w:cs="Times New Roman"/>
          <w:sz w:val="24"/>
          <w:szCs w:val="24"/>
        </w:rPr>
        <w:t xml:space="preserve">Em complemento, como tenho </w:t>
      </w:r>
      <w:r w:rsidR="001A3BB7">
        <w:rPr>
          <w:rFonts w:ascii="Times New Roman" w:hAnsi="Times New Roman" w:cs="Times New Roman"/>
          <w:sz w:val="24"/>
          <w:szCs w:val="24"/>
        </w:rPr>
        <w:t>sustentado</w:t>
      </w:r>
      <w:r w:rsidR="00E16C47">
        <w:rPr>
          <w:rFonts w:ascii="Times New Roman" w:hAnsi="Times New Roman" w:cs="Times New Roman"/>
          <w:sz w:val="24"/>
          <w:szCs w:val="24"/>
        </w:rPr>
        <w:t>,</w:t>
      </w:r>
      <w:r w:rsidRPr="00D167BF">
        <w:rPr>
          <w:rFonts w:ascii="Times New Roman" w:hAnsi="Times New Roman" w:cs="Times New Roman"/>
          <w:sz w:val="24"/>
          <w:szCs w:val="24"/>
        </w:rPr>
        <w:t xml:space="preserve"> a própria </w:t>
      </w:r>
      <w:r w:rsidRPr="00D167BF">
        <w:rPr>
          <w:rFonts w:ascii="Times New Roman" w:hAnsi="Times New Roman" w:cs="Times New Roman"/>
          <w:i/>
          <w:iCs/>
          <w:sz w:val="24"/>
          <w:szCs w:val="24"/>
        </w:rPr>
        <w:t>Lei da Liberdade Econômica</w:t>
      </w:r>
      <w:r w:rsidRPr="00D167BF">
        <w:rPr>
          <w:rFonts w:ascii="Times New Roman" w:hAnsi="Times New Roman" w:cs="Times New Roman"/>
          <w:sz w:val="24"/>
          <w:szCs w:val="24"/>
        </w:rPr>
        <w:t xml:space="preserve"> acabou por positivar o princípio da autonomia privada, valorizando a liberdade contratual, desde que isso não contrarie normas cogentes ou de ordem pública. Nesse sentido, merece destaque o seu art. 3º, inc. VIII, que prevê, como outro direito de </w:t>
      </w:r>
      <w:r w:rsidRPr="00D167BF">
        <w:rPr>
          <w:rFonts w:ascii="Times New Roman" w:hAnsi="Times New Roman" w:cs="Times New Roman"/>
          <w:sz w:val="24"/>
          <w:szCs w:val="24"/>
        </w:rPr>
        <w:lastRenderedPageBreak/>
        <w:t xml:space="preserve">concretização da liberdade econômica, “ter a garantia de que os negócios jurídicos empresariais paritários serão objeto de livre estipulação das partes pactuantes, de forma a aplicar todas as regras de direito empresarial apenas de maneira subsidiária ao avençado, exceto normas de ordem pública”. O texto é bem melhor do que o originário, que constava da MP 881, que chegava a estabelecer que uma parte de um contrato empresarial não poderia alegar lesão </w:t>
      </w:r>
      <w:r w:rsidR="001A3BB7">
        <w:rPr>
          <w:rFonts w:ascii="Times New Roman" w:hAnsi="Times New Roman" w:cs="Times New Roman"/>
          <w:sz w:val="24"/>
          <w:szCs w:val="24"/>
        </w:rPr>
        <w:t>a</w:t>
      </w:r>
      <w:r w:rsidR="008F63CA" w:rsidRPr="00D167BF">
        <w:rPr>
          <w:rFonts w:ascii="Times New Roman" w:hAnsi="Times New Roman" w:cs="Times New Roman"/>
          <w:sz w:val="24"/>
          <w:szCs w:val="24"/>
        </w:rPr>
        <w:t xml:space="preserve"> </w:t>
      </w:r>
      <w:r w:rsidRPr="00D167BF">
        <w:rPr>
          <w:rFonts w:ascii="Times New Roman" w:hAnsi="Times New Roman" w:cs="Times New Roman"/>
          <w:sz w:val="24"/>
          <w:szCs w:val="24"/>
        </w:rPr>
        <w:t>norma de ordem pública que ela própria inseriu. Por intervenções de muitos juristas no Congresso Nacional – por frentes distintas, caso deste autor –, a norma foi consideravelmente alterada</w:t>
      </w:r>
      <w:r w:rsidR="00E16C47">
        <w:rPr>
          <w:rFonts w:ascii="Times New Roman" w:hAnsi="Times New Roman" w:cs="Times New Roman"/>
          <w:sz w:val="24"/>
          <w:szCs w:val="24"/>
        </w:rPr>
        <w:t xml:space="preserve"> para a sua redação atual</w:t>
      </w:r>
      <w:r w:rsidRPr="00D167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F97E3" w14:textId="4A6A6121" w:rsidR="00D167BF" w:rsidRDefault="00D167BF" w:rsidP="00D167BF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se olvide que o principal foco da </w:t>
      </w:r>
      <w:r w:rsidRPr="00E16C47">
        <w:rPr>
          <w:rFonts w:ascii="Times New Roman" w:hAnsi="Times New Roman" w:cs="Times New Roman"/>
          <w:i/>
          <w:iCs/>
          <w:sz w:val="24"/>
          <w:szCs w:val="24"/>
        </w:rPr>
        <w:t>Lei da Liberdade Econômica</w:t>
      </w:r>
      <w:r>
        <w:rPr>
          <w:rFonts w:ascii="Times New Roman" w:hAnsi="Times New Roman" w:cs="Times New Roman"/>
          <w:sz w:val="24"/>
          <w:szCs w:val="24"/>
        </w:rPr>
        <w:t xml:space="preserve"> é o contrato civil ou empresarial paritário</w:t>
      </w:r>
      <w:r w:rsidR="00E16C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 conteúdo amplamente negociado entre as partes</w:t>
      </w:r>
      <w:r w:rsidR="00E16C47">
        <w:rPr>
          <w:rFonts w:ascii="Times New Roman" w:hAnsi="Times New Roman" w:cs="Times New Roman"/>
          <w:sz w:val="24"/>
          <w:szCs w:val="24"/>
        </w:rPr>
        <w:t>, geralmente em posição de igualdade</w:t>
      </w:r>
      <w:r>
        <w:rPr>
          <w:rFonts w:ascii="Times New Roman" w:hAnsi="Times New Roman" w:cs="Times New Roman"/>
          <w:sz w:val="24"/>
          <w:szCs w:val="24"/>
        </w:rPr>
        <w:t xml:space="preserve">. E, mesmo em tais contratos, celebrados entre grandes </w:t>
      </w:r>
      <w:r w:rsidR="00E16C47">
        <w:rPr>
          <w:rFonts w:ascii="Times New Roman" w:hAnsi="Times New Roman" w:cs="Times New Roman"/>
          <w:sz w:val="24"/>
          <w:szCs w:val="24"/>
        </w:rPr>
        <w:t xml:space="preserve">e poderoso </w:t>
      </w:r>
      <w:r>
        <w:rPr>
          <w:rFonts w:ascii="Times New Roman" w:hAnsi="Times New Roman" w:cs="Times New Roman"/>
          <w:sz w:val="24"/>
          <w:szCs w:val="24"/>
        </w:rPr>
        <w:t xml:space="preserve">agentes econômicos, há a necessidade de se observar os preceitos de ordem pública. A lei mais “liberal” do nosso País traz essa </w:t>
      </w:r>
      <w:r w:rsidR="00E16C47">
        <w:rPr>
          <w:rFonts w:ascii="Times New Roman" w:hAnsi="Times New Roman" w:cs="Times New Roman"/>
          <w:sz w:val="24"/>
          <w:szCs w:val="24"/>
        </w:rPr>
        <w:t>ressalva..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2DFFE" w14:textId="5F2CB6F0" w:rsidR="00D167BF" w:rsidRDefault="00D167BF" w:rsidP="00D167BF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167BF">
        <w:rPr>
          <w:rFonts w:ascii="Times New Roman" w:hAnsi="Times New Roman" w:cs="Times New Roman"/>
          <w:sz w:val="24"/>
          <w:szCs w:val="24"/>
        </w:rPr>
        <w:t>O que dizer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67BF">
        <w:rPr>
          <w:rFonts w:ascii="Times New Roman" w:hAnsi="Times New Roman" w:cs="Times New Roman"/>
          <w:sz w:val="24"/>
          <w:szCs w:val="24"/>
        </w:rPr>
        <w:t>então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67BF">
        <w:rPr>
          <w:rFonts w:ascii="Times New Roman" w:hAnsi="Times New Roman" w:cs="Times New Roman"/>
          <w:sz w:val="24"/>
          <w:szCs w:val="24"/>
        </w:rPr>
        <w:t xml:space="preserve">das relações familiares, sobretudo as relações estabelecidas entre cônjuges e companheiros, em que geralmente se </w:t>
      </w:r>
      <w:r>
        <w:rPr>
          <w:rFonts w:ascii="Times New Roman" w:hAnsi="Times New Roman" w:cs="Times New Roman"/>
          <w:sz w:val="24"/>
          <w:szCs w:val="24"/>
        </w:rPr>
        <w:t xml:space="preserve">defende e se prega </w:t>
      </w:r>
      <w:r w:rsidRPr="00D167BF">
        <w:rPr>
          <w:rFonts w:ascii="Times New Roman" w:hAnsi="Times New Roman" w:cs="Times New Roman"/>
          <w:sz w:val="24"/>
          <w:szCs w:val="24"/>
        </w:rPr>
        <w:t xml:space="preserve">a “contratualização”? É claro que também nos pactos firmados entre eles, </w:t>
      </w:r>
      <w:r w:rsidR="00E16C47">
        <w:rPr>
          <w:rFonts w:ascii="Times New Roman" w:hAnsi="Times New Roman" w:cs="Times New Roman"/>
          <w:sz w:val="24"/>
          <w:szCs w:val="24"/>
        </w:rPr>
        <w:t xml:space="preserve">muitas vezes como </w:t>
      </w:r>
      <w:r w:rsidR="00E16C47" w:rsidRPr="001A3BB7">
        <w:rPr>
          <w:rFonts w:ascii="Times New Roman" w:hAnsi="Times New Roman" w:cs="Times New Roman"/>
          <w:i/>
          <w:iCs/>
          <w:sz w:val="24"/>
          <w:szCs w:val="24"/>
        </w:rPr>
        <w:t>hipossuficiência econômica</w:t>
      </w:r>
      <w:r w:rsidR="00E16C47">
        <w:rPr>
          <w:rFonts w:ascii="Times New Roman" w:hAnsi="Times New Roman" w:cs="Times New Roman"/>
          <w:sz w:val="24"/>
          <w:szCs w:val="24"/>
        </w:rPr>
        <w:t xml:space="preserve"> de uma das partes, </w:t>
      </w:r>
      <w:r w:rsidRPr="00D167BF">
        <w:rPr>
          <w:rFonts w:ascii="Times New Roman" w:hAnsi="Times New Roman" w:cs="Times New Roman"/>
          <w:sz w:val="24"/>
          <w:szCs w:val="24"/>
        </w:rPr>
        <w:t xml:space="preserve">há que se respeitar as normas cogentes. Isso, aliás, está previsto no art. 1.655 do Código Civil, ao controlar a validade das previsões constantes do pacto antenupcial, </w:t>
      </w:r>
      <w:r w:rsidRPr="00E621E1">
        <w:rPr>
          <w:rFonts w:ascii="Times New Roman" w:hAnsi="Times New Roman" w:cs="Times New Roman"/>
          <w:i/>
          <w:iCs/>
          <w:sz w:val="24"/>
          <w:szCs w:val="24"/>
        </w:rPr>
        <w:t>in verbis:</w:t>
      </w:r>
      <w:r w:rsidRPr="00D167BF">
        <w:rPr>
          <w:rFonts w:ascii="Times New Roman" w:hAnsi="Times New Roman" w:cs="Times New Roman"/>
          <w:sz w:val="24"/>
          <w:szCs w:val="24"/>
        </w:rPr>
        <w:t xml:space="preserve"> “é nula a convenção ou cláusula dela que contravenha disposição absoluta de lei”. Como “disposição absoluta de lei”, entendam-se justamente as normas de ordem pública, premissa que também se aplica aos contratos de convivência</w:t>
      </w:r>
      <w:r w:rsidR="00E621E1">
        <w:rPr>
          <w:rFonts w:ascii="Times New Roman" w:hAnsi="Times New Roman" w:cs="Times New Roman"/>
          <w:sz w:val="24"/>
          <w:szCs w:val="24"/>
        </w:rPr>
        <w:t>,</w:t>
      </w:r>
      <w:r w:rsidRPr="00D167BF">
        <w:rPr>
          <w:rFonts w:ascii="Times New Roman" w:hAnsi="Times New Roman" w:cs="Times New Roman"/>
          <w:sz w:val="24"/>
          <w:szCs w:val="24"/>
        </w:rPr>
        <w:t xml:space="preserve"> firmados entre companheiros. </w:t>
      </w:r>
    </w:p>
    <w:p w14:paraId="00AF94D6" w14:textId="403D8BDB" w:rsidR="00961295" w:rsidRDefault="00D167BF" w:rsidP="00961295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7BF">
        <w:rPr>
          <w:rFonts w:ascii="Times New Roman" w:hAnsi="Times New Roman" w:cs="Times New Roman"/>
          <w:color w:val="000000"/>
          <w:sz w:val="24"/>
          <w:szCs w:val="24"/>
        </w:rPr>
        <w:t>A título de exemplo de sua subsunção, serão nulas as seguintes cláusulas constantes do pacto antenupcial</w:t>
      </w:r>
      <w:r w:rsidR="001A3BB7">
        <w:rPr>
          <w:rFonts w:ascii="Times New Roman" w:hAnsi="Times New Roman" w:cs="Times New Roman"/>
          <w:color w:val="000000"/>
          <w:sz w:val="24"/>
          <w:szCs w:val="24"/>
        </w:rPr>
        <w:t xml:space="preserve"> ou em contrato de convivência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3BB7">
        <w:rPr>
          <w:rFonts w:ascii="Times New Roman" w:hAnsi="Times New Roman" w:cs="Times New Roman"/>
          <w:color w:val="000000"/>
          <w:sz w:val="24"/>
          <w:szCs w:val="24"/>
        </w:rPr>
        <w:t>diante da existência de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 normas de ordem pública</w:t>
      </w:r>
      <w:r w:rsidR="00E621E1">
        <w:rPr>
          <w:rFonts w:ascii="Times New Roman" w:hAnsi="Times New Roman" w:cs="Times New Roman"/>
          <w:color w:val="000000"/>
          <w:sz w:val="24"/>
          <w:szCs w:val="24"/>
        </w:rPr>
        <w:t xml:space="preserve"> ou </w:t>
      </w:r>
      <w:r w:rsidR="001A3BB7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E621E1">
        <w:rPr>
          <w:rFonts w:ascii="Times New Roman" w:hAnsi="Times New Roman" w:cs="Times New Roman"/>
          <w:color w:val="000000"/>
          <w:sz w:val="24"/>
          <w:szCs w:val="24"/>
        </w:rPr>
        <w:t xml:space="preserve"> matéria cogente, que visa</w:t>
      </w:r>
      <w:r w:rsidR="00D85EF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621E1">
        <w:rPr>
          <w:rFonts w:ascii="Times New Roman" w:hAnsi="Times New Roman" w:cs="Times New Roman"/>
          <w:color w:val="000000"/>
          <w:sz w:val="24"/>
          <w:szCs w:val="24"/>
        </w:rPr>
        <w:t xml:space="preserve"> a uma determinada proteção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62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a)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 previsão contratual que estabelece que o marido, nos regimes da comunhão universal ou parcial de bens, possa vender imóvel sem outorga conjugal, afastando o art. 1.647, inc. I, do CC; </w:t>
      </w:r>
      <w:r w:rsidRPr="00D16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b)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 cláusula que determina a administração dos bens de forma exclusiva pelo marido, pois a mulher é incompetente para tanto, afastando a isonomia constitucional; </w:t>
      </w:r>
      <w:r w:rsidRPr="00D16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c)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 cláusula que estabeleça a renúncia prévia aos alimentos, infringindo a absoluta regra do art. 1.707 do CC; </w:t>
      </w:r>
      <w:r w:rsidRPr="00D16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d)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 cláusula que regulamenta previamente as regras referentes à guarda dos filhos, para o caso de divórcio do casal; </w:t>
      </w:r>
      <w:r w:rsidRPr="00D16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e)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 cláusula que imponha multa para caso de infidelidade, sendo certo que as perdas e </w:t>
      </w:r>
      <w:r w:rsidR="004231D8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danos não podem 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lastRenderedPageBreak/>
        <w:t>ser fixad</w:t>
      </w:r>
      <w:r w:rsidR="004231D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>s previamente em casos tais</w:t>
      </w:r>
      <w:r>
        <w:rPr>
          <w:rFonts w:ascii="Times New Roman" w:hAnsi="Times New Roman" w:cs="Times New Roman"/>
          <w:color w:val="000000"/>
          <w:sz w:val="24"/>
          <w:szCs w:val="24"/>
        </w:rPr>
        <w:t>, pois a eventual responsabilidade que surge do fim do vínculo tem natureza extracontratual, envolvendo questões de ordem pública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16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f)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 cláusula que afaste o regime da separação obrigatória de bens nas hipóteses descritas pelo art. 1.641 do CC; </w:t>
      </w:r>
      <w:r w:rsidR="001A3BB7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D16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g)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 cláusula que exclui expressamente o direito sucessório do cônjuge sobrevivente, afastando as regras da sucessão legítima e trazendo a renúncia prévia à herança, havendo claro </w:t>
      </w:r>
      <w:r w:rsidRPr="009612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pacto sucessório</w:t>
      </w:r>
      <w:r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, em infringência ao art. 426 do Código Civil. </w:t>
      </w:r>
    </w:p>
    <w:p w14:paraId="73D2E570" w14:textId="142B1E69" w:rsidR="00961295" w:rsidRDefault="00961295" w:rsidP="00961295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61295">
        <w:rPr>
          <w:rFonts w:ascii="Times New Roman" w:hAnsi="Times New Roman" w:cs="Times New Roman"/>
          <w:color w:val="000000"/>
          <w:sz w:val="24"/>
          <w:szCs w:val="24"/>
        </w:rPr>
        <w:t xml:space="preserve">A respeito do último exemplo, a propósito,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hipótese concreta em que houve a tentativa </w:t>
      </w:r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>de se criar um regime de separação total de bens com efeitos sucessórios, para que não houvesse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herança no caso concreto, </w:t>
      </w:r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>violando a proibição 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as </w:t>
      </w:r>
      <w:r w:rsidRPr="0096129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pacta corvina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julgou-se que </w:t>
      </w:r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s normas de direito sucessório dispostas no Título II, Capítulo I, do Código Civil (artigos 1.829 e seguintes) são de caráter cogente, não se admitindo disposição em contrário, revestindo-se de nulidade, nos termos do artigo 1.655 do Código Civil, toda e qualquer norma que confronte disposição legal” (TJMT, Apelação 15809/2016, Capital, Rel. Des. Sebastião Barbosa Farias, j. 21.06.2016, </w:t>
      </w:r>
      <w:r w:rsidRPr="0096129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DJMT </w:t>
      </w:r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24.06.2016, p. 82). </w:t>
      </w:r>
    </w:p>
    <w:p w14:paraId="292451B0" w14:textId="1A8ED01F" w:rsidR="00961295" w:rsidRPr="00961295" w:rsidRDefault="00961295" w:rsidP="00961295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>Na mesma linha, sobre a tentativa de se afastar a concorrência sucessória por meio de pacto antenupcial, o que é nulo, mais uma vez por infração ao art. 426 do Código Civil: “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Código Civil de 2002 trouxe importante inovação, erigindo o cônjuge como concorrente dos descendentes e dos ascendentes na sucessão legítima. Com isso, passou-se a privilegiar as pessoas que, apesar de não terem qualquer grau de parentesco, são o eixo central da família. Em nenhum momento o legislador condicionou a concorrência entre ascendentes e cônjuge supérstite ao regime de bens adotado no casamento. Com a dissolução da sociedade conjugal operada pela morte de um dos cônjuges, o sobrevivente terá direito, além do seu quinhão na herança do </w:t>
      </w:r>
      <w:r w:rsidRPr="0096129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de cujus</w:t>
      </w:r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conforme o caso, à sua meação, agora sim regulada pelo regime de bens adotado no casamento. O artigo 1.655 do Código Civil impõe a nulidade da convenção ou cláusula do pacto antenupcial que contravenha disposição absoluta de lei” (STJ, </w:t>
      </w:r>
      <w:proofErr w:type="spellStart"/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>REsp</w:t>
      </w:r>
      <w:proofErr w:type="spellEnd"/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954.567/PE, 3.ª Turma, Rel. Min. Massami </w:t>
      </w:r>
      <w:proofErr w:type="spellStart"/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>Uyeda</w:t>
      </w:r>
      <w:proofErr w:type="spellEnd"/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j. 10.05.2011, </w:t>
      </w:r>
      <w:r w:rsidRPr="00961295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DJe</w:t>
      </w:r>
      <w:r w:rsidRPr="009612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18.05.2011). Como consta do voto do relator, “a pretensão da recorrente de que o pacto antenupcial teria excluído o viúvo da sucessão dos bens próprios da falecida não prospera, porquanto o artigo 1.655 do Código Civil impõe a nulidade da convenção ou cláusula do pacto antenupcial que contravenha disposição absoluta de lei”. </w:t>
      </w:r>
    </w:p>
    <w:p w14:paraId="43751F7B" w14:textId="6CD536B0" w:rsidR="00D167BF" w:rsidRDefault="00E621E1" w:rsidP="00D167BF">
      <w:pPr>
        <w:spacing w:before="120" w:after="120" w:line="360" w:lineRule="auto"/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Como </w:t>
      </w:r>
      <w:r w:rsidR="00961295">
        <w:rPr>
          <w:rFonts w:ascii="Times New Roman" w:hAnsi="Times New Roman" w:cs="Times New Roman"/>
          <w:color w:val="000000"/>
          <w:sz w:val="24"/>
          <w:szCs w:val="24"/>
        </w:rPr>
        <w:t>última nota de relevo sobre o tema</w:t>
      </w:r>
      <w:r w:rsidR="001A3BB7">
        <w:rPr>
          <w:rFonts w:ascii="Times New Roman" w:hAnsi="Times New Roman" w:cs="Times New Roman"/>
          <w:color w:val="000000"/>
          <w:sz w:val="24"/>
          <w:szCs w:val="24"/>
        </w:rPr>
        <w:t xml:space="preserve"> deste breve artigo</w:t>
      </w:r>
      <w:r w:rsidR="009612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67BF"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é fundamental deixar claro que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167BF"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eventual nulidade de cláusula do pacto antenupcial não pode prejudicar o restante do ato, o que é a aplicação do </w:t>
      </w:r>
      <w:r w:rsidR="00D167BF" w:rsidRPr="00D16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princípio da conservação dos negócios jurídicos</w:t>
      </w:r>
      <w:r w:rsidR="00D167BF"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, que visa </w:t>
      </w:r>
      <w:r w:rsidR="00961295">
        <w:rPr>
          <w:rFonts w:ascii="Times New Roman" w:hAnsi="Times New Roman" w:cs="Times New Roman"/>
          <w:color w:val="000000"/>
          <w:sz w:val="24"/>
          <w:szCs w:val="24"/>
        </w:rPr>
        <w:t>justamente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à</w:t>
      </w:r>
      <w:r w:rsidR="00961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7BF"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manutenção da autonomia privada, também </w:t>
      </w:r>
      <w:r>
        <w:rPr>
          <w:rFonts w:ascii="Times New Roman" w:hAnsi="Times New Roman" w:cs="Times New Roman"/>
          <w:color w:val="000000"/>
          <w:sz w:val="24"/>
          <w:szCs w:val="24"/>
        </w:rPr>
        <w:t>quanto ao que foi</w:t>
      </w:r>
      <w:r w:rsidR="00961295">
        <w:rPr>
          <w:rFonts w:ascii="Times New Roman" w:hAnsi="Times New Roman" w:cs="Times New Roman"/>
          <w:color w:val="000000"/>
          <w:sz w:val="24"/>
          <w:szCs w:val="24"/>
        </w:rPr>
        <w:t xml:space="preserve"> pactuado entre as partes em sede de casamento ou união estável. </w:t>
      </w:r>
      <w:r w:rsidR="00D167BF" w:rsidRPr="00D167BF">
        <w:rPr>
          <w:rFonts w:ascii="Times New Roman" w:hAnsi="Times New Roman" w:cs="Times New Roman"/>
          <w:color w:val="000000"/>
          <w:sz w:val="24"/>
          <w:szCs w:val="24"/>
        </w:rPr>
        <w:t>Assim, a parte útil do negócio jurídic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167BF" w:rsidRPr="00D167BF">
        <w:rPr>
          <w:rFonts w:ascii="Times New Roman" w:hAnsi="Times New Roman" w:cs="Times New Roman"/>
          <w:color w:val="000000"/>
          <w:sz w:val="24"/>
          <w:szCs w:val="24"/>
        </w:rPr>
        <w:t xml:space="preserve"> não fica viciada pela inútil, aplicando-se a máxima </w:t>
      </w:r>
      <w:proofErr w:type="spellStart"/>
      <w:r w:rsidR="00D167BF" w:rsidRPr="00D16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utile</w:t>
      </w:r>
      <w:proofErr w:type="spellEnd"/>
      <w:r w:rsidR="00D167BF" w:rsidRPr="00D16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per </w:t>
      </w:r>
      <w:proofErr w:type="spellStart"/>
      <w:r w:rsidR="00D167BF" w:rsidRPr="00D16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inutile</w:t>
      </w:r>
      <w:proofErr w:type="spellEnd"/>
      <w:r w:rsidR="00D167BF" w:rsidRPr="00D16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non </w:t>
      </w:r>
      <w:proofErr w:type="spellStart"/>
      <w:r w:rsidR="00D167BF" w:rsidRPr="00D167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vitiatur</w:t>
      </w:r>
      <w:proofErr w:type="spellEnd"/>
      <w:r w:rsidR="00961295">
        <w:rPr>
          <w:rFonts w:ascii="Times New Roman" w:hAnsi="Times New Roman" w:cs="Times New Roman"/>
          <w:color w:val="000000"/>
          <w:sz w:val="24"/>
          <w:szCs w:val="24"/>
        </w:rPr>
        <w:t xml:space="preserve">. Como está previsto no art. </w:t>
      </w:r>
      <w:r w:rsidR="00D167BF" w:rsidRPr="00D167BF">
        <w:rPr>
          <w:rFonts w:ascii="Times New Roman" w:hAnsi="Times New Roman" w:cs="Times New Roman"/>
          <w:color w:val="000000"/>
          <w:sz w:val="24"/>
          <w:szCs w:val="24"/>
        </w:rPr>
        <w:t>184</w:t>
      </w:r>
      <w:r w:rsidR="00961295">
        <w:rPr>
          <w:rFonts w:ascii="Times New Roman" w:hAnsi="Times New Roman" w:cs="Times New Roman"/>
          <w:color w:val="000000"/>
          <w:sz w:val="24"/>
          <w:szCs w:val="24"/>
        </w:rPr>
        <w:t xml:space="preserve">, primeira parte, </w:t>
      </w:r>
      <w:r w:rsidR="00D167BF" w:rsidRPr="00D167BF">
        <w:rPr>
          <w:rFonts w:ascii="Times New Roman" w:hAnsi="Times New Roman" w:cs="Times New Roman"/>
          <w:color w:val="000000"/>
          <w:sz w:val="24"/>
          <w:szCs w:val="24"/>
        </w:rPr>
        <w:t>do CC</w:t>
      </w:r>
      <w:r w:rsidR="00961295">
        <w:rPr>
          <w:rFonts w:ascii="Times New Roman" w:hAnsi="Times New Roman" w:cs="Times New Roman"/>
          <w:color w:val="000000"/>
          <w:sz w:val="24"/>
          <w:szCs w:val="24"/>
        </w:rPr>
        <w:t>, “r</w:t>
      </w:r>
      <w:r w:rsidR="00961295" w:rsidRPr="00961295">
        <w:rPr>
          <w:rFonts w:ascii="Times New Roman" w:hAnsi="Times New Roman" w:cs="Times New Roman"/>
          <w:color w:val="000000"/>
          <w:sz w:val="24"/>
          <w:szCs w:val="24"/>
        </w:rPr>
        <w:t>espeitada a intenção das partes, a invalidade parcial de um negócio jurídico não o prejudicará na parte válida, se esta for separável</w:t>
      </w:r>
      <w:r w:rsidR="00961295">
        <w:rPr>
          <w:rFonts w:ascii="Times New Roman" w:hAnsi="Times New Roman" w:cs="Times New Roman"/>
          <w:color w:val="000000"/>
          <w:sz w:val="24"/>
          <w:szCs w:val="24"/>
        </w:rPr>
        <w:t xml:space="preserve">”. No campo dos contratos, tem-se associado essa conservação 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sua </w:t>
      </w:r>
      <w:r w:rsidR="00961295">
        <w:rPr>
          <w:rFonts w:ascii="Times New Roman" w:hAnsi="Times New Roman" w:cs="Times New Roman"/>
          <w:color w:val="000000"/>
          <w:sz w:val="24"/>
          <w:szCs w:val="24"/>
        </w:rPr>
        <w:t xml:space="preserve">função social, como preceitua o Enunciado n. 22, da </w:t>
      </w:r>
      <w:r w:rsidR="00961295" w:rsidRPr="00E621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Jornada de Direito Civil</w:t>
      </w:r>
      <w:r w:rsidR="00961295">
        <w:rPr>
          <w:rFonts w:ascii="Times New Roman" w:hAnsi="Times New Roman" w:cs="Times New Roman"/>
          <w:color w:val="000000"/>
          <w:sz w:val="24"/>
          <w:szCs w:val="24"/>
        </w:rPr>
        <w:t>: “a</w:t>
      </w:r>
      <w:r w:rsidR="00961295" w:rsidRPr="00961295">
        <w:rPr>
          <w:rFonts w:ascii="Times New Roman" w:hAnsi="Times New Roman" w:cs="Times New Roman"/>
          <w:color w:val="000000"/>
          <w:sz w:val="24"/>
          <w:szCs w:val="24"/>
        </w:rPr>
        <w:t xml:space="preserve"> função social do contrato, prevista no art. 421 do novo Código Civil, constitui cláusula geral que reforça o princípio de conservação do contrato, assegurando trocas úteis e justas</w:t>
      </w:r>
      <w:r w:rsidR="00961295">
        <w:rPr>
          <w:rFonts w:ascii="Times New Roman" w:hAnsi="Times New Roman" w:cs="Times New Roman"/>
          <w:color w:val="000000"/>
          <w:sz w:val="24"/>
          <w:szCs w:val="24"/>
        </w:rPr>
        <w:t>”. No meu entendimento, sendo reconhecida a “contratualização do Direito de Família”, além do respeito às normas de ordem pública, é preciso valorizar essa ideia de preservação da autonomia privada</w:t>
      </w:r>
      <w:r>
        <w:rPr>
          <w:rFonts w:ascii="Times New Roman" w:hAnsi="Times New Roman" w:cs="Times New Roman"/>
          <w:color w:val="000000"/>
          <w:sz w:val="24"/>
          <w:szCs w:val="24"/>
        </w:rPr>
        <w:t>, sempre que isso for possível</w:t>
      </w:r>
      <w:r w:rsidR="009612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D167B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3531" w14:textId="77777777" w:rsidR="00260411" w:rsidRDefault="00260411" w:rsidP="00B15AD0">
      <w:pPr>
        <w:spacing w:after="0" w:line="240" w:lineRule="auto"/>
      </w:pPr>
      <w:r>
        <w:separator/>
      </w:r>
    </w:p>
  </w:endnote>
  <w:endnote w:type="continuationSeparator" w:id="0">
    <w:p w14:paraId="5AC3CAFF" w14:textId="77777777" w:rsidR="00260411" w:rsidRDefault="00260411" w:rsidP="00B1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280438"/>
      <w:docPartObj>
        <w:docPartGallery w:val="Page Numbers (Bottom of Page)"/>
        <w:docPartUnique/>
      </w:docPartObj>
    </w:sdtPr>
    <w:sdtEndPr/>
    <w:sdtContent>
      <w:p w14:paraId="42295FD3" w14:textId="1D9D81A5" w:rsidR="00A327F6" w:rsidRDefault="00A327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24">
          <w:rPr>
            <w:noProof/>
          </w:rPr>
          <w:t>2</w:t>
        </w:r>
        <w:r>
          <w:fldChar w:fldCharType="end"/>
        </w:r>
      </w:p>
    </w:sdtContent>
  </w:sdt>
  <w:p w14:paraId="604D45B6" w14:textId="77777777" w:rsidR="00A327F6" w:rsidRDefault="00A327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B0B1" w14:textId="77777777" w:rsidR="00260411" w:rsidRDefault="00260411" w:rsidP="00B15AD0">
      <w:pPr>
        <w:spacing w:after="0" w:line="240" w:lineRule="auto"/>
      </w:pPr>
      <w:r>
        <w:separator/>
      </w:r>
    </w:p>
  </w:footnote>
  <w:footnote w:type="continuationSeparator" w:id="0">
    <w:p w14:paraId="0E0C957F" w14:textId="77777777" w:rsidR="00260411" w:rsidRDefault="00260411" w:rsidP="00B15AD0">
      <w:pPr>
        <w:spacing w:after="0" w:line="240" w:lineRule="auto"/>
      </w:pPr>
      <w:r>
        <w:continuationSeparator/>
      </w:r>
    </w:p>
  </w:footnote>
  <w:footnote w:id="1">
    <w:p w14:paraId="43C570EA" w14:textId="62C9342D" w:rsidR="00B15AD0" w:rsidRPr="00197971" w:rsidRDefault="00B15AD0" w:rsidP="00B15AD0">
      <w:pPr>
        <w:pStyle w:val="Textodenotaderodap"/>
        <w:jc w:val="both"/>
      </w:pPr>
      <w:r w:rsidRPr="003B2F06">
        <w:rPr>
          <w:rStyle w:val="Refdenotaderodap"/>
        </w:rPr>
        <w:footnoteRef/>
      </w:r>
      <w:r w:rsidRPr="003B2F06">
        <w:t xml:space="preserve"> </w:t>
      </w:r>
      <w:r>
        <w:t xml:space="preserve">Pós-Doutorando e </w:t>
      </w:r>
      <w:r w:rsidRPr="003B2F06">
        <w:t xml:space="preserve">Doutor em Direito Civil pela USP. Mestre em Direito Civil Comparado pela PUCSP. Professor </w:t>
      </w:r>
      <w:r>
        <w:t>T</w:t>
      </w:r>
      <w:r w:rsidRPr="003B2F06">
        <w:t xml:space="preserve">itular permanente </w:t>
      </w:r>
      <w:r>
        <w:t xml:space="preserve">e coordenador do mestrado da Escola Paulista de Direito (EPD). </w:t>
      </w:r>
      <w:r w:rsidRPr="003B2F06">
        <w:t xml:space="preserve">Professor </w:t>
      </w:r>
      <w:r>
        <w:t xml:space="preserve">e coordenador </w:t>
      </w:r>
      <w:r w:rsidRPr="003B2F06">
        <w:t xml:space="preserve">dos cursos de pós-graduação </w:t>
      </w:r>
      <w:r w:rsidRPr="00511B17">
        <w:rPr>
          <w:i/>
        </w:rPr>
        <w:t>lato sensu</w:t>
      </w:r>
      <w:r w:rsidRPr="003B2F06">
        <w:t xml:space="preserve"> </w:t>
      </w:r>
      <w:r>
        <w:t xml:space="preserve">em Direito Privado </w:t>
      </w:r>
      <w:r w:rsidRPr="003B2F06">
        <w:t>da EPD.</w:t>
      </w:r>
      <w:r>
        <w:t xml:space="preserve"> Presidente Nacional do Instituto Brasileiro de Direito Contratual (IBDCONT). Presidente do Instituto Brasileiro de Direito de Família em São Paulo (IBDFAM/SP). </w:t>
      </w:r>
      <w:r w:rsidRPr="003B2F06">
        <w:t xml:space="preserve">Advogado </w:t>
      </w:r>
      <w:r>
        <w:t xml:space="preserve">em São Paulo, parecerista </w:t>
      </w:r>
      <w:r w:rsidRPr="003B2F06">
        <w:t>e consultor jurídico</w:t>
      </w:r>
      <w:r w:rsidRPr="00197971"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4D"/>
    <w:rsid w:val="00002059"/>
    <w:rsid w:val="00012D24"/>
    <w:rsid w:val="000163F9"/>
    <w:rsid w:val="00090984"/>
    <w:rsid w:val="000A6A8E"/>
    <w:rsid w:val="000D6AB7"/>
    <w:rsid w:val="001431C6"/>
    <w:rsid w:val="00154A54"/>
    <w:rsid w:val="001A3BB7"/>
    <w:rsid w:val="001C20B6"/>
    <w:rsid w:val="001D23C5"/>
    <w:rsid w:val="001D4C59"/>
    <w:rsid w:val="00240103"/>
    <w:rsid w:val="00260411"/>
    <w:rsid w:val="002628DD"/>
    <w:rsid w:val="002809A2"/>
    <w:rsid w:val="002E0A51"/>
    <w:rsid w:val="00310780"/>
    <w:rsid w:val="00354174"/>
    <w:rsid w:val="003E6BFA"/>
    <w:rsid w:val="00416565"/>
    <w:rsid w:val="004231D8"/>
    <w:rsid w:val="00463CAE"/>
    <w:rsid w:val="00465B35"/>
    <w:rsid w:val="004B0CC8"/>
    <w:rsid w:val="004D192A"/>
    <w:rsid w:val="00551126"/>
    <w:rsid w:val="005C3619"/>
    <w:rsid w:val="005E4456"/>
    <w:rsid w:val="00637D4E"/>
    <w:rsid w:val="0065327B"/>
    <w:rsid w:val="00684049"/>
    <w:rsid w:val="006A3397"/>
    <w:rsid w:val="006B64C9"/>
    <w:rsid w:val="006E0C8C"/>
    <w:rsid w:val="006E1F16"/>
    <w:rsid w:val="006F666B"/>
    <w:rsid w:val="00783334"/>
    <w:rsid w:val="0079684D"/>
    <w:rsid w:val="007B3258"/>
    <w:rsid w:val="007B5E1B"/>
    <w:rsid w:val="007D0849"/>
    <w:rsid w:val="007E25B9"/>
    <w:rsid w:val="00801384"/>
    <w:rsid w:val="008674E3"/>
    <w:rsid w:val="008F63CA"/>
    <w:rsid w:val="00932490"/>
    <w:rsid w:val="00960F98"/>
    <w:rsid w:val="00961295"/>
    <w:rsid w:val="009715B4"/>
    <w:rsid w:val="009E1D79"/>
    <w:rsid w:val="009E65DC"/>
    <w:rsid w:val="00A1091B"/>
    <w:rsid w:val="00A17286"/>
    <w:rsid w:val="00A327F6"/>
    <w:rsid w:val="00B15AD0"/>
    <w:rsid w:val="00B35B11"/>
    <w:rsid w:val="00B83A19"/>
    <w:rsid w:val="00B975F2"/>
    <w:rsid w:val="00BC23E3"/>
    <w:rsid w:val="00C53FB9"/>
    <w:rsid w:val="00C55F21"/>
    <w:rsid w:val="00C81C6B"/>
    <w:rsid w:val="00C92E87"/>
    <w:rsid w:val="00CD50B1"/>
    <w:rsid w:val="00CE7C6D"/>
    <w:rsid w:val="00D146BD"/>
    <w:rsid w:val="00D167BF"/>
    <w:rsid w:val="00D84097"/>
    <w:rsid w:val="00D85EFE"/>
    <w:rsid w:val="00D87DAF"/>
    <w:rsid w:val="00DC17C3"/>
    <w:rsid w:val="00E03BC8"/>
    <w:rsid w:val="00E154BB"/>
    <w:rsid w:val="00E16C47"/>
    <w:rsid w:val="00E53BFA"/>
    <w:rsid w:val="00E621E1"/>
    <w:rsid w:val="00E841C3"/>
    <w:rsid w:val="00EC15F6"/>
    <w:rsid w:val="00ED029D"/>
    <w:rsid w:val="00EE67EA"/>
    <w:rsid w:val="00F37CBA"/>
    <w:rsid w:val="00F47016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AC03"/>
  <w15:chartTrackingRefBased/>
  <w15:docId w15:val="{2F1C1E37-0A4B-4893-A843-6383D03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1C6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1C6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rsid w:val="00B1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15A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B15AD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32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7F6"/>
  </w:style>
  <w:style w:type="paragraph" w:styleId="Rodap">
    <w:name w:val="footer"/>
    <w:basedOn w:val="Normal"/>
    <w:link w:val="RodapChar"/>
    <w:uiPriority w:val="99"/>
    <w:unhideWhenUsed/>
    <w:rsid w:val="00A32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7F6"/>
  </w:style>
  <w:style w:type="character" w:styleId="Refdecomentrio">
    <w:name w:val="annotation reference"/>
    <w:basedOn w:val="Fontepargpadro"/>
    <w:uiPriority w:val="99"/>
    <w:semiHidden/>
    <w:unhideWhenUsed/>
    <w:rsid w:val="00D87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7D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7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7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7DA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8DD"/>
    <w:rPr>
      <w:rFonts w:ascii="Segoe UI" w:hAnsi="Segoe UI" w:cs="Segoe UI"/>
      <w:sz w:val="18"/>
      <w:szCs w:val="18"/>
    </w:rPr>
  </w:style>
  <w:style w:type="paragraph" w:customStyle="1" w:styleId="recmenor">
    <w:name w:val="rec menor"/>
    <w:basedOn w:val="Normal"/>
    <w:uiPriority w:val="99"/>
    <w:rsid w:val="00C92E87"/>
    <w:pPr>
      <w:widowControl w:val="0"/>
      <w:suppressAutoHyphens/>
      <w:autoSpaceDE w:val="0"/>
      <w:autoSpaceDN w:val="0"/>
      <w:adjustRightInd w:val="0"/>
      <w:spacing w:before="170" w:after="283" w:line="220" w:lineRule="atLeast"/>
      <w:ind w:left="454" w:right="397"/>
      <w:jc w:val="both"/>
      <w:textAlignment w:val="center"/>
    </w:pPr>
    <w:rPr>
      <w:rFonts w:ascii="MinionPro-Regular" w:eastAsiaTheme="minorEastAsia" w:hAnsi="MinionPro-Regular" w:cs="MinionPro-Regular"/>
      <w:color w:val="000000"/>
      <w:w w:val="101"/>
      <w:sz w:val="20"/>
      <w:szCs w:val="20"/>
      <w:lang w:eastAsia="pt-BR"/>
    </w:rPr>
  </w:style>
  <w:style w:type="paragraph" w:customStyle="1" w:styleId="nota">
    <w:name w:val="nota"/>
    <w:basedOn w:val="Normal"/>
    <w:uiPriority w:val="99"/>
    <w:rsid w:val="00C92E87"/>
    <w:pPr>
      <w:widowControl w:val="0"/>
      <w:tabs>
        <w:tab w:val="left" w:pos="320"/>
      </w:tabs>
      <w:autoSpaceDE w:val="0"/>
      <w:autoSpaceDN w:val="0"/>
      <w:adjustRightInd w:val="0"/>
      <w:spacing w:after="57" w:line="200" w:lineRule="atLeast"/>
      <w:ind w:left="227" w:hanging="227"/>
      <w:jc w:val="both"/>
      <w:textAlignment w:val="center"/>
    </w:pPr>
    <w:rPr>
      <w:rFonts w:ascii="MyriadPro-Regular" w:eastAsiaTheme="minorEastAsia" w:hAnsi="MyriadPro-Regular" w:cs="MyriadPro-Regular"/>
      <w:color w:val="000000"/>
      <w:sz w:val="17"/>
      <w:szCs w:val="17"/>
      <w:lang w:eastAsia="pt-BR"/>
    </w:rPr>
  </w:style>
  <w:style w:type="character" w:customStyle="1" w:styleId="italico">
    <w:name w:val="italico"/>
    <w:uiPriority w:val="99"/>
    <w:rsid w:val="00C92E87"/>
    <w:rPr>
      <w:i/>
      <w:color w:val="000000"/>
    </w:rPr>
  </w:style>
  <w:style w:type="character" w:customStyle="1" w:styleId="elevado">
    <w:name w:val="elevado"/>
    <w:uiPriority w:val="99"/>
    <w:rsid w:val="00C92E87"/>
    <w:rPr>
      <w:color w:val="000000"/>
      <w:vertAlign w:val="superscript"/>
    </w:rPr>
  </w:style>
  <w:style w:type="paragraph" w:customStyle="1" w:styleId="t">
    <w:name w:val="t"/>
    <w:basedOn w:val="Normal"/>
    <w:next w:val="Normal"/>
    <w:uiPriority w:val="99"/>
    <w:rsid w:val="00D167BF"/>
    <w:pPr>
      <w:widowControl w:val="0"/>
      <w:autoSpaceDE w:val="0"/>
      <w:autoSpaceDN w:val="0"/>
      <w:adjustRightInd w:val="0"/>
      <w:spacing w:after="57" w:line="240" w:lineRule="atLeast"/>
      <w:ind w:firstLine="454"/>
      <w:jc w:val="both"/>
      <w:textAlignment w:val="center"/>
    </w:pPr>
    <w:rPr>
      <w:rFonts w:ascii="MinionPro-Regular" w:eastAsiaTheme="minorEastAsia" w:hAnsi="MinionPro-Regular" w:cs="MinionPro-Regular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05BA-75A6-4D71-9BB5-B46BB96D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Flávio Tartuce</cp:lastModifiedBy>
  <cp:revision>2</cp:revision>
  <dcterms:created xsi:type="dcterms:W3CDTF">2021-08-29T18:13:00Z</dcterms:created>
  <dcterms:modified xsi:type="dcterms:W3CDTF">2021-08-29T18:13:00Z</dcterms:modified>
</cp:coreProperties>
</file>