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318" w:rsidRDefault="00C50077" w:rsidP="00A65111">
      <w:pPr>
        <w:pStyle w:val="b"/>
        <w:spacing w:before="120" w:after="120"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ESTATUTO DA FAMÍLIA </w:t>
      </w:r>
      <w:r w:rsidRPr="003F636D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ESTATUTO DAS FAMÍLIAS. </w:t>
      </w:r>
    </w:p>
    <w:p w:rsidR="003A22A7" w:rsidRDefault="003E69D5" w:rsidP="00A65111">
      <w:pPr>
        <w:pStyle w:val="b"/>
        <w:spacing w:before="120" w:after="120"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SINGULAR </w:t>
      </w:r>
      <w:r w:rsidRPr="000770C7">
        <w:rPr>
          <w:rFonts w:ascii="Times New Roman" w:hAnsi="Times New Roman" w:cs="Times New Roman"/>
          <w:i/>
          <w:sz w:val="24"/>
          <w:szCs w:val="24"/>
        </w:rPr>
        <w:t xml:space="preserve">X </w:t>
      </w:r>
      <w:r>
        <w:rPr>
          <w:rFonts w:ascii="Times New Roman" w:hAnsi="Times New Roman" w:cs="Times New Roman"/>
          <w:sz w:val="24"/>
          <w:szCs w:val="24"/>
        </w:rPr>
        <w:t xml:space="preserve">PLURAL. </w:t>
      </w:r>
    </w:p>
    <w:p w:rsidR="003E69D5" w:rsidRDefault="003E69D5" w:rsidP="00A65111">
      <w:pPr>
        <w:pStyle w:val="b"/>
        <w:spacing w:before="120" w:after="120"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EXCLUSÃO </w:t>
      </w:r>
      <w:r w:rsidRPr="000770C7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INCLUSÃO. </w:t>
      </w:r>
    </w:p>
    <w:p w:rsidR="00786E58" w:rsidRDefault="00786E58" w:rsidP="00660318">
      <w:pPr>
        <w:pStyle w:val="b"/>
        <w:spacing w:before="120" w:after="120" w:line="360" w:lineRule="auto"/>
        <w:ind w:left="0" w:firstLine="1800"/>
        <w:jc w:val="right"/>
        <w:rPr>
          <w:rFonts w:ascii="Times New Roman" w:hAnsi="Times New Roman" w:cs="Times New Roman"/>
          <w:sz w:val="24"/>
          <w:szCs w:val="24"/>
        </w:rPr>
      </w:pPr>
    </w:p>
    <w:p w:rsidR="008A6AD3" w:rsidRDefault="00660318" w:rsidP="00660318">
      <w:pPr>
        <w:pStyle w:val="b"/>
        <w:spacing w:before="120" w:after="120" w:line="360" w:lineRule="auto"/>
        <w:ind w:left="0" w:firstLine="18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Flávio Tartuce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</w:p>
    <w:p w:rsidR="003E12B7" w:rsidRDefault="003E12B7" w:rsidP="00663EA1">
      <w:pPr>
        <w:rPr>
          <w:lang w:eastAsia="pt-BR"/>
        </w:rPr>
      </w:pPr>
    </w:p>
    <w:p w:rsidR="00C50077" w:rsidRPr="00C50077" w:rsidRDefault="00C50077" w:rsidP="00C50077">
      <w:pPr>
        <w:rPr>
          <w:lang w:eastAsia="pt-BR"/>
        </w:rPr>
      </w:pPr>
    </w:p>
    <w:p w:rsidR="00B561D7" w:rsidRDefault="00C50077" w:rsidP="00A65111">
      <w:pPr>
        <w:pStyle w:val="t"/>
        <w:tabs>
          <w:tab w:val="left" w:pos="680"/>
        </w:tabs>
        <w:suppressAutoHyphens/>
        <w:spacing w:before="120" w:after="120" w:line="360" w:lineRule="auto"/>
        <w:ind w:firstLine="1843"/>
      </w:pPr>
      <w:r>
        <w:t>O Brasil vive, no presente momento, um g</w:t>
      </w:r>
      <w:r w:rsidR="00997075">
        <w:t xml:space="preserve">rande conflito ideológico </w:t>
      </w:r>
      <w:r w:rsidR="009C5C12">
        <w:t xml:space="preserve">e, como </w:t>
      </w:r>
      <w:r w:rsidR="00997075">
        <w:t xml:space="preserve">não poderia ser diferente, </w:t>
      </w:r>
      <w:r>
        <w:t xml:space="preserve">tal colisão atinge não só os aplicadores do Direito como também os projetos de lei que tramitam no Congresso Nacional, especialmente em temas condizentes aos costumes e à família. Como exemplo desse embate, pode ser citada </w:t>
      </w:r>
      <w:r w:rsidR="00B23ADD">
        <w:t xml:space="preserve">a </w:t>
      </w:r>
      <w:r>
        <w:t>tramitação de dois projetos de lei</w:t>
      </w:r>
      <w:r w:rsidR="00B561D7">
        <w:t xml:space="preserve"> </w:t>
      </w:r>
      <w:r w:rsidR="00997075">
        <w:t xml:space="preserve">a respeito do conceito de família </w:t>
      </w:r>
      <w:r w:rsidR="00B23ADD">
        <w:t>no</w:t>
      </w:r>
      <w:r w:rsidR="00B561D7">
        <w:t xml:space="preserve"> </w:t>
      </w:r>
      <w:r w:rsidR="002169B8">
        <w:t xml:space="preserve">Congresso Nacional. </w:t>
      </w:r>
      <w:r w:rsidR="009B5337">
        <w:t xml:space="preserve"> </w:t>
      </w:r>
    </w:p>
    <w:p w:rsidR="00B561D7" w:rsidRDefault="00C50077" w:rsidP="00B561D7">
      <w:pPr>
        <w:pStyle w:val="t"/>
        <w:tabs>
          <w:tab w:val="left" w:pos="680"/>
        </w:tabs>
        <w:suppressAutoHyphens/>
        <w:spacing w:before="120" w:after="120" w:line="360" w:lineRule="auto"/>
        <w:ind w:firstLine="1843"/>
      </w:pPr>
      <w:r>
        <w:t>O primeiro deles, na Câmara dos Deputados, intitulado Estatuto da Família (PL 6.</w:t>
      </w:r>
      <w:r w:rsidR="00B561D7">
        <w:t>583/2013),</w:t>
      </w:r>
      <w:r w:rsidR="007020A7">
        <w:t xml:space="preserve"> no singular, </w:t>
      </w:r>
      <w:r w:rsidR="00B561D7">
        <w:t xml:space="preserve">pretende restringir o conceito de família aos casamentos e às uniões estáveis entre homens e mulheres e seus filhos. Nos termos do seu art. 1º, "esta Lei institui o Estatuto da Família e dispõe sobre os direitos da família, e as diretrizes das políticas públicas voltadas para valorização e apoiamento à entidade familiar". Em complemento, enuncia </w:t>
      </w:r>
      <w:r w:rsidR="007020A7">
        <w:t>a</w:t>
      </w:r>
      <w:r w:rsidR="00B561D7">
        <w:t xml:space="preserve"> proposta de art. 2º da norma que "para os fins desta Lei, define-se entidade familiar como o núcleo social formado a partir da união entre um homem e uma mulher, por meio de casamento ou união estável, ou ainda por comunidade formada por qualquer dos pais e seus descendentes".</w:t>
      </w:r>
    </w:p>
    <w:p w:rsidR="00997075" w:rsidRDefault="00C50077" w:rsidP="00B22A46">
      <w:pPr>
        <w:pStyle w:val="t"/>
        <w:tabs>
          <w:tab w:val="left" w:pos="680"/>
        </w:tabs>
        <w:suppressAutoHyphens/>
        <w:spacing w:before="120" w:after="120" w:line="360" w:lineRule="auto"/>
        <w:ind w:firstLine="1843"/>
      </w:pPr>
      <w:r>
        <w:t xml:space="preserve"> </w:t>
      </w:r>
      <w:r w:rsidR="00B561D7">
        <w:t xml:space="preserve">A outra projeção é o Estatuto das Famílias (PL 470/2013), </w:t>
      </w:r>
      <w:r w:rsidR="007020A7">
        <w:t xml:space="preserve">no plural, </w:t>
      </w:r>
      <w:r w:rsidR="00B561D7">
        <w:t>em curso no Senado Federal, originário de proposta formulada pelos juristas que compõe</w:t>
      </w:r>
      <w:r w:rsidR="00B23ADD">
        <w:t>m</w:t>
      </w:r>
      <w:r w:rsidR="00B561D7">
        <w:t xml:space="preserve"> o IBDFAM (Instituto Brasileiro de Direito de Família) e que</w:t>
      </w:r>
      <w:r w:rsidR="002169B8">
        <w:t>,</w:t>
      </w:r>
      <w:r w:rsidR="00B561D7">
        <w:t xml:space="preserve"> em vários de seus dispositivos</w:t>
      </w:r>
      <w:r w:rsidR="002169B8">
        <w:t>,</w:t>
      </w:r>
      <w:r w:rsidR="00B23ADD">
        <w:t xml:space="preserve"> </w:t>
      </w:r>
      <w:r w:rsidR="00B561D7">
        <w:t xml:space="preserve">traz um conceito extensivo de família.  </w:t>
      </w:r>
      <w:r w:rsidR="00B22A46">
        <w:t xml:space="preserve">Cite-se, </w:t>
      </w:r>
      <w:r w:rsidR="009E59CA">
        <w:t xml:space="preserve">entre tantas regras, </w:t>
      </w:r>
      <w:r w:rsidR="00B22A46">
        <w:t>a proposta de conceito de união estável constante do seu art. 61</w:t>
      </w:r>
      <w:r w:rsidR="007020A7">
        <w:t xml:space="preserve">, </w:t>
      </w:r>
      <w:r w:rsidR="007020A7" w:rsidRPr="007020A7">
        <w:rPr>
          <w:i/>
        </w:rPr>
        <w:t>in verbis</w:t>
      </w:r>
      <w:r w:rsidR="00B22A46" w:rsidRPr="007020A7">
        <w:rPr>
          <w:i/>
        </w:rPr>
        <w:t>:</w:t>
      </w:r>
      <w:r w:rsidR="00B22A46">
        <w:t xml:space="preserve"> "é reconhecida </w:t>
      </w:r>
      <w:r w:rsidR="00B22A46">
        <w:lastRenderedPageBreak/>
        <w:t>como entidade familiar a união estável entre duas pessoas, configurada na convivência pública, contínua, duradoura e estabelecida com o objetivo de constituição de família".</w:t>
      </w:r>
      <w:r w:rsidR="00997075">
        <w:t xml:space="preserve"> </w:t>
      </w:r>
      <w:r w:rsidR="002169B8">
        <w:t xml:space="preserve">Como se nota, a proposta menciona a união de duas pessoas, não obrigatoriamente homem e mulher. </w:t>
      </w:r>
    </w:p>
    <w:p w:rsidR="00997075" w:rsidRDefault="00997075" w:rsidP="00997075">
      <w:pPr>
        <w:pStyle w:val="t"/>
        <w:tabs>
          <w:tab w:val="left" w:pos="680"/>
        </w:tabs>
        <w:suppressAutoHyphens/>
        <w:spacing w:before="120" w:after="120" w:line="360" w:lineRule="auto"/>
        <w:ind w:firstLine="1843"/>
      </w:pPr>
      <w:r>
        <w:t xml:space="preserve">Acompanhando os debates que ocorrem na Câmara dos Deputados, e diante do momento que vive o País, o Projeto de Lei n. 6.583/2013 tem grandes chances de ser aprovado. Se isso ocorrer, não persistindo eventual veto da Presidência da República, dois são os caminhos </w:t>
      </w:r>
      <w:r w:rsidR="002169B8">
        <w:t xml:space="preserve">interpretativos </w:t>
      </w:r>
      <w:r>
        <w:t xml:space="preserve">para a citada projeção. </w:t>
      </w:r>
    </w:p>
    <w:p w:rsidR="00997075" w:rsidRDefault="00997075" w:rsidP="00997075">
      <w:pPr>
        <w:pStyle w:val="t"/>
        <w:tabs>
          <w:tab w:val="left" w:pos="680"/>
        </w:tabs>
        <w:suppressAutoHyphens/>
        <w:spacing w:before="120" w:after="120" w:line="360" w:lineRule="auto"/>
        <w:ind w:firstLine="1843"/>
      </w:pPr>
      <w:r>
        <w:t xml:space="preserve">O </w:t>
      </w:r>
      <w:r w:rsidRPr="009B5337">
        <w:rPr>
          <w:i/>
        </w:rPr>
        <w:t>primeiro deles</w:t>
      </w:r>
      <w:r>
        <w:t xml:space="preserve"> é o reconhecimento de sua inconstitucionalidade. Ora, é sabido que o Supremo Tribunal Federal concluiu que a união homoafetiva é entidade familiar</w:t>
      </w:r>
      <w:r w:rsidR="009B5337">
        <w:t xml:space="preserve"> protegida pela Constituição Federal</w:t>
      </w:r>
      <w:r>
        <w:t xml:space="preserve">, devendo ser aplicadas, por analogia, todas as regras previstas para a união estável heteroafetiva (julgado </w:t>
      </w:r>
      <w:r w:rsidR="007020A7">
        <w:t xml:space="preserve">na ADPF 132/RJ, </w:t>
      </w:r>
      <w:r>
        <w:t xml:space="preserve">publicado no </w:t>
      </w:r>
      <w:r w:rsidRPr="00997075">
        <w:rPr>
          <w:i/>
        </w:rPr>
        <w:t>Informativo n.</w:t>
      </w:r>
      <w:r>
        <w:t xml:space="preserve"> 625 da Corte, de maio de 2011). </w:t>
      </w:r>
      <w:r w:rsidR="009B5337">
        <w:t>Em complemento</w:t>
      </w:r>
      <w:r>
        <w:t>, o Superior Tribunal de Justiça reconhece</w:t>
      </w:r>
      <w:r w:rsidR="009B5337">
        <w:t xml:space="preserve">u, logo após, </w:t>
      </w:r>
      <w:r>
        <w:t>que é possível o casamento entre pessoas do mesmo sexo, consequência natural da decisão do Supremo, pois se todas as normas são aplicáveis por analogia, o mesmo deve ser dito quanto à conversão da união estável ao casamento, retirada do art. 1.727 do Código Civil (REsp. 1.183.378/RS). Conforme o voto do Ministro Luis Felipe Salomão</w:t>
      </w:r>
      <w:r w:rsidR="001A283E">
        <w:t xml:space="preserve"> nesse acórdão</w:t>
      </w:r>
      <w:r>
        <w:t>, proferido em outubro de 2011, “é bem de ver que, em 1988, não houve uma recepção constitucional do conceito histórico de casamento, sempre considerado como via única para a constituição de família e, por vezes, um ambiente de subversão dos ora consagrados princípios da igualdade e da dignidade da pessoa humana. Agora, a concepção constitucional do casamento – diferentemente do que ocorria com os diplomas superados – deve ser necessariamente plural, porque plurais também são as famílias e, ademais, não é ele, o casamento, o destinatário final da proteção do Estado, mas apenas o intermediário de um propósito maior, que é a proteção da pessoa humana em sua inalienável dignidade. A fundamentação do casamento hoje não pode simplesmente emergir de seu traço histórico, mas deve ser extraída de sua função constitucional instrumentalizadora da dignidade da pessoa humana. Por isso</w:t>
      </w:r>
      <w:r w:rsidR="0096122E">
        <w:t>,</w:t>
      </w:r>
      <w:r>
        <w:t xml:space="preserve"> não se pode examinar o casamento de hoje como exatamente o mesmo de dois séculos passados, cuja união entre Estado e Igreja engendrou um casamento civil sacramental, de núcleo essencial fincado na procriação, na indissolubilidade e na heterossexualidade”.</w:t>
      </w:r>
    </w:p>
    <w:p w:rsidR="00997075" w:rsidRDefault="00997075" w:rsidP="00997075">
      <w:pPr>
        <w:pStyle w:val="t"/>
        <w:tabs>
          <w:tab w:val="left" w:pos="680"/>
        </w:tabs>
        <w:suppressAutoHyphens/>
        <w:spacing w:before="120" w:after="120" w:line="360" w:lineRule="auto"/>
        <w:ind w:firstLine="1843"/>
      </w:pPr>
      <w:r>
        <w:t>Todas essas decisões fizeram</w:t>
      </w:r>
      <w:r w:rsidR="002D7C18">
        <w:t xml:space="preserve"> </w:t>
      </w:r>
      <w:r>
        <w:t xml:space="preserve">o Conselho Nacional de Justiça (CNJ) </w:t>
      </w:r>
      <w:r w:rsidR="0096122E">
        <w:lastRenderedPageBreak/>
        <w:t xml:space="preserve">editar, em 2013, </w:t>
      </w:r>
      <w:r>
        <w:t xml:space="preserve">a Resolução n. 175, que veda às autoridades competentes, caso dos responsáveis pelos Cartórios de Registro Civil de todo o País, a recusa de habilitação, celebração de casamento civil ou de conversão de união estável em casamento entre pessoas de mesmo sexo. Em suma, o casamento homoafetivo transformou-se em realidade prática do Direito Brasileiro. </w:t>
      </w:r>
    </w:p>
    <w:p w:rsidR="00997075" w:rsidRDefault="00997075" w:rsidP="00997075">
      <w:pPr>
        <w:pStyle w:val="t"/>
        <w:tabs>
          <w:tab w:val="left" w:pos="680"/>
        </w:tabs>
        <w:suppressAutoHyphens/>
        <w:spacing w:before="120" w:after="120" w:line="360" w:lineRule="auto"/>
        <w:ind w:firstLine="1843"/>
      </w:pPr>
      <w:r>
        <w:t xml:space="preserve">No âmbito da doutrina do Direito de Família, para demonstrar qual a corrente majoritária hoje </w:t>
      </w:r>
      <w:r w:rsidR="008E71AC">
        <w:t>prevalecente</w:t>
      </w:r>
      <w:r>
        <w:t xml:space="preserve">, pontue-se que, na </w:t>
      </w:r>
      <w:r w:rsidRPr="00C27ED4">
        <w:rPr>
          <w:i/>
        </w:rPr>
        <w:t>VII Jornada de Direito Civil,</w:t>
      </w:r>
      <w:r w:rsidRPr="00997075">
        <w:t xml:space="preserve"> realizada pelo Conselho da Justiça Federal em </w:t>
      </w:r>
      <w:r w:rsidR="00C27ED4">
        <w:t xml:space="preserve">setembro de </w:t>
      </w:r>
      <w:r w:rsidRPr="00997075">
        <w:t>2015, aprovou-se enunciado segundo o qual é existente e válido o casamento entre pessoas do mesmo sexo</w:t>
      </w:r>
      <w:r w:rsidR="00C27ED4">
        <w:t xml:space="preserve">. </w:t>
      </w:r>
      <w:r w:rsidRPr="00997075">
        <w:t xml:space="preserve">Cabe </w:t>
      </w:r>
      <w:r w:rsidR="00C27ED4">
        <w:t xml:space="preserve">esclarecer </w:t>
      </w:r>
      <w:r w:rsidRPr="00997075">
        <w:t xml:space="preserve">que desse evento participaram juristas com as mais variadas visões sobre o Direito de Família e, mesmo assim, a proposta aprovada conseguiu ampla maioria, o que demonstra uma sedimentação doutrinária a respeito do tema no País. </w:t>
      </w:r>
      <w:r>
        <w:t xml:space="preserve"> </w:t>
      </w:r>
    </w:p>
    <w:p w:rsidR="00C27ED4" w:rsidRDefault="00C27ED4" w:rsidP="00C27ED4">
      <w:pPr>
        <w:pStyle w:val="t"/>
        <w:tabs>
          <w:tab w:val="left" w:pos="680"/>
        </w:tabs>
        <w:suppressAutoHyphens/>
        <w:spacing w:before="120" w:after="120" w:line="360" w:lineRule="auto"/>
        <w:ind w:firstLine="1843"/>
      </w:pPr>
      <w:r>
        <w:t>O citado Estatuto da Família</w:t>
      </w:r>
      <w:r w:rsidR="007020A7">
        <w:t xml:space="preserve">, no singular, </w:t>
      </w:r>
      <w:r>
        <w:t xml:space="preserve">desconsidera toda essa evolução. Sim, </w:t>
      </w:r>
      <w:r w:rsidRPr="007020A7">
        <w:rPr>
          <w:i/>
        </w:rPr>
        <w:t>evolução</w:t>
      </w:r>
      <w:r>
        <w:t xml:space="preserve">, pois a tendência dos </w:t>
      </w:r>
      <w:r w:rsidR="0063316F">
        <w:t>p</w:t>
      </w:r>
      <w:r>
        <w:t xml:space="preserve">aíses </w:t>
      </w:r>
      <w:r w:rsidR="0063316F">
        <w:t>o</w:t>
      </w:r>
      <w:r>
        <w:t>cidentais é a inclusão dos direitos civis d</w:t>
      </w:r>
      <w:r w:rsidR="007020A7">
        <w:t>e</w:t>
      </w:r>
      <w:r>
        <w:t xml:space="preserve"> casais homossexuais, sem que isso represente qualquer afronta </w:t>
      </w:r>
      <w:r w:rsidR="000957F7">
        <w:t xml:space="preserve">ou ofensa </w:t>
      </w:r>
      <w:r>
        <w:t xml:space="preserve">aos direitos das pessoas que pretendem ter uniões heteroafetivas. Nessa perspectiva, </w:t>
      </w:r>
      <w:r w:rsidR="000957F7">
        <w:t xml:space="preserve">o projeto </w:t>
      </w:r>
      <w:r w:rsidR="007020A7">
        <w:t xml:space="preserve">já </w:t>
      </w:r>
      <w:r w:rsidR="000957F7">
        <w:t>soa</w:t>
      </w:r>
      <w:r>
        <w:t xml:space="preserve"> </w:t>
      </w:r>
      <w:r w:rsidR="007020A7">
        <w:t xml:space="preserve">totalmente </w:t>
      </w:r>
      <w:r>
        <w:t xml:space="preserve">inconstitucional.  </w:t>
      </w:r>
    </w:p>
    <w:p w:rsidR="00C27ED4" w:rsidRDefault="00C27ED4" w:rsidP="00C27ED4">
      <w:pPr>
        <w:pStyle w:val="t"/>
        <w:tabs>
          <w:tab w:val="left" w:pos="680"/>
        </w:tabs>
        <w:suppressAutoHyphens/>
        <w:spacing w:before="120" w:after="120" w:line="360" w:lineRule="auto"/>
        <w:ind w:firstLine="1843"/>
      </w:pPr>
      <w:r>
        <w:t>Mas não é só. O art. 2º do Projeto de Lei n. 6.583/2013 é inconstitucional por desconsiderar o conceito de família monoparental previsto no art. 226, §</w:t>
      </w:r>
      <w:r w:rsidR="009B5337">
        <w:t xml:space="preserve"> </w:t>
      </w:r>
      <w:bookmarkStart w:id="0" w:name="_GoBack"/>
      <w:bookmarkEnd w:id="0"/>
      <w:r>
        <w:t>4º, do Texto Maior, constituíd</w:t>
      </w:r>
      <w:r w:rsidR="000957F7">
        <w:t>a</w:t>
      </w:r>
      <w:r>
        <w:t xml:space="preserve"> por um dos ascendentes e seus descendentes. Como antes se transcreve</w:t>
      </w:r>
      <w:r w:rsidR="009B5337">
        <w:t>u</w:t>
      </w:r>
      <w:r>
        <w:t>, a projeção limita a família aos pais que vivem com seus filhos, deixando de fora as famílias monoparentais existentes entre avós e netos.</w:t>
      </w:r>
    </w:p>
    <w:p w:rsidR="008E71AC" w:rsidRDefault="00C27ED4" w:rsidP="00C27ED4">
      <w:pPr>
        <w:pStyle w:val="t"/>
        <w:tabs>
          <w:tab w:val="left" w:pos="680"/>
        </w:tabs>
        <w:suppressAutoHyphens/>
        <w:spacing w:before="120" w:after="120" w:line="360" w:lineRule="auto"/>
        <w:ind w:firstLine="1843"/>
      </w:pPr>
      <w:r>
        <w:t>Sem falar em outr</w:t>
      </w:r>
      <w:r w:rsidR="00E011CF">
        <w:t>a</w:t>
      </w:r>
      <w:r>
        <w:t xml:space="preserve">s entidades que também não foram contempladas, caso das </w:t>
      </w:r>
      <w:r w:rsidRPr="009B5337">
        <w:rPr>
          <w:i/>
        </w:rPr>
        <w:t>famílias mosaico</w:t>
      </w:r>
      <w:r>
        <w:t xml:space="preserve"> </w:t>
      </w:r>
      <w:r w:rsidR="0096122E">
        <w:t xml:space="preserve">– </w:t>
      </w:r>
      <w:r>
        <w:t>de várias origens</w:t>
      </w:r>
      <w:r w:rsidR="009B5337">
        <w:t>, oriundas de famílias reconstituídas</w:t>
      </w:r>
      <w:r>
        <w:t xml:space="preserve"> </w:t>
      </w:r>
      <w:r w:rsidR="0096122E">
        <w:t xml:space="preserve">– </w:t>
      </w:r>
      <w:r>
        <w:t xml:space="preserve">e das </w:t>
      </w:r>
      <w:r w:rsidRPr="009B5337">
        <w:rPr>
          <w:i/>
        </w:rPr>
        <w:t>famílias anaparentais</w:t>
      </w:r>
      <w:r>
        <w:t xml:space="preserve"> (na expressão criada por Sérgio Resende de Barros) </w:t>
      </w:r>
      <w:r w:rsidR="0096122E">
        <w:t xml:space="preserve">– </w:t>
      </w:r>
      <w:r w:rsidR="008E71AC" w:rsidRPr="008E71AC">
        <w:rPr>
          <w:i/>
        </w:rPr>
        <w:t>famílias sem pais,</w:t>
      </w:r>
      <w:r w:rsidR="008E71AC">
        <w:t xml:space="preserve"> </w:t>
      </w:r>
      <w:r>
        <w:t>formada</w:t>
      </w:r>
      <w:r w:rsidR="007020A7">
        <w:t>s</w:t>
      </w:r>
      <w:r>
        <w:t xml:space="preserve"> por irmãos ou primos que vivem juntos, com intuito </w:t>
      </w:r>
      <w:r w:rsidR="009B5337">
        <w:t xml:space="preserve">comunitário </w:t>
      </w:r>
      <w:r>
        <w:t xml:space="preserve">familiar. </w:t>
      </w:r>
    </w:p>
    <w:p w:rsidR="00C27ED4" w:rsidRDefault="009B5337" w:rsidP="00C27ED4">
      <w:pPr>
        <w:pStyle w:val="t"/>
        <w:tabs>
          <w:tab w:val="left" w:pos="680"/>
        </w:tabs>
        <w:suppressAutoHyphens/>
        <w:spacing w:before="120" w:after="120" w:line="360" w:lineRule="auto"/>
        <w:ind w:firstLine="1843"/>
      </w:pPr>
      <w:r>
        <w:t>S</w:t>
      </w:r>
      <w:r w:rsidR="00C27ED4">
        <w:t>abe-se, conforme os escritos de vários constitucionalistas</w:t>
      </w:r>
      <w:r>
        <w:t xml:space="preserve"> nacionais</w:t>
      </w:r>
      <w:r w:rsidR="00C27ED4">
        <w:t xml:space="preserve">, que a Constituição Federal </w:t>
      </w:r>
      <w:r w:rsidR="008E71AC">
        <w:t xml:space="preserve">Brasileira </w:t>
      </w:r>
      <w:r w:rsidR="00C27ED4">
        <w:t>de 1988 é inclusiva, e não exclusi</w:t>
      </w:r>
      <w:r>
        <w:t xml:space="preserve">va, </w:t>
      </w:r>
      <w:r w:rsidR="006F3970">
        <w:t xml:space="preserve">afirmação que merece </w:t>
      </w:r>
      <w:r>
        <w:t>especial atenção quanto</w:t>
      </w:r>
      <w:r w:rsidR="00C27ED4">
        <w:t xml:space="preserve"> tópico que regulamenta as entidades familiares</w:t>
      </w:r>
      <w:r>
        <w:t xml:space="preserve"> </w:t>
      </w:r>
      <w:r w:rsidR="006F3970">
        <w:t>em rol meramente exemplificativo</w:t>
      </w:r>
      <w:r>
        <w:t xml:space="preserve"> (art. 226)</w:t>
      </w:r>
      <w:r w:rsidR="00C27ED4">
        <w:t xml:space="preserve">. Assim, não pode uma lei infraconstitucional limitar o texto superior na concessão de direitos civis sob pena de flagrante </w:t>
      </w:r>
      <w:r w:rsidR="00C27ED4">
        <w:lastRenderedPageBreak/>
        <w:t xml:space="preserve">inconstitucionalidade. </w:t>
      </w:r>
    </w:p>
    <w:p w:rsidR="00C27ED4" w:rsidRDefault="00C27ED4" w:rsidP="00C27ED4">
      <w:pPr>
        <w:pStyle w:val="t"/>
        <w:tabs>
          <w:tab w:val="left" w:pos="680"/>
        </w:tabs>
        <w:suppressAutoHyphens/>
        <w:spacing w:before="120" w:after="120" w:line="360" w:lineRule="auto"/>
        <w:ind w:firstLine="1843"/>
      </w:pPr>
      <w:r>
        <w:t>Vale dizer, em complemento, que a Lei Maria da Penha já traz um conceito ampliativo, em seu art. 5º, inciso II, ao estabelecer que a família deve ser compreendida "</w:t>
      </w:r>
      <w:r w:rsidRPr="00C27ED4">
        <w:t>como a comunidade formada por indivíduos que são ou se consideram aparentados, unidos por laços naturais, por afinidade ou por vontade expressa</w:t>
      </w:r>
      <w:r>
        <w:t>". Essa é a ideia de família que deve prevalecer na realidade brasileira, na opinião deste articulista</w:t>
      </w:r>
      <w:r w:rsidR="006F3970">
        <w:t>, não só para os fins de incidência dessa lei, mas também de outras</w:t>
      </w:r>
      <w:r w:rsidR="008E71AC">
        <w:t xml:space="preserve"> normas</w:t>
      </w:r>
      <w:r>
        <w:t xml:space="preserve">. </w:t>
      </w:r>
    </w:p>
    <w:p w:rsidR="00786E58" w:rsidRDefault="00C27ED4" w:rsidP="00C27ED4">
      <w:pPr>
        <w:pStyle w:val="t"/>
        <w:tabs>
          <w:tab w:val="left" w:pos="680"/>
        </w:tabs>
        <w:suppressAutoHyphens/>
        <w:spacing w:before="120" w:after="120" w:line="360" w:lineRule="auto"/>
        <w:ind w:firstLine="1843"/>
      </w:pPr>
      <w:r>
        <w:t xml:space="preserve">De toda sorte, </w:t>
      </w:r>
      <w:r w:rsidR="006F3970">
        <w:t xml:space="preserve">há um </w:t>
      </w:r>
      <w:r w:rsidR="006F3970" w:rsidRPr="006F3970">
        <w:rPr>
          <w:i/>
        </w:rPr>
        <w:t>segundo caminho</w:t>
      </w:r>
      <w:r w:rsidR="006F3970">
        <w:t xml:space="preserve"> para a</w:t>
      </w:r>
      <w:r w:rsidR="003E69D5">
        <w:t xml:space="preserve"> </w:t>
      </w:r>
      <w:r>
        <w:t>interpretação</w:t>
      </w:r>
      <w:r w:rsidR="006F3970">
        <w:t xml:space="preserve"> do Estatuto da Família, qual seja</w:t>
      </w:r>
      <w:r w:rsidR="000957F7">
        <w:t xml:space="preserve"> o</w:t>
      </w:r>
      <w:r w:rsidR="006F3970">
        <w:t xml:space="preserve"> de adaptá-lo ao Texto Maior e a toda essa evolução. Por essa ideia, é possível firmar a premissa segundo a qual</w:t>
      </w:r>
      <w:r>
        <w:t xml:space="preserve"> </w:t>
      </w:r>
      <w:r w:rsidR="000957F7">
        <w:t>o projeto de lei</w:t>
      </w:r>
      <w:r>
        <w:t xml:space="preserve"> apenas exemplifica algumas formas de família, sem excluir outras, caso de todas as entidades aqui citadas. Se for assim, nosso Congresso Nacional perde </w:t>
      </w:r>
      <w:r w:rsidR="008E71AC">
        <w:t xml:space="preserve">precioso </w:t>
      </w:r>
      <w:r>
        <w:t>tempo</w:t>
      </w:r>
      <w:r w:rsidR="003E69D5">
        <w:t xml:space="preserve"> de trabalho legislativo</w:t>
      </w:r>
      <w:r>
        <w:t xml:space="preserve">, pois as famílias ali previstas já estão </w:t>
      </w:r>
      <w:r w:rsidR="003E69D5">
        <w:t xml:space="preserve">amplamente </w:t>
      </w:r>
      <w:r>
        <w:t xml:space="preserve">tuteladas, </w:t>
      </w:r>
      <w:r w:rsidR="003E69D5">
        <w:t xml:space="preserve">especialmente por serem </w:t>
      </w:r>
      <w:r>
        <w:t xml:space="preserve">maioria no Brasil. </w:t>
      </w:r>
    </w:p>
    <w:p w:rsidR="00C27ED4" w:rsidRDefault="00786E58" w:rsidP="00C27ED4">
      <w:pPr>
        <w:pStyle w:val="t"/>
        <w:tabs>
          <w:tab w:val="left" w:pos="680"/>
        </w:tabs>
        <w:suppressAutoHyphens/>
        <w:spacing w:before="120" w:after="120" w:line="360" w:lineRule="auto"/>
        <w:ind w:firstLine="1843"/>
      </w:pPr>
      <w:r>
        <w:t xml:space="preserve">Pensamos que o </w:t>
      </w:r>
      <w:r w:rsidR="003E69D5">
        <w:t>trabalho a se</w:t>
      </w:r>
      <w:r w:rsidR="006F3970">
        <w:t>r</w:t>
      </w:r>
      <w:r w:rsidR="003E69D5">
        <w:t xml:space="preserve"> desenvolvido é de proteção de outras constituições famílias, como propõe o Estatuto das Famílias, no plural</w:t>
      </w:r>
      <w:r w:rsidR="006F3970">
        <w:t>; e não o Estatuto da Família, no singular</w:t>
      </w:r>
      <w:r w:rsidR="003E69D5">
        <w:t xml:space="preserve">. </w:t>
      </w:r>
      <w:r>
        <w:t xml:space="preserve">A inclusão deve prevalecer sobre a exclusão, pois esse é o sentido da nossa Lei Maior. </w:t>
      </w:r>
      <w:r w:rsidR="007020A7">
        <w:t xml:space="preserve">Como palavras finais, vale lembrar que a Constituição Brasileira veda a discriminação no seu art. 5º, além de valorizar a dignidade da pessoa humana no seu dispositivo inaugural. A projeção no singular </w:t>
      </w:r>
      <w:r w:rsidR="00763390">
        <w:t xml:space="preserve">deixa esses valores </w:t>
      </w:r>
      <w:r w:rsidR="007020A7">
        <w:t xml:space="preserve">de lado. </w:t>
      </w:r>
    </w:p>
    <w:p w:rsidR="003E69D5" w:rsidRPr="003E69D5" w:rsidRDefault="003E69D5" w:rsidP="003E69D5">
      <w:pPr>
        <w:rPr>
          <w:lang w:eastAsia="pt-BR"/>
        </w:rPr>
      </w:pPr>
    </w:p>
    <w:p w:rsidR="00C27ED4" w:rsidRPr="00C27ED4" w:rsidRDefault="00C27ED4" w:rsidP="00C27ED4">
      <w:pPr>
        <w:rPr>
          <w:lang w:eastAsia="pt-BR"/>
        </w:rPr>
      </w:pPr>
    </w:p>
    <w:p w:rsidR="00C27ED4" w:rsidRPr="00C27ED4" w:rsidRDefault="00C27ED4" w:rsidP="00C27ED4">
      <w:pPr>
        <w:rPr>
          <w:lang w:eastAsia="pt-BR"/>
        </w:rPr>
      </w:pPr>
    </w:p>
    <w:p w:rsidR="00C50077" w:rsidRPr="00C50077" w:rsidRDefault="00C50077" w:rsidP="00C50077">
      <w:pPr>
        <w:rPr>
          <w:lang w:eastAsia="pt-BR"/>
        </w:rPr>
      </w:pPr>
    </w:p>
    <w:sectPr w:rsidR="00C50077" w:rsidRPr="00C50077" w:rsidSect="00AC3688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238BB4C" w15:done="0"/>
  <w15:commentEx w15:paraId="757617E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82C" w:rsidRDefault="008A682C" w:rsidP="00660318">
      <w:pPr>
        <w:spacing w:after="0" w:line="240" w:lineRule="auto"/>
      </w:pPr>
      <w:r>
        <w:separator/>
      </w:r>
    </w:p>
  </w:endnote>
  <w:endnote w:type="continuationSeparator" w:id="0">
    <w:p w:rsidR="008A682C" w:rsidRDefault="008A682C" w:rsidP="00660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045188"/>
      <w:docPartObj>
        <w:docPartGallery w:val="Page Numbers (Bottom of Page)"/>
        <w:docPartUnique/>
      </w:docPartObj>
    </w:sdtPr>
    <w:sdtContent>
      <w:p w:rsidR="00C27ED4" w:rsidRDefault="00216C49">
        <w:pPr>
          <w:pStyle w:val="Rodap"/>
          <w:jc w:val="right"/>
        </w:pPr>
        <w:r>
          <w:fldChar w:fldCharType="begin"/>
        </w:r>
        <w:r w:rsidR="00B822A1">
          <w:instrText xml:space="preserve"> PAGE   \* MERGEFORMAT </w:instrText>
        </w:r>
        <w:r>
          <w:fldChar w:fldCharType="separate"/>
        </w:r>
        <w:r w:rsidR="00FB008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27ED4" w:rsidRDefault="00C27ED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82C" w:rsidRDefault="008A682C" w:rsidP="00660318">
      <w:pPr>
        <w:spacing w:after="0" w:line="240" w:lineRule="auto"/>
      </w:pPr>
      <w:r>
        <w:separator/>
      </w:r>
    </w:p>
  </w:footnote>
  <w:footnote w:type="continuationSeparator" w:id="0">
    <w:p w:rsidR="008A682C" w:rsidRDefault="008A682C" w:rsidP="00660318">
      <w:pPr>
        <w:spacing w:after="0" w:line="240" w:lineRule="auto"/>
      </w:pPr>
      <w:r>
        <w:continuationSeparator/>
      </w:r>
    </w:p>
  </w:footnote>
  <w:footnote w:id="1">
    <w:p w:rsidR="00C27ED4" w:rsidRPr="002B58D0" w:rsidRDefault="00C27ED4" w:rsidP="00F64067">
      <w:pPr>
        <w:pStyle w:val="b"/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B58D0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Pr="002B58D0">
        <w:rPr>
          <w:rFonts w:ascii="Times New Roman" w:hAnsi="Times New Roman" w:cs="Times New Roman"/>
          <w:sz w:val="20"/>
          <w:szCs w:val="20"/>
        </w:rPr>
        <w:t xml:space="preserve"> </w:t>
      </w:r>
      <w:r w:rsidRPr="002B58D0">
        <w:rPr>
          <w:rFonts w:ascii="Times New Roman" w:hAnsi="Times New Roman" w:cs="Times New Roman"/>
          <w:b w:val="0"/>
          <w:sz w:val="20"/>
          <w:szCs w:val="20"/>
        </w:rPr>
        <w:t xml:space="preserve">Doutor em Direito Civil pela USP. Professor do programa de mestrado e doutorado da FADISP </w:t>
      </w:r>
      <w:r>
        <w:rPr>
          <w:rFonts w:ascii="Times New Roman" w:hAnsi="Times New Roman" w:cs="Times New Roman"/>
          <w:b w:val="0"/>
          <w:sz w:val="20"/>
          <w:szCs w:val="20"/>
        </w:rPr>
        <w:t>–</w:t>
      </w:r>
      <w:r w:rsidRPr="002B58D0">
        <w:rPr>
          <w:rFonts w:ascii="Times New Roman" w:hAnsi="Times New Roman" w:cs="Times New Roman"/>
          <w:b w:val="0"/>
          <w:sz w:val="20"/>
          <w:szCs w:val="20"/>
        </w:rPr>
        <w:t xml:space="preserve"> Faculdade Especializada em Direito. Professor dos cursos de graduação e pós-graduação </w:t>
      </w:r>
      <w:r w:rsidRPr="002B58D0">
        <w:rPr>
          <w:rFonts w:ascii="Times New Roman" w:hAnsi="Times New Roman" w:cs="Times New Roman"/>
          <w:b w:val="0"/>
          <w:i/>
          <w:sz w:val="20"/>
          <w:szCs w:val="20"/>
        </w:rPr>
        <w:t>lato sensu</w:t>
      </w:r>
      <w:r w:rsidRPr="002B58D0">
        <w:rPr>
          <w:rFonts w:ascii="Times New Roman" w:hAnsi="Times New Roman" w:cs="Times New Roman"/>
          <w:b w:val="0"/>
          <w:sz w:val="20"/>
          <w:szCs w:val="20"/>
        </w:rPr>
        <w:t xml:space="preserve"> em Direito Privado da EPD </w:t>
      </w:r>
      <w:r>
        <w:rPr>
          <w:rFonts w:ascii="Times New Roman" w:hAnsi="Times New Roman" w:cs="Times New Roman"/>
          <w:b w:val="0"/>
          <w:sz w:val="20"/>
          <w:szCs w:val="20"/>
        </w:rPr>
        <w:t>–</w:t>
      </w:r>
      <w:r w:rsidRPr="002B58D0">
        <w:rPr>
          <w:rFonts w:ascii="Times New Roman" w:hAnsi="Times New Roman" w:cs="Times New Roman"/>
          <w:b w:val="0"/>
          <w:sz w:val="20"/>
          <w:szCs w:val="20"/>
        </w:rPr>
        <w:t xml:space="preserve"> Escola Paulista de Direito, sendo coordenador dos últimos. Professor da Rede LFG. Diretor nacional e estadual do IBDFAM </w:t>
      </w:r>
      <w:r>
        <w:rPr>
          <w:rFonts w:ascii="Times New Roman" w:hAnsi="Times New Roman" w:cs="Times New Roman"/>
          <w:b w:val="0"/>
          <w:sz w:val="20"/>
          <w:szCs w:val="20"/>
        </w:rPr>
        <w:t>–</w:t>
      </w:r>
      <w:r w:rsidRPr="002B58D0">
        <w:rPr>
          <w:rFonts w:ascii="Times New Roman" w:hAnsi="Times New Roman" w:cs="Times New Roman"/>
          <w:b w:val="0"/>
          <w:sz w:val="20"/>
          <w:szCs w:val="20"/>
        </w:rPr>
        <w:t xml:space="preserve"> Instituto Brasileiro de Direito de Família. Advogado e consultor jurídico em São Paulo</w:t>
      </w:r>
      <w:r>
        <w:rPr>
          <w:rFonts w:ascii="Times New Roman" w:hAnsi="Times New Roman" w:cs="Times New Roman"/>
          <w:b w:val="0"/>
          <w:sz w:val="20"/>
          <w:szCs w:val="20"/>
        </w:rPr>
        <w:t>.</w:t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ânia Cavalcanti">
    <w15:presenceInfo w15:providerId="None" w15:userId="Vânia Cavalcanti"/>
  </w15:person>
  <w15:person w15:author="Roseli">
    <w15:presenceInfo w15:providerId="None" w15:userId="Rosel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318"/>
    <w:rsid w:val="00002558"/>
    <w:rsid w:val="00042956"/>
    <w:rsid w:val="000451FC"/>
    <w:rsid w:val="000770C7"/>
    <w:rsid w:val="000845C7"/>
    <w:rsid w:val="000957F7"/>
    <w:rsid w:val="000A0241"/>
    <w:rsid w:val="000A7BB7"/>
    <w:rsid w:val="000B7EE5"/>
    <w:rsid w:val="00100510"/>
    <w:rsid w:val="00133E85"/>
    <w:rsid w:val="00163407"/>
    <w:rsid w:val="001A283E"/>
    <w:rsid w:val="001B0111"/>
    <w:rsid w:val="001B47CC"/>
    <w:rsid w:val="001F5810"/>
    <w:rsid w:val="002169B8"/>
    <w:rsid w:val="00216C49"/>
    <w:rsid w:val="00222B60"/>
    <w:rsid w:val="002446A8"/>
    <w:rsid w:val="002812EF"/>
    <w:rsid w:val="00291217"/>
    <w:rsid w:val="002B0420"/>
    <w:rsid w:val="002B58D0"/>
    <w:rsid w:val="002C5C3C"/>
    <w:rsid w:val="002D7C18"/>
    <w:rsid w:val="00361C82"/>
    <w:rsid w:val="003A22A7"/>
    <w:rsid w:val="003A6C4C"/>
    <w:rsid w:val="003D667D"/>
    <w:rsid w:val="003E12B7"/>
    <w:rsid w:val="003E629C"/>
    <w:rsid w:val="003E69D5"/>
    <w:rsid w:val="003F09BA"/>
    <w:rsid w:val="003F636D"/>
    <w:rsid w:val="0042631F"/>
    <w:rsid w:val="004479C0"/>
    <w:rsid w:val="00461750"/>
    <w:rsid w:val="004717BB"/>
    <w:rsid w:val="00487CDE"/>
    <w:rsid w:val="00493411"/>
    <w:rsid w:val="00495FEB"/>
    <w:rsid w:val="00504538"/>
    <w:rsid w:val="00514AED"/>
    <w:rsid w:val="00544DC8"/>
    <w:rsid w:val="005674DF"/>
    <w:rsid w:val="005B489D"/>
    <w:rsid w:val="005C3EAD"/>
    <w:rsid w:val="0063316F"/>
    <w:rsid w:val="00634469"/>
    <w:rsid w:val="00647BAE"/>
    <w:rsid w:val="00660318"/>
    <w:rsid w:val="00663EA1"/>
    <w:rsid w:val="00670ADB"/>
    <w:rsid w:val="00692853"/>
    <w:rsid w:val="006D3E47"/>
    <w:rsid w:val="006E66B2"/>
    <w:rsid w:val="006F3970"/>
    <w:rsid w:val="007020A7"/>
    <w:rsid w:val="00722309"/>
    <w:rsid w:val="00726E2F"/>
    <w:rsid w:val="0073634F"/>
    <w:rsid w:val="00740EC5"/>
    <w:rsid w:val="00763390"/>
    <w:rsid w:val="00786E58"/>
    <w:rsid w:val="007C537B"/>
    <w:rsid w:val="007D6E02"/>
    <w:rsid w:val="007F521A"/>
    <w:rsid w:val="00807284"/>
    <w:rsid w:val="008272F4"/>
    <w:rsid w:val="008A32A4"/>
    <w:rsid w:val="008A682C"/>
    <w:rsid w:val="008A6AD3"/>
    <w:rsid w:val="008E71AC"/>
    <w:rsid w:val="00927DDA"/>
    <w:rsid w:val="0096122E"/>
    <w:rsid w:val="00997075"/>
    <w:rsid w:val="009B5337"/>
    <w:rsid w:val="009C5C12"/>
    <w:rsid w:val="009E1BA7"/>
    <w:rsid w:val="009E59CA"/>
    <w:rsid w:val="009F19CF"/>
    <w:rsid w:val="00A30FDC"/>
    <w:rsid w:val="00A65111"/>
    <w:rsid w:val="00A75B9D"/>
    <w:rsid w:val="00A81246"/>
    <w:rsid w:val="00A8501E"/>
    <w:rsid w:val="00AA0093"/>
    <w:rsid w:val="00AC10DA"/>
    <w:rsid w:val="00AC3688"/>
    <w:rsid w:val="00B22A46"/>
    <w:rsid w:val="00B23ADD"/>
    <w:rsid w:val="00B33551"/>
    <w:rsid w:val="00B561D7"/>
    <w:rsid w:val="00B822A1"/>
    <w:rsid w:val="00BC182D"/>
    <w:rsid w:val="00C12162"/>
    <w:rsid w:val="00C27ED4"/>
    <w:rsid w:val="00C37845"/>
    <w:rsid w:val="00C50077"/>
    <w:rsid w:val="00C600F1"/>
    <w:rsid w:val="00CD1057"/>
    <w:rsid w:val="00D11B52"/>
    <w:rsid w:val="00D12B22"/>
    <w:rsid w:val="00DA2402"/>
    <w:rsid w:val="00E011CF"/>
    <w:rsid w:val="00E26141"/>
    <w:rsid w:val="00E32111"/>
    <w:rsid w:val="00F64067"/>
    <w:rsid w:val="00F81E06"/>
    <w:rsid w:val="00F954B1"/>
    <w:rsid w:val="00FA7A3E"/>
    <w:rsid w:val="00FB008F"/>
    <w:rsid w:val="00FE3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6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">
    <w:name w:val="t"/>
    <w:basedOn w:val="Normal"/>
    <w:next w:val="Normal"/>
    <w:rsid w:val="00660318"/>
    <w:pPr>
      <w:widowControl w:val="0"/>
      <w:autoSpaceDE w:val="0"/>
      <w:autoSpaceDN w:val="0"/>
      <w:adjustRightInd w:val="0"/>
      <w:spacing w:before="98" w:after="0" w:line="270" w:lineRule="atLeast"/>
      <w:ind w:firstLine="426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pt-BR"/>
    </w:rPr>
  </w:style>
  <w:style w:type="paragraph" w:customStyle="1" w:styleId="b">
    <w:name w:val="b"/>
    <w:basedOn w:val="Normal"/>
    <w:rsid w:val="00660318"/>
    <w:pPr>
      <w:widowControl w:val="0"/>
      <w:suppressAutoHyphens/>
      <w:autoSpaceDE w:val="0"/>
      <w:autoSpaceDN w:val="0"/>
      <w:adjustRightInd w:val="0"/>
      <w:spacing w:before="448" w:after="192" w:line="240" w:lineRule="atLeast"/>
      <w:ind w:left="597" w:hanging="597"/>
      <w:textAlignment w:val="center"/>
    </w:pPr>
    <w:rPr>
      <w:rFonts w:ascii="Calibri" w:eastAsia="Times New Roman" w:hAnsi="Calibri" w:cs="Calibri"/>
      <w:b/>
      <w:bCs/>
      <w:color w:val="00000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6031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6031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60318"/>
    <w:rPr>
      <w:vertAlign w:val="superscript"/>
    </w:rPr>
  </w:style>
  <w:style w:type="paragraph" w:styleId="Cabealho">
    <w:name w:val="header"/>
    <w:basedOn w:val="Normal"/>
    <w:link w:val="CabealhoChar"/>
    <w:uiPriority w:val="99"/>
    <w:semiHidden/>
    <w:unhideWhenUsed/>
    <w:rsid w:val="00740E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40EC5"/>
  </w:style>
  <w:style w:type="paragraph" w:styleId="Rodap">
    <w:name w:val="footer"/>
    <w:basedOn w:val="Normal"/>
    <w:link w:val="RodapChar"/>
    <w:uiPriority w:val="99"/>
    <w:unhideWhenUsed/>
    <w:rsid w:val="00740E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0EC5"/>
  </w:style>
  <w:style w:type="character" w:styleId="Refdecomentrio">
    <w:name w:val="annotation reference"/>
    <w:basedOn w:val="Fontepargpadro"/>
    <w:uiPriority w:val="99"/>
    <w:semiHidden/>
    <w:unhideWhenUsed/>
    <w:rsid w:val="0016340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6340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6340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6340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6340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3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3407"/>
    <w:rPr>
      <w:rFonts w:ascii="Segoe UI" w:hAnsi="Segoe UI" w:cs="Segoe UI"/>
      <w:sz w:val="18"/>
      <w:szCs w:val="18"/>
    </w:rPr>
  </w:style>
  <w:style w:type="paragraph" w:customStyle="1" w:styleId="texto">
    <w:name w:val="texto"/>
    <w:basedOn w:val="Normal"/>
    <w:uiPriority w:val="99"/>
    <w:rsid w:val="00A65111"/>
    <w:pPr>
      <w:widowControl w:val="0"/>
      <w:autoSpaceDE w:val="0"/>
      <w:autoSpaceDN w:val="0"/>
      <w:adjustRightInd w:val="0"/>
      <w:spacing w:after="85" w:line="280" w:lineRule="atLeast"/>
      <w:ind w:firstLine="454"/>
      <w:jc w:val="both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t-BR"/>
    </w:rPr>
  </w:style>
  <w:style w:type="character" w:customStyle="1" w:styleId="Italico">
    <w:name w:val="Italico"/>
    <w:uiPriority w:val="99"/>
    <w:rsid w:val="00A65111"/>
    <w:rPr>
      <w:i/>
    </w:rPr>
  </w:style>
  <w:style w:type="paragraph" w:customStyle="1" w:styleId="nota">
    <w:name w:val="nota"/>
    <w:basedOn w:val="Normal"/>
    <w:next w:val="Normal"/>
    <w:uiPriority w:val="99"/>
    <w:rsid w:val="008272F4"/>
    <w:pPr>
      <w:widowControl w:val="0"/>
      <w:tabs>
        <w:tab w:val="left" w:pos="340"/>
      </w:tabs>
      <w:autoSpaceDE w:val="0"/>
      <w:autoSpaceDN w:val="0"/>
      <w:adjustRightInd w:val="0"/>
      <w:spacing w:after="28" w:line="230" w:lineRule="atLeast"/>
      <w:ind w:left="340" w:hanging="340"/>
      <w:jc w:val="both"/>
      <w:textAlignment w:val="center"/>
    </w:pPr>
    <w:rPr>
      <w:rFonts w:ascii="Minion Pro" w:eastAsia="Times New Roman" w:hAnsi="Minion Pro" w:cs="Minion Pro"/>
      <w:color w:val="000000"/>
      <w:sz w:val="20"/>
      <w:szCs w:val="20"/>
      <w:lang w:eastAsia="pt-BR"/>
    </w:rPr>
  </w:style>
  <w:style w:type="character" w:customStyle="1" w:styleId="elevado">
    <w:name w:val="elevado"/>
    <w:uiPriority w:val="99"/>
    <w:rsid w:val="008272F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F49C2-1BD8-430F-B85B-867249478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1285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</dc:creator>
  <cp:lastModifiedBy>Flavio</cp:lastModifiedBy>
  <cp:revision>2</cp:revision>
  <dcterms:created xsi:type="dcterms:W3CDTF">2015-10-28T14:56:00Z</dcterms:created>
  <dcterms:modified xsi:type="dcterms:W3CDTF">2015-10-28T14:56:00Z</dcterms:modified>
</cp:coreProperties>
</file>