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4FE3B" w14:textId="2E6BEB8A" w:rsidR="00716B90" w:rsidRPr="00AA7463" w:rsidRDefault="0073636D" w:rsidP="000309F7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</w:t>
      </w:r>
      <w:r w:rsidR="002F4282">
        <w:rPr>
          <w:rFonts w:ascii="Times New Roman" w:hAnsi="Times New Roman" w:cs="Times New Roman"/>
          <w:b/>
          <w:sz w:val="24"/>
          <w:szCs w:val="24"/>
        </w:rPr>
        <w:t xml:space="preserve"> ENUNCIADOS DE DIREITO DE FAMÍLIA E DAS SUCESSÕES APROVADOS NA </w:t>
      </w:r>
      <w:r w:rsidR="002F4282" w:rsidRPr="000E76B2">
        <w:rPr>
          <w:rFonts w:ascii="Times New Roman" w:hAnsi="Times New Roman" w:cs="Times New Roman"/>
          <w:b/>
          <w:i/>
          <w:sz w:val="24"/>
          <w:szCs w:val="24"/>
        </w:rPr>
        <w:t>IX JORNADA DE DIREITO CIVIL</w:t>
      </w:r>
      <w:r w:rsidR="002F42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39E5D1" w14:textId="77777777" w:rsidR="00FC4AFE" w:rsidRDefault="00FC4AFE" w:rsidP="000309F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33255DF" w14:textId="77777777" w:rsidR="000309F7" w:rsidRDefault="000309F7" w:rsidP="000309F7">
      <w:pPr>
        <w:jc w:val="right"/>
        <w:rPr>
          <w:rFonts w:ascii="Times New Roman" w:hAnsi="Times New Roman" w:cs="Times New Roman"/>
          <w:sz w:val="24"/>
          <w:szCs w:val="24"/>
        </w:rPr>
      </w:pPr>
      <w:r w:rsidRPr="00FC7FCC">
        <w:rPr>
          <w:rFonts w:ascii="Times New Roman" w:hAnsi="Times New Roman" w:cs="Times New Roman"/>
          <w:sz w:val="24"/>
          <w:szCs w:val="24"/>
        </w:rPr>
        <w:t>Flávio Tartuce</w:t>
      </w:r>
      <w:r w:rsidRPr="00FC7FCC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</w:p>
    <w:p w14:paraId="7D1528C5" w14:textId="77777777" w:rsidR="007D1158" w:rsidRDefault="007D1158" w:rsidP="000309F7">
      <w:pPr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</w:pPr>
    </w:p>
    <w:p w14:paraId="2FCA08D3" w14:textId="77777777" w:rsidR="00925E04" w:rsidRDefault="00925E04" w:rsidP="000309F7">
      <w:pPr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</w:pPr>
    </w:p>
    <w:p w14:paraId="65798AD5" w14:textId="77777777" w:rsidR="007B3209" w:rsidRDefault="002F4282" w:rsidP="002F4282">
      <w:pPr>
        <w:spacing w:before="120" w:after="120"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Nos últimos dias 19 e 20 de maio de 2022, ocorreu em Brasília a </w:t>
      </w:r>
      <w:r w:rsidRPr="002F4282">
        <w:rPr>
          <w:rFonts w:ascii="Times New Roman" w:hAnsi="Times New Roman" w:cs="Times New Roman"/>
          <w:i/>
          <w:sz w:val="24"/>
          <w:szCs w:val="24"/>
        </w:rPr>
        <w:t>IX Jornada de Direito Civil</w:t>
      </w:r>
      <w:r>
        <w:rPr>
          <w:rFonts w:ascii="Times New Roman" w:hAnsi="Times New Roman" w:cs="Times New Roman"/>
          <w:sz w:val="24"/>
          <w:szCs w:val="24"/>
        </w:rPr>
        <w:t xml:space="preserve">, promovida pelo </w:t>
      </w:r>
      <w:r w:rsidRPr="002F4282">
        <w:rPr>
          <w:rFonts w:ascii="Times New Roman" w:hAnsi="Times New Roman" w:cs="Times New Roman"/>
          <w:sz w:val="24"/>
          <w:szCs w:val="24"/>
        </w:rPr>
        <w:t>Centro de Estudos Judiciários do Conselho da Justiça Federal, vinculado ao Superio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 w:rsidRPr="002F4282">
        <w:rPr>
          <w:rFonts w:ascii="Times New Roman" w:hAnsi="Times New Roman" w:cs="Times New Roman"/>
          <w:sz w:val="24"/>
          <w:szCs w:val="24"/>
        </w:rPr>
        <w:t>Tribunal de Justiça</w:t>
      </w:r>
      <w:r>
        <w:rPr>
          <w:rFonts w:ascii="Times New Roman" w:hAnsi="Times New Roman" w:cs="Times New Roman"/>
          <w:sz w:val="24"/>
          <w:szCs w:val="24"/>
        </w:rPr>
        <w:t xml:space="preserve">. Como tenho destacado em vários </w:t>
      </w:r>
      <w:r w:rsidR="002719FB">
        <w:rPr>
          <w:rFonts w:ascii="Times New Roman" w:hAnsi="Times New Roman" w:cs="Times New Roman"/>
          <w:sz w:val="24"/>
          <w:szCs w:val="24"/>
        </w:rPr>
        <w:t>escritos</w:t>
      </w:r>
      <w:r>
        <w:rPr>
          <w:rFonts w:ascii="Times New Roman" w:hAnsi="Times New Roman" w:cs="Times New Roman"/>
          <w:sz w:val="24"/>
          <w:szCs w:val="24"/>
        </w:rPr>
        <w:t xml:space="preserve">, trata-se do evento mais importante do Direito Civil Brasileiro, com a aprovação de enunciados doutrinários que têm sido muito utilizados por julgadores de todo o País. </w:t>
      </w:r>
    </w:p>
    <w:p w14:paraId="387A60A3" w14:textId="373E20B5" w:rsidR="002F4282" w:rsidRPr="002F4282" w:rsidRDefault="002F4282" w:rsidP="002F4282">
      <w:pPr>
        <w:spacing w:before="120" w:after="120"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823AAF">
        <w:rPr>
          <w:rFonts w:ascii="Times New Roman" w:hAnsi="Times New Roman" w:cs="Times New Roman"/>
          <w:iCs/>
          <w:sz w:val="24"/>
          <w:szCs w:val="24"/>
        </w:rPr>
        <w:t>As</w:t>
      </w:r>
      <w:r w:rsidRPr="000E76B2">
        <w:rPr>
          <w:rFonts w:ascii="Times New Roman" w:hAnsi="Times New Roman" w:cs="Times New Roman"/>
          <w:i/>
          <w:sz w:val="24"/>
          <w:szCs w:val="24"/>
        </w:rPr>
        <w:t xml:space="preserve"> Jornadas de Direito Civil</w:t>
      </w:r>
      <w:r>
        <w:rPr>
          <w:rFonts w:ascii="Times New Roman" w:hAnsi="Times New Roman" w:cs="Times New Roman"/>
          <w:sz w:val="24"/>
          <w:szCs w:val="24"/>
        </w:rPr>
        <w:t xml:space="preserve"> representam hoje a principal </w:t>
      </w:r>
      <w:r w:rsidRPr="002719FB">
        <w:rPr>
          <w:rFonts w:ascii="Times New Roman" w:hAnsi="Times New Roman" w:cs="Times New Roman"/>
          <w:i/>
          <w:sz w:val="24"/>
          <w:szCs w:val="24"/>
        </w:rPr>
        <w:t>ponte de diálogo</w:t>
      </w:r>
      <w:r>
        <w:rPr>
          <w:rFonts w:ascii="Times New Roman" w:hAnsi="Times New Roman" w:cs="Times New Roman"/>
          <w:sz w:val="24"/>
          <w:szCs w:val="24"/>
        </w:rPr>
        <w:t xml:space="preserve"> entre a doutrina e a jurisprudência, muitas veze</w:t>
      </w:r>
      <w:r w:rsidR="002719F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antecipando tendências que se concretizam anos depois, na prática do Direito Privado Nacional. A iniciativa de sua criação foi do saudoso Ministro Ruy Rosado de Aguiar Jr., que sempre deve ser homenageado, como professor, autor de obras de relevo e grande magistrado. </w:t>
      </w:r>
    </w:p>
    <w:p w14:paraId="49DA24F5" w14:textId="54EFB479" w:rsidR="0094683E" w:rsidRPr="002F4282" w:rsidRDefault="002F4282" w:rsidP="0094683E">
      <w:pPr>
        <w:spacing w:before="120" w:after="120"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Essa foi a maior de todas as </w:t>
      </w:r>
      <w:r w:rsidRPr="002F4282">
        <w:rPr>
          <w:rFonts w:ascii="Times New Roman" w:hAnsi="Times New Roman" w:cs="Times New Roman"/>
          <w:i/>
          <w:sz w:val="24"/>
          <w:szCs w:val="24"/>
        </w:rPr>
        <w:t xml:space="preserve">Jornadas </w:t>
      </w:r>
      <w:r>
        <w:rPr>
          <w:rFonts w:ascii="Times New Roman" w:hAnsi="Times New Roman" w:cs="Times New Roman"/>
          <w:sz w:val="24"/>
          <w:szCs w:val="24"/>
        </w:rPr>
        <w:t xml:space="preserve">do Conselho da Justiça Federal, </w:t>
      </w:r>
      <w:r w:rsidR="00C94A36">
        <w:rPr>
          <w:rFonts w:ascii="Times New Roman" w:hAnsi="Times New Roman" w:cs="Times New Roman"/>
          <w:sz w:val="24"/>
          <w:szCs w:val="24"/>
        </w:rPr>
        <w:t xml:space="preserve">tendo </w:t>
      </w:r>
      <w:r>
        <w:rPr>
          <w:rFonts w:ascii="Times New Roman" w:hAnsi="Times New Roman" w:cs="Times New Roman"/>
          <w:sz w:val="24"/>
          <w:szCs w:val="24"/>
        </w:rPr>
        <w:t xml:space="preserve">sido enviadas mais de novecentas propostas e aprovados quarenta </w:t>
      </w:r>
      <w:r w:rsidR="00C94A36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nove enunciados. </w:t>
      </w:r>
      <w:r w:rsidR="0054091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ela participaram </w:t>
      </w:r>
      <w:r w:rsidRPr="002F4282">
        <w:rPr>
          <w:rFonts w:ascii="Times New Roman" w:hAnsi="Times New Roman" w:cs="Times New Roman"/>
          <w:sz w:val="24"/>
          <w:szCs w:val="24"/>
        </w:rPr>
        <w:t>ministros do S</w:t>
      </w:r>
      <w:r>
        <w:rPr>
          <w:rFonts w:ascii="Times New Roman" w:hAnsi="Times New Roman" w:cs="Times New Roman"/>
          <w:sz w:val="24"/>
          <w:szCs w:val="24"/>
        </w:rPr>
        <w:t xml:space="preserve">uperior Tribunal de Justiça, </w:t>
      </w:r>
      <w:r w:rsidR="0094683E">
        <w:rPr>
          <w:rFonts w:ascii="Times New Roman" w:hAnsi="Times New Roman" w:cs="Times New Roman"/>
          <w:sz w:val="24"/>
          <w:szCs w:val="24"/>
        </w:rPr>
        <w:t xml:space="preserve">desembargadores, </w:t>
      </w:r>
      <w:r>
        <w:rPr>
          <w:rFonts w:ascii="Times New Roman" w:hAnsi="Times New Roman" w:cs="Times New Roman"/>
          <w:sz w:val="24"/>
          <w:szCs w:val="24"/>
        </w:rPr>
        <w:t xml:space="preserve">juízes, </w:t>
      </w:r>
      <w:r w:rsidR="0094683E">
        <w:rPr>
          <w:rFonts w:ascii="Times New Roman" w:hAnsi="Times New Roman" w:cs="Times New Roman"/>
          <w:sz w:val="24"/>
          <w:szCs w:val="24"/>
        </w:rPr>
        <w:t xml:space="preserve">promotores de Justiça, procuradores, advogados, </w:t>
      </w:r>
      <w:r>
        <w:rPr>
          <w:rFonts w:ascii="Times New Roman" w:hAnsi="Times New Roman" w:cs="Times New Roman"/>
          <w:sz w:val="24"/>
          <w:szCs w:val="24"/>
        </w:rPr>
        <w:t xml:space="preserve">professores de todo o País </w:t>
      </w:r>
      <w:r w:rsidR="0094683E">
        <w:rPr>
          <w:rFonts w:ascii="Times New Roman" w:hAnsi="Times New Roman" w:cs="Times New Roman"/>
          <w:sz w:val="24"/>
          <w:szCs w:val="24"/>
        </w:rPr>
        <w:t>e estudantes</w:t>
      </w:r>
      <w:r w:rsidR="00540911">
        <w:rPr>
          <w:rFonts w:ascii="Times New Roman" w:hAnsi="Times New Roman" w:cs="Times New Roman"/>
          <w:sz w:val="24"/>
          <w:szCs w:val="24"/>
        </w:rPr>
        <w:t>, em sete comissões: Parte Geral e LINDB, Obrigações, Contratos, Responsabilidade Civil, Direito das Coisas e Propriedade Intelectual, Família e Sucessões, Direito Digital e Novos Direitos</w:t>
      </w:r>
      <w:r w:rsidR="0094683E">
        <w:rPr>
          <w:rFonts w:ascii="Times New Roman" w:hAnsi="Times New Roman" w:cs="Times New Roman"/>
          <w:sz w:val="24"/>
          <w:szCs w:val="24"/>
        </w:rPr>
        <w:t xml:space="preserve">. </w:t>
      </w:r>
      <w:r w:rsidR="00823AAF">
        <w:rPr>
          <w:rFonts w:ascii="Times New Roman" w:hAnsi="Times New Roman" w:cs="Times New Roman"/>
          <w:sz w:val="24"/>
          <w:szCs w:val="24"/>
        </w:rPr>
        <w:t>Foram comemorados</w:t>
      </w:r>
      <w:r w:rsidR="0094683E">
        <w:rPr>
          <w:rFonts w:ascii="Times New Roman" w:hAnsi="Times New Roman" w:cs="Times New Roman"/>
          <w:sz w:val="24"/>
          <w:szCs w:val="24"/>
        </w:rPr>
        <w:t xml:space="preserve"> os vinte anos do Código Civil e da </w:t>
      </w:r>
      <w:r w:rsidR="002719FB">
        <w:rPr>
          <w:rFonts w:ascii="Times New Roman" w:hAnsi="Times New Roman" w:cs="Times New Roman"/>
          <w:sz w:val="24"/>
          <w:szCs w:val="24"/>
        </w:rPr>
        <w:t xml:space="preserve">criação da </w:t>
      </w:r>
      <w:r w:rsidR="0094683E">
        <w:rPr>
          <w:rFonts w:ascii="Times New Roman" w:hAnsi="Times New Roman" w:cs="Times New Roman"/>
          <w:sz w:val="24"/>
          <w:szCs w:val="24"/>
        </w:rPr>
        <w:t>própri</w:t>
      </w:r>
      <w:r w:rsidR="002719FB">
        <w:rPr>
          <w:rFonts w:ascii="Times New Roman" w:hAnsi="Times New Roman" w:cs="Times New Roman"/>
          <w:sz w:val="24"/>
          <w:szCs w:val="24"/>
        </w:rPr>
        <w:t>a</w:t>
      </w:r>
      <w:r w:rsidR="0094683E">
        <w:rPr>
          <w:rFonts w:ascii="Times New Roman" w:hAnsi="Times New Roman" w:cs="Times New Roman"/>
          <w:sz w:val="24"/>
          <w:szCs w:val="24"/>
        </w:rPr>
        <w:t xml:space="preserve"> </w:t>
      </w:r>
      <w:r w:rsidR="0094683E" w:rsidRPr="002719FB">
        <w:rPr>
          <w:rFonts w:ascii="Times New Roman" w:hAnsi="Times New Roman" w:cs="Times New Roman"/>
          <w:i/>
          <w:sz w:val="24"/>
          <w:szCs w:val="24"/>
        </w:rPr>
        <w:t>Jornada</w:t>
      </w:r>
      <w:r w:rsidR="0094683E">
        <w:rPr>
          <w:rFonts w:ascii="Times New Roman" w:hAnsi="Times New Roman" w:cs="Times New Roman"/>
          <w:sz w:val="24"/>
          <w:szCs w:val="24"/>
        </w:rPr>
        <w:t xml:space="preserve">. Foi também um momento </w:t>
      </w:r>
      <w:r w:rsidR="007B3209">
        <w:rPr>
          <w:rFonts w:ascii="Times New Roman" w:hAnsi="Times New Roman" w:cs="Times New Roman"/>
          <w:sz w:val="24"/>
          <w:szCs w:val="24"/>
        </w:rPr>
        <w:t xml:space="preserve">muito </w:t>
      </w:r>
      <w:r w:rsidR="0094683E">
        <w:rPr>
          <w:rFonts w:ascii="Times New Roman" w:hAnsi="Times New Roman" w:cs="Times New Roman"/>
          <w:sz w:val="24"/>
          <w:szCs w:val="24"/>
        </w:rPr>
        <w:t xml:space="preserve">especial, pois a </w:t>
      </w:r>
      <w:r w:rsidR="0094683E" w:rsidRPr="0094683E">
        <w:rPr>
          <w:rFonts w:ascii="Times New Roman" w:hAnsi="Times New Roman" w:cs="Times New Roman"/>
          <w:i/>
          <w:sz w:val="24"/>
          <w:szCs w:val="24"/>
        </w:rPr>
        <w:t>IX Jornada</w:t>
      </w:r>
      <w:r w:rsidR="0094683E">
        <w:rPr>
          <w:rFonts w:ascii="Times New Roman" w:hAnsi="Times New Roman" w:cs="Times New Roman"/>
          <w:sz w:val="24"/>
          <w:szCs w:val="24"/>
        </w:rPr>
        <w:t xml:space="preserve"> foi o primeiro grande evento jurídico depois de dois anos de dura </w:t>
      </w:r>
      <w:r w:rsidR="0094683E">
        <w:rPr>
          <w:rFonts w:ascii="Times New Roman" w:hAnsi="Times New Roman" w:cs="Times New Roman"/>
          <w:sz w:val="24"/>
          <w:szCs w:val="24"/>
        </w:rPr>
        <w:lastRenderedPageBreak/>
        <w:t xml:space="preserve">pandemia. Muitos dos </w:t>
      </w:r>
      <w:r w:rsidR="00540911">
        <w:rPr>
          <w:rFonts w:ascii="Times New Roman" w:hAnsi="Times New Roman" w:cs="Times New Roman"/>
          <w:sz w:val="24"/>
          <w:szCs w:val="24"/>
        </w:rPr>
        <w:t xml:space="preserve">seus </w:t>
      </w:r>
      <w:r w:rsidR="0094683E">
        <w:rPr>
          <w:rFonts w:ascii="Times New Roman" w:hAnsi="Times New Roman" w:cs="Times New Roman"/>
          <w:sz w:val="24"/>
          <w:szCs w:val="24"/>
        </w:rPr>
        <w:t xml:space="preserve">participantes não se encontravam pessoalmente desde 2019 ou </w:t>
      </w:r>
      <w:r w:rsidR="00C94A36">
        <w:rPr>
          <w:rFonts w:ascii="Times New Roman" w:hAnsi="Times New Roman" w:cs="Times New Roman"/>
          <w:sz w:val="24"/>
          <w:szCs w:val="24"/>
        </w:rPr>
        <w:t xml:space="preserve">desde </w:t>
      </w:r>
      <w:r w:rsidR="0094683E">
        <w:rPr>
          <w:rFonts w:ascii="Times New Roman" w:hAnsi="Times New Roman" w:cs="Times New Roman"/>
          <w:sz w:val="24"/>
          <w:szCs w:val="24"/>
        </w:rPr>
        <w:t xml:space="preserve">o início de 2020. </w:t>
      </w:r>
    </w:p>
    <w:p w14:paraId="3AB0F7EE" w14:textId="5E9FF45B" w:rsidR="0094683E" w:rsidRDefault="0094683E" w:rsidP="0094683E">
      <w:pPr>
        <w:spacing w:before="120" w:after="120"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coordenação geral foi do Ministro Jorge Mussi, </w:t>
      </w:r>
      <w:r w:rsidR="002F4282" w:rsidRPr="002F4282">
        <w:rPr>
          <w:rFonts w:ascii="Times New Roman" w:hAnsi="Times New Roman" w:cs="Times New Roman"/>
          <w:sz w:val="24"/>
          <w:szCs w:val="24"/>
        </w:rPr>
        <w:t>Vice-Presidente do Superior Tribunal de Justiça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282" w:rsidRPr="002F4282">
        <w:rPr>
          <w:rFonts w:ascii="Times New Roman" w:hAnsi="Times New Roman" w:cs="Times New Roman"/>
          <w:sz w:val="24"/>
          <w:szCs w:val="24"/>
        </w:rPr>
        <w:t>Diretor do Centro de Estudos Judiciários do Conselho da Justiça Federal</w:t>
      </w:r>
      <w:r>
        <w:rPr>
          <w:rFonts w:ascii="Times New Roman" w:hAnsi="Times New Roman" w:cs="Times New Roman"/>
          <w:sz w:val="24"/>
          <w:szCs w:val="24"/>
        </w:rPr>
        <w:t xml:space="preserve">. A coordenação científica coube aos Ministros </w:t>
      </w:r>
      <w:r w:rsidR="002F4282" w:rsidRPr="002F4282">
        <w:rPr>
          <w:rFonts w:ascii="Times New Roman" w:hAnsi="Times New Roman" w:cs="Times New Roman"/>
          <w:sz w:val="24"/>
          <w:szCs w:val="24"/>
        </w:rPr>
        <w:t>Luis Felipe Salomão, Paulo de Tarso Sanseverino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="002F4282" w:rsidRPr="002F4282">
        <w:rPr>
          <w:rFonts w:ascii="Times New Roman" w:hAnsi="Times New Roman" w:cs="Times New Roman"/>
          <w:sz w:val="24"/>
          <w:szCs w:val="24"/>
        </w:rPr>
        <w:t xml:space="preserve">Marco Aurélio Bellizze, </w:t>
      </w:r>
      <w:r>
        <w:rPr>
          <w:rFonts w:ascii="Times New Roman" w:hAnsi="Times New Roman" w:cs="Times New Roman"/>
          <w:sz w:val="24"/>
          <w:szCs w:val="24"/>
        </w:rPr>
        <w:t xml:space="preserve">das Turmas de Direito Privado do Tribunal. </w:t>
      </w:r>
      <w:r>
        <w:rPr>
          <w:rFonts w:ascii="Times New Roman" w:hAnsi="Times New Roman" w:cs="Times New Roman"/>
          <w:sz w:val="24"/>
          <w:szCs w:val="24"/>
        </w:rPr>
        <w:t xml:space="preserve">A comissão de Direito de Família e das Sucessões foi presidida pelo Ministro </w:t>
      </w:r>
      <w:r w:rsidR="002F4282" w:rsidRPr="002F4282">
        <w:rPr>
          <w:rFonts w:ascii="Times New Roman" w:hAnsi="Times New Roman" w:cs="Times New Roman"/>
          <w:sz w:val="24"/>
          <w:szCs w:val="24"/>
        </w:rPr>
        <w:t xml:space="preserve">Mauro Campbell Marques, </w:t>
      </w:r>
      <w:r>
        <w:rPr>
          <w:rFonts w:ascii="Times New Roman" w:hAnsi="Times New Roman" w:cs="Times New Roman"/>
          <w:sz w:val="24"/>
          <w:szCs w:val="24"/>
        </w:rPr>
        <w:t xml:space="preserve">com o auxílio </w:t>
      </w:r>
      <w:r w:rsidR="002719FB">
        <w:rPr>
          <w:rFonts w:ascii="Times New Roman" w:hAnsi="Times New Roman" w:cs="Times New Roman"/>
          <w:sz w:val="24"/>
          <w:szCs w:val="24"/>
        </w:rPr>
        <w:t xml:space="preserve">na coordenação </w:t>
      </w:r>
      <w:r>
        <w:rPr>
          <w:rFonts w:ascii="Times New Roman" w:hAnsi="Times New Roman" w:cs="Times New Roman"/>
          <w:sz w:val="24"/>
          <w:szCs w:val="24"/>
        </w:rPr>
        <w:t xml:space="preserve">dos juristas </w:t>
      </w:r>
      <w:r w:rsidR="002F4282" w:rsidRPr="002F4282">
        <w:rPr>
          <w:rFonts w:ascii="Times New Roman" w:hAnsi="Times New Roman" w:cs="Times New Roman"/>
          <w:sz w:val="24"/>
          <w:szCs w:val="24"/>
        </w:rPr>
        <w:t xml:space="preserve">Professores </w:t>
      </w:r>
      <w:r w:rsidR="00C94A36" w:rsidRPr="002F4282">
        <w:rPr>
          <w:rFonts w:ascii="Times New Roman" w:hAnsi="Times New Roman" w:cs="Times New Roman"/>
          <w:sz w:val="24"/>
          <w:szCs w:val="24"/>
        </w:rPr>
        <w:t>Ot</w:t>
      </w:r>
      <w:r w:rsidR="00C94A36">
        <w:rPr>
          <w:rFonts w:ascii="Times New Roman" w:hAnsi="Times New Roman" w:cs="Times New Roman"/>
          <w:sz w:val="24"/>
          <w:szCs w:val="24"/>
        </w:rPr>
        <w:t>a</w:t>
      </w:r>
      <w:r w:rsidR="00C94A36" w:rsidRPr="002F4282">
        <w:rPr>
          <w:rFonts w:ascii="Times New Roman" w:hAnsi="Times New Roman" w:cs="Times New Roman"/>
          <w:sz w:val="24"/>
          <w:szCs w:val="24"/>
        </w:rPr>
        <w:t xml:space="preserve">vio </w:t>
      </w:r>
      <w:r w:rsidR="002F4282" w:rsidRPr="002F4282">
        <w:rPr>
          <w:rFonts w:ascii="Times New Roman" w:hAnsi="Times New Roman" w:cs="Times New Roman"/>
          <w:sz w:val="24"/>
          <w:szCs w:val="24"/>
        </w:rPr>
        <w:t>Luiz Rodrigues Jr.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F4282" w:rsidRPr="002F4282">
        <w:rPr>
          <w:rFonts w:ascii="Times New Roman" w:hAnsi="Times New Roman" w:cs="Times New Roman"/>
          <w:sz w:val="24"/>
          <w:szCs w:val="24"/>
        </w:rPr>
        <w:t>Rodrigo Xavier Leonardo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282" w:rsidRPr="002F4282">
        <w:rPr>
          <w:rFonts w:ascii="Times New Roman" w:hAnsi="Times New Roman" w:cs="Times New Roman"/>
          <w:sz w:val="24"/>
          <w:szCs w:val="24"/>
        </w:rPr>
        <w:t>Maria Berenice Dias</w:t>
      </w:r>
      <w:r>
        <w:rPr>
          <w:rFonts w:ascii="Times New Roman" w:hAnsi="Times New Roman" w:cs="Times New Roman"/>
          <w:sz w:val="24"/>
          <w:szCs w:val="24"/>
        </w:rPr>
        <w:t xml:space="preserve">. A relatoria da comissão coube ao Professor e Magistrado </w:t>
      </w:r>
      <w:r w:rsidR="002F4282">
        <w:rPr>
          <w:rFonts w:ascii="Times New Roman" w:hAnsi="Times New Roman" w:cs="Times New Roman"/>
          <w:sz w:val="24"/>
          <w:szCs w:val="24"/>
        </w:rPr>
        <w:t>Pablo Stolze</w:t>
      </w:r>
      <w:r>
        <w:rPr>
          <w:rFonts w:ascii="Times New Roman" w:hAnsi="Times New Roman" w:cs="Times New Roman"/>
          <w:sz w:val="24"/>
          <w:szCs w:val="24"/>
        </w:rPr>
        <w:t xml:space="preserve"> Gagliano. Após</w:t>
      </w:r>
      <w:r w:rsidR="002719FB">
        <w:rPr>
          <w:rFonts w:ascii="Times New Roman" w:hAnsi="Times New Roman" w:cs="Times New Roman"/>
          <w:sz w:val="24"/>
          <w:szCs w:val="24"/>
        </w:rPr>
        <w:t xml:space="preserve"> as votações </w:t>
      </w:r>
      <w:r>
        <w:rPr>
          <w:rFonts w:ascii="Times New Roman" w:hAnsi="Times New Roman" w:cs="Times New Roman"/>
          <w:sz w:val="24"/>
          <w:szCs w:val="24"/>
        </w:rPr>
        <w:t xml:space="preserve">na própria comissão e na plenária final </w:t>
      </w:r>
      <w:r w:rsidR="00C94A3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muito </w:t>
      </w:r>
      <w:r w:rsidR="00C94A36">
        <w:rPr>
          <w:rFonts w:ascii="Times New Roman" w:hAnsi="Times New Roman" w:cs="Times New Roman"/>
          <w:sz w:val="24"/>
          <w:szCs w:val="24"/>
        </w:rPr>
        <w:t xml:space="preserve">intensas –, </w:t>
      </w:r>
      <w:r>
        <w:rPr>
          <w:rFonts w:ascii="Times New Roman" w:hAnsi="Times New Roman" w:cs="Times New Roman"/>
          <w:sz w:val="24"/>
          <w:szCs w:val="24"/>
        </w:rPr>
        <w:t xml:space="preserve">foram aprovados </w:t>
      </w:r>
      <w:r w:rsidR="00706E5E">
        <w:rPr>
          <w:rFonts w:ascii="Times New Roman" w:hAnsi="Times New Roman" w:cs="Times New Roman"/>
          <w:sz w:val="24"/>
          <w:szCs w:val="24"/>
        </w:rPr>
        <w:t xml:space="preserve">seis </w:t>
      </w:r>
      <w:r>
        <w:rPr>
          <w:rFonts w:ascii="Times New Roman" w:hAnsi="Times New Roman" w:cs="Times New Roman"/>
          <w:sz w:val="24"/>
          <w:szCs w:val="24"/>
        </w:rPr>
        <w:t>enunciados doutrinários, que passo a analisar brevemente, com foco nas suas próprias justificativas</w:t>
      </w:r>
      <w:r w:rsidR="002719FB">
        <w:rPr>
          <w:rFonts w:ascii="Times New Roman" w:hAnsi="Times New Roman" w:cs="Times New Roman"/>
          <w:sz w:val="24"/>
          <w:szCs w:val="24"/>
        </w:rPr>
        <w:t>, e sem prejuízo de novas reflexões futuras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242933" w14:textId="498B2C66" w:rsidR="0085154D" w:rsidRDefault="0094683E" w:rsidP="0085154D">
      <w:pPr>
        <w:spacing w:before="120" w:after="120"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primeiro deles, o Enunciado n. </w:t>
      </w:r>
      <w:r w:rsidR="002F4282" w:rsidRPr="002F4282">
        <w:rPr>
          <w:rFonts w:ascii="Times New Roman" w:hAnsi="Times New Roman" w:cs="Times New Roman"/>
          <w:sz w:val="24"/>
          <w:szCs w:val="24"/>
        </w:rPr>
        <w:t>671</w:t>
      </w:r>
      <w:r>
        <w:rPr>
          <w:rFonts w:ascii="Times New Roman" w:hAnsi="Times New Roman" w:cs="Times New Roman"/>
          <w:sz w:val="24"/>
          <w:szCs w:val="24"/>
        </w:rPr>
        <w:t xml:space="preserve">, analisa o art. </w:t>
      </w:r>
      <w:r w:rsidR="002F4282" w:rsidRPr="002F4282">
        <w:rPr>
          <w:rFonts w:ascii="Times New Roman" w:hAnsi="Times New Roman" w:cs="Times New Roman"/>
          <w:sz w:val="24"/>
          <w:szCs w:val="24"/>
        </w:rPr>
        <w:t>1.583, §</w:t>
      </w:r>
      <w:r w:rsidR="002719FB">
        <w:rPr>
          <w:rFonts w:ascii="Times New Roman" w:hAnsi="Times New Roman" w:cs="Times New Roman"/>
          <w:sz w:val="24"/>
          <w:szCs w:val="24"/>
        </w:rPr>
        <w:t xml:space="preserve"> </w:t>
      </w:r>
      <w:r w:rsidR="002F4282" w:rsidRPr="002F4282">
        <w:rPr>
          <w:rFonts w:ascii="Times New Roman" w:hAnsi="Times New Roman" w:cs="Times New Roman"/>
          <w:sz w:val="24"/>
          <w:szCs w:val="24"/>
        </w:rPr>
        <w:t>2º</w:t>
      </w:r>
      <w:r w:rsidR="00C94A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 Código Civil, prevendo que "a</w:t>
      </w:r>
      <w:r w:rsidR="002F4282" w:rsidRPr="002F4282">
        <w:rPr>
          <w:rFonts w:ascii="Times New Roman" w:hAnsi="Times New Roman" w:cs="Times New Roman"/>
          <w:sz w:val="24"/>
          <w:szCs w:val="24"/>
        </w:rPr>
        <w:t xml:space="preserve"> tenra idade da criança não impede a fixação de convivência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282" w:rsidRPr="002F4282">
        <w:rPr>
          <w:rFonts w:ascii="Times New Roman" w:hAnsi="Times New Roman" w:cs="Times New Roman"/>
          <w:sz w:val="24"/>
          <w:szCs w:val="24"/>
        </w:rPr>
        <w:t>equilibrada com ambos os pais</w:t>
      </w:r>
      <w:r>
        <w:rPr>
          <w:rFonts w:ascii="Times New Roman" w:hAnsi="Times New Roman" w:cs="Times New Roman"/>
          <w:sz w:val="24"/>
          <w:szCs w:val="24"/>
        </w:rPr>
        <w:t>"</w:t>
      </w:r>
      <w:r w:rsidR="002F4282" w:rsidRPr="002F42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Como está em suas justificativas, "a </w:t>
      </w:r>
      <w:r w:rsidR="002F4282" w:rsidRPr="002F4282">
        <w:rPr>
          <w:rFonts w:ascii="Times New Roman" w:hAnsi="Times New Roman" w:cs="Times New Roman"/>
          <w:sz w:val="24"/>
          <w:szCs w:val="24"/>
        </w:rPr>
        <w:t>lei não faz menção ou restrição à idade da criança como limitador ao direito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282" w:rsidRPr="002F4282">
        <w:rPr>
          <w:rFonts w:ascii="Times New Roman" w:hAnsi="Times New Roman" w:cs="Times New Roman"/>
          <w:sz w:val="24"/>
          <w:szCs w:val="24"/>
        </w:rPr>
        <w:t>convivência. Todavia, em fixação de convivência de bebês ou crianças de tenra idade, o que se vê 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282" w:rsidRPr="002F4282">
        <w:rPr>
          <w:rFonts w:ascii="Times New Roman" w:hAnsi="Times New Roman" w:cs="Times New Roman"/>
          <w:sz w:val="24"/>
          <w:szCs w:val="24"/>
        </w:rPr>
        <w:t>o estabelecimento de regimes restritíssimos, com a fixação de poucas horas mensais para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282" w:rsidRPr="002F4282">
        <w:rPr>
          <w:rFonts w:ascii="Times New Roman" w:hAnsi="Times New Roman" w:cs="Times New Roman"/>
          <w:sz w:val="24"/>
          <w:szCs w:val="24"/>
        </w:rPr>
        <w:t>convívio. A situação é especificamente grave quanto à convivência fixada em favor dos pais homens,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282" w:rsidRPr="002F4282">
        <w:rPr>
          <w:rFonts w:ascii="Times New Roman" w:hAnsi="Times New Roman" w:cs="Times New Roman"/>
          <w:sz w:val="24"/>
          <w:szCs w:val="24"/>
        </w:rPr>
        <w:t>tendo em vista a questão sociológica enraizada que, equivocadamente, atribui apenas à mulher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282" w:rsidRPr="002F4282">
        <w:rPr>
          <w:rFonts w:ascii="Times New Roman" w:hAnsi="Times New Roman" w:cs="Times New Roman"/>
          <w:sz w:val="24"/>
          <w:szCs w:val="24"/>
        </w:rPr>
        <w:t>capacidade para o cuidado.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282" w:rsidRPr="002F4282">
        <w:rPr>
          <w:rFonts w:ascii="Times New Roman" w:hAnsi="Times New Roman" w:cs="Times New Roman"/>
          <w:sz w:val="24"/>
          <w:szCs w:val="24"/>
        </w:rPr>
        <w:t>O bebê, que está começando a descobrir o mundo, tem condições psicoemocionais de criar laços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282" w:rsidRPr="002F4282">
        <w:rPr>
          <w:rFonts w:ascii="Times New Roman" w:hAnsi="Times New Roman" w:cs="Times New Roman"/>
          <w:sz w:val="24"/>
          <w:szCs w:val="24"/>
        </w:rPr>
        <w:t>de afinidade com seus familiares e demais pessoas que o cercam. É, portanto, na tenra idade que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282" w:rsidRPr="002F4282">
        <w:rPr>
          <w:rFonts w:ascii="Times New Roman" w:hAnsi="Times New Roman" w:cs="Times New Roman"/>
          <w:sz w:val="24"/>
          <w:szCs w:val="24"/>
        </w:rPr>
        <w:t>petiz construirá os vínculos mais fortes e duradouros de sua vida. O tempo tem outra dimensão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282" w:rsidRPr="002F4282">
        <w:rPr>
          <w:rFonts w:ascii="Times New Roman" w:hAnsi="Times New Roman" w:cs="Times New Roman"/>
          <w:sz w:val="24"/>
          <w:szCs w:val="24"/>
        </w:rPr>
        <w:t>as crianças pequenas. Cada dia perdido por um dos genitores é um momento de exploração,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282" w:rsidRPr="002F4282">
        <w:rPr>
          <w:rFonts w:ascii="Times New Roman" w:hAnsi="Times New Roman" w:cs="Times New Roman"/>
          <w:sz w:val="24"/>
          <w:szCs w:val="24"/>
        </w:rPr>
        <w:t>aprendizado e vinculação. O infante precisa de sua mãe e de seu pai para que seu desenvolvimento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282" w:rsidRPr="002F4282">
        <w:rPr>
          <w:rFonts w:ascii="Times New Roman" w:hAnsi="Times New Roman" w:cs="Times New Roman"/>
          <w:sz w:val="24"/>
          <w:szCs w:val="24"/>
        </w:rPr>
        <w:t>seja saudável</w:t>
      </w:r>
      <w:r>
        <w:rPr>
          <w:rFonts w:ascii="Times New Roman" w:hAnsi="Times New Roman" w:cs="Times New Roman"/>
          <w:sz w:val="24"/>
          <w:szCs w:val="24"/>
        </w:rPr>
        <w:t>"</w:t>
      </w:r>
      <w:r w:rsidR="002F4282" w:rsidRPr="002F42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4D44CC" w14:textId="07478E01" w:rsidR="0085154D" w:rsidRDefault="0083261D" w:rsidP="0085154D">
      <w:pPr>
        <w:spacing w:before="120" w:after="120"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questão colocada pelo enunciado tem sido debatida em nossos Tribunais, o que foi intensificado nos últimos dois anos, sobretudo em virtude dos desafios decorrentes da pandemia para a convivência de pais e filhos. Em um primeiro aresto ilustrativo, o Tribunal Paulista ampliou a convivência </w:t>
      </w:r>
      <w:r w:rsidR="00706E5E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pai com filho de tenra idade</w:t>
      </w:r>
      <w:r w:rsidR="00706E5E">
        <w:rPr>
          <w:rFonts w:ascii="Times New Roman" w:hAnsi="Times New Roman" w:cs="Times New Roman"/>
          <w:sz w:val="24"/>
          <w:szCs w:val="24"/>
        </w:rPr>
        <w:t xml:space="preserve"> no seguinte contexto fático</w:t>
      </w:r>
      <w:r>
        <w:rPr>
          <w:rFonts w:ascii="Times New Roman" w:hAnsi="Times New Roman" w:cs="Times New Roman"/>
          <w:sz w:val="24"/>
          <w:szCs w:val="24"/>
        </w:rPr>
        <w:t>: "</w:t>
      </w:r>
      <w:r w:rsidR="0085154D" w:rsidRPr="0085154D">
        <w:rPr>
          <w:rFonts w:ascii="Times New Roman" w:hAnsi="Times New Roman" w:cs="Times New Roman"/>
          <w:sz w:val="24"/>
          <w:szCs w:val="24"/>
        </w:rPr>
        <w:t xml:space="preserve">Mudança de contexto social e do quadro de saúde </w:t>
      </w:r>
      <w:r w:rsidR="0085154D" w:rsidRPr="0085154D">
        <w:rPr>
          <w:rFonts w:ascii="Times New Roman" w:hAnsi="Times New Roman" w:cs="Times New Roman"/>
          <w:sz w:val="24"/>
          <w:szCs w:val="24"/>
        </w:rPr>
        <w:lastRenderedPageBreak/>
        <w:t>pública. Perícia psicológica e social determinada, mas ainda não realizada. Mais de 1 (um) ano sem contato físico entre pai e filho de tenra idade. Prejuízo ao vínculo afetivo e desenvolvimento psicológico da criança. Observância do melhor interesse do menor. Majoração das visitas presenciais para 1 vez por semana, aos sábados, por 6 horas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85154D" w:rsidRPr="0085154D">
        <w:rPr>
          <w:rFonts w:ascii="Times New Roman" w:hAnsi="Times New Roman" w:cs="Times New Roman"/>
          <w:sz w:val="24"/>
          <w:szCs w:val="24"/>
        </w:rPr>
        <w:t>(TJSP</w:t>
      </w:r>
      <w:r>
        <w:rPr>
          <w:rFonts w:ascii="Times New Roman" w:hAnsi="Times New Roman" w:cs="Times New Roman"/>
          <w:sz w:val="24"/>
          <w:szCs w:val="24"/>
        </w:rPr>
        <w:t xml:space="preserve">, Agravo de </w:t>
      </w:r>
      <w:r w:rsidR="00C94A36">
        <w:rPr>
          <w:rFonts w:ascii="Times New Roman" w:hAnsi="Times New Roman" w:cs="Times New Roman"/>
          <w:sz w:val="24"/>
          <w:szCs w:val="24"/>
        </w:rPr>
        <w:t xml:space="preserve">Instrumento </w:t>
      </w:r>
      <w:r>
        <w:rPr>
          <w:rFonts w:ascii="Times New Roman" w:hAnsi="Times New Roman" w:cs="Times New Roman"/>
          <w:sz w:val="24"/>
          <w:szCs w:val="24"/>
        </w:rPr>
        <w:t xml:space="preserve">n. </w:t>
      </w:r>
      <w:r w:rsidR="0085154D" w:rsidRPr="0085154D">
        <w:rPr>
          <w:rFonts w:ascii="Times New Roman" w:hAnsi="Times New Roman" w:cs="Times New Roman"/>
          <w:sz w:val="24"/>
          <w:szCs w:val="24"/>
        </w:rPr>
        <w:t>2207243-45.2021.8.26.0000</w:t>
      </w:r>
      <w:r>
        <w:rPr>
          <w:rFonts w:ascii="Times New Roman" w:hAnsi="Times New Roman" w:cs="Times New Roman"/>
          <w:sz w:val="24"/>
          <w:szCs w:val="24"/>
        </w:rPr>
        <w:t xml:space="preserve">, Acórdão n. 15768665, </w:t>
      </w:r>
      <w:r w:rsidR="0085154D" w:rsidRPr="0085154D">
        <w:rPr>
          <w:rFonts w:ascii="Times New Roman" w:hAnsi="Times New Roman" w:cs="Times New Roman"/>
          <w:sz w:val="24"/>
          <w:szCs w:val="24"/>
        </w:rPr>
        <w:t xml:space="preserve"> São José dos Campos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5154D" w:rsidRPr="0085154D">
        <w:rPr>
          <w:rFonts w:ascii="Times New Roman" w:hAnsi="Times New Roman" w:cs="Times New Roman"/>
          <w:sz w:val="24"/>
          <w:szCs w:val="24"/>
        </w:rPr>
        <w:t>Nona Câmara de Direito Privado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5154D" w:rsidRPr="0085154D">
        <w:rPr>
          <w:rFonts w:ascii="Times New Roman" w:hAnsi="Times New Roman" w:cs="Times New Roman"/>
          <w:sz w:val="24"/>
          <w:szCs w:val="24"/>
        </w:rPr>
        <w:t>Rel. Des. Piva Rodrigues</w:t>
      </w:r>
      <w:r>
        <w:rPr>
          <w:rFonts w:ascii="Times New Roman" w:hAnsi="Times New Roman" w:cs="Times New Roman"/>
          <w:sz w:val="24"/>
          <w:szCs w:val="24"/>
        </w:rPr>
        <w:t xml:space="preserve">, julgado em </w:t>
      </w:r>
      <w:r w:rsidR="0085154D" w:rsidRPr="0085154D">
        <w:rPr>
          <w:rFonts w:ascii="Times New Roman" w:hAnsi="Times New Roman" w:cs="Times New Roman"/>
          <w:sz w:val="24"/>
          <w:szCs w:val="24"/>
        </w:rPr>
        <w:t>17/06/2022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5154D" w:rsidRPr="0085154D">
        <w:rPr>
          <w:rFonts w:ascii="Times New Roman" w:hAnsi="Times New Roman" w:cs="Times New Roman"/>
          <w:sz w:val="24"/>
          <w:szCs w:val="24"/>
        </w:rPr>
        <w:t>DJESP 22/06/2022</w:t>
      </w:r>
      <w:r>
        <w:rPr>
          <w:rFonts w:ascii="Times New Roman" w:hAnsi="Times New Roman" w:cs="Times New Roman"/>
          <w:sz w:val="24"/>
          <w:szCs w:val="24"/>
        </w:rPr>
        <w:t>, p</w:t>
      </w:r>
      <w:r w:rsidR="0085154D" w:rsidRPr="0085154D">
        <w:rPr>
          <w:rFonts w:ascii="Times New Roman" w:hAnsi="Times New Roman" w:cs="Times New Roman"/>
          <w:sz w:val="24"/>
          <w:szCs w:val="24"/>
        </w:rPr>
        <w:t>. 2265)</w:t>
      </w:r>
      <w:r w:rsidR="0085154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Também se tem entendido que a alteração n</w:t>
      </w:r>
      <w:r w:rsidR="00475886">
        <w:rPr>
          <w:rFonts w:ascii="Times New Roman" w:hAnsi="Times New Roman" w:cs="Times New Roman"/>
          <w:sz w:val="24"/>
          <w:szCs w:val="24"/>
        </w:rPr>
        <w:t xml:space="preserve">o regime de </w:t>
      </w:r>
      <w:r>
        <w:rPr>
          <w:rFonts w:ascii="Times New Roman" w:hAnsi="Times New Roman" w:cs="Times New Roman"/>
          <w:sz w:val="24"/>
          <w:szCs w:val="24"/>
        </w:rPr>
        <w:t xml:space="preserve">guarda </w:t>
      </w:r>
      <w:r w:rsidR="00475886">
        <w:rPr>
          <w:rFonts w:ascii="Times New Roman" w:hAnsi="Times New Roman" w:cs="Times New Roman"/>
          <w:sz w:val="24"/>
          <w:szCs w:val="24"/>
        </w:rPr>
        <w:t xml:space="preserve">ou convivência </w:t>
      </w:r>
      <w:r>
        <w:rPr>
          <w:rFonts w:ascii="Times New Roman" w:hAnsi="Times New Roman" w:cs="Times New Roman"/>
          <w:sz w:val="24"/>
          <w:szCs w:val="24"/>
        </w:rPr>
        <w:t xml:space="preserve">em se tratando de criança de tenra idade somente se justifica </w:t>
      </w:r>
      <w:r w:rsidR="005364E4">
        <w:rPr>
          <w:rFonts w:ascii="Times New Roman" w:hAnsi="Times New Roman" w:cs="Times New Roman"/>
          <w:sz w:val="24"/>
          <w:szCs w:val="24"/>
        </w:rPr>
        <w:t xml:space="preserve">em casos excepcionais, como se retira dos seguintes acórdãos: </w:t>
      </w:r>
    </w:p>
    <w:p w14:paraId="1F551396" w14:textId="01B7DCBC" w:rsidR="0085154D" w:rsidRPr="005364E4" w:rsidRDefault="005364E4" w:rsidP="005364E4">
      <w:pPr>
        <w:spacing w:before="120" w:after="12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85154D" w:rsidRPr="005364E4">
        <w:rPr>
          <w:rFonts w:ascii="Times New Roman" w:hAnsi="Times New Roman" w:cs="Times New Roman"/>
        </w:rPr>
        <w:t xml:space="preserve">AGRAVO DE INSTRUMENTO. AÇÃO DE REGULAMENTAÇÃO DE GUARDA E DIREITO DE VISITAS. Tutela provisória parcialmente deferida para fixar a guarda compartilhada com lar de referência materno e regulamentar o direito provisório de </w:t>
      </w:r>
      <w:r w:rsidRPr="005364E4">
        <w:rPr>
          <w:rFonts w:ascii="Times New Roman" w:hAnsi="Times New Roman" w:cs="Times New Roman"/>
        </w:rPr>
        <w:t>convivência</w:t>
      </w:r>
      <w:r w:rsidR="0085154D" w:rsidRPr="005364E4">
        <w:rPr>
          <w:rFonts w:ascii="Times New Roman" w:hAnsi="Times New Roman" w:cs="Times New Roman"/>
        </w:rPr>
        <w:t xml:space="preserve"> do genitor</w:t>
      </w:r>
      <w:r w:rsidR="00CA144A">
        <w:rPr>
          <w:rFonts w:ascii="Times New Roman" w:hAnsi="Times New Roman" w:cs="Times New Roman"/>
        </w:rPr>
        <w:t xml:space="preserve"> – </w:t>
      </w:r>
      <w:r w:rsidRPr="005364E4">
        <w:rPr>
          <w:rFonts w:ascii="Times New Roman" w:hAnsi="Times New Roman" w:cs="Times New Roman"/>
        </w:rPr>
        <w:t>insurgência</w:t>
      </w:r>
      <w:r w:rsidR="0085154D" w:rsidRPr="005364E4">
        <w:rPr>
          <w:rFonts w:ascii="Times New Roman" w:hAnsi="Times New Roman" w:cs="Times New Roman"/>
        </w:rPr>
        <w:t xml:space="preserve"> do genitor</w:t>
      </w:r>
      <w:r w:rsidR="00CA144A">
        <w:rPr>
          <w:rFonts w:ascii="Times New Roman" w:hAnsi="Times New Roman" w:cs="Times New Roman"/>
        </w:rPr>
        <w:t xml:space="preserve"> – </w:t>
      </w:r>
      <w:r w:rsidR="0085154D" w:rsidRPr="005364E4">
        <w:rPr>
          <w:rFonts w:ascii="Times New Roman" w:hAnsi="Times New Roman" w:cs="Times New Roman"/>
        </w:rPr>
        <w:t xml:space="preserve">pedido de fixação de guarda unilateral ou de inversão do lar de </w:t>
      </w:r>
      <w:r w:rsidR="00540911" w:rsidRPr="005364E4">
        <w:rPr>
          <w:rFonts w:ascii="Times New Roman" w:hAnsi="Times New Roman" w:cs="Times New Roman"/>
        </w:rPr>
        <w:t>referência</w:t>
      </w:r>
      <w:r w:rsidR="0085154D" w:rsidRPr="005364E4">
        <w:rPr>
          <w:rFonts w:ascii="Times New Roman" w:hAnsi="Times New Roman" w:cs="Times New Roman"/>
        </w:rPr>
        <w:t>. Ausência de prova de situação de risco ou abuso ao infante na companhia materna</w:t>
      </w:r>
      <w:r w:rsidR="00CA144A">
        <w:rPr>
          <w:rFonts w:ascii="Times New Roman" w:hAnsi="Times New Roman" w:cs="Times New Roman"/>
        </w:rPr>
        <w:t xml:space="preserve"> – </w:t>
      </w:r>
      <w:r w:rsidR="0085154D" w:rsidRPr="005364E4">
        <w:rPr>
          <w:rFonts w:ascii="Times New Roman" w:hAnsi="Times New Roman" w:cs="Times New Roman"/>
        </w:rPr>
        <w:t>art. 1</w:t>
      </w:r>
      <w:r w:rsidR="00CA144A">
        <w:rPr>
          <w:rFonts w:ascii="Times New Roman" w:hAnsi="Times New Roman" w:cs="Times New Roman"/>
        </w:rPr>
        <w:t>.</w:t>
      </w:r>
      <w:r w:rsidR="0085154D" w:rsidRPr="005364E4">
        <w:rPr>
          <w:rFonts w:ascii="Times New Roman" w:hAnsi="Times New Roman" w:cs="Times New Roman"/>
        </w:rPr>
        <w:t>585, CC</w:t>
      </w:r>
      <w:r w:rsidR="00CA144A">
        <w:rPr>
          <w:rFonts w:ascii="Times New Roman" w:hAnsi="Times New Roman" w:cs="Times New Roman"/>
        </w:rPr>
        <w:t xml:space="preserve"> – </w:t>
      </w:r>
      <w:r w:rsidR="0085154D" w:rsidRPr="005364E4">
        <w:rPr>
          <w:rFonts w:ascii="Times New Roman" w:hAnsi="Times New Roman" w:cs="Times New Roman"/>
        </w:rPr>
        <w:t>situação de fato</w:t>
      </w:r>
      <w:r w:rsidR="00CA144A">
        <w:rPr>
          <w:rFonts w:ascii="Times New Roman" w:hAnsi="Times New Roman" w:cs="Times New Roman"/>
        </w:rPr>
        <w:t xml:space="preserve"> – </w:t>
      </w:r>
      <w:r w:rsidR="0085154D" w:rsidRPr="005364E4">
        <w:rPr>
          <w:rFonts w:ascii="Times New Roman" w:hAnsi="Times New Roman" w:cs="Times New Roman"/>
        </w:rPr>
        <w:t>criança de tenra idade (dois anos) sob os cuidados da genitora desde o nascimento</w:t>
      </w:r>
      <w:r w:rsidR="00CA144A">
        <w:rPr>
          <w:rFonts w:ascii="Times New Roman" w:hAnsi="Times New Roman" w:cs="Times New Roman"/>
        </w:rPr>
        <w:t xml:space="preserve"> – </w:t>
      </w:r>
      <w:r w:rsidR="0085154D" w:rsidRPr="005364E4">
        <w:rPr>
          <w:rFonts w:ascii="Times New Roman" w:hAnsi="Times New Roman" w:cs="Times New Roman"/>
        </w:rPr>
        <w:t>modificação de situação fática somente em situações excepcionais de risco</w:t>
      </w:r>
      <w:r w:rsidR="00CA144A">
        <w:rPr>
          <w:rFonts w:ascii="Times New Roman" w:hAnsi="Times New Roman" w:cs="Times New Roman"/>
        </w:rPr>
        <w:t xml:space="preserve"> – </w:t>
      </w:r>
      <w:r w:rsidR="0085154D" w:rsidRPr="005364E4">
        <w:rPr>
          <w:rFonts w:ascii="Times New Roman" w:hAnsi="Times New Roman" w:cs="Times New Roman"/>
        </w:rPr>
        <w:t>hipótese não configurada no caso</w:t>
      </w:r>
      <w:r w:rsidR="00CA144A">
        <w:rPr>
          <w:rFonts w:ascii="Times New Roman" w:hAnsi="Times New Roman" w:cs="Times New Roman"/>
        </w:rPr>
        <w:t xml:space="preserve"> – </w:t>
      </w:r>
      <w:r w:rsidRPr="005364E4">
        <w:rPr>
          <w:rFonts w:ascii="Times New Roman" w:hAnsi="Times New Roman" w:cs="Times New Roman"/>
        </w:rPr>
        <w:t>inexistência</w:t>
      </w:r>
      <w:r w:rsidR="0085154D" w:rsidRPr="005364E4">
        <w:rPr>
          <w:rFonts w:ascii="Times New Roman" w:hAnsi="Times New Roman" w:cs="Times New Roman"/>
        </w:rPr>
        <w:t xml:space="preserve"> de fatos que desabonem a conduta da genitora. Necessidade de prévia instrução probatória</w:t>
      </w:r>
      <w:r w:rsidR="00CA144A">
        <w:rPr>
          <w:rFonts w:ascii="Times New Roman" w:hAnsi="Times New Roman" w:cs="Times New Roman"/>
        </w:rPr>
        <w:t xml:space="preserve"> – </w:t>
      </w:r>
      <w:r w:rsidR="0085154D" w:rsidRPr="005364E4">
        <w:rPr>
          <w:rFonts w:ascii="Times New Roman" w:hAnsi="Times New Roman" w:cs="Times New Roman"/>
        </w:rPr>
        <w:t>regime de convivência assegurado e ampliado por decisão ulterior</w:t>
      </w:r>
      <w:r w:rsidR="00CA144A">
        <w:rPr>
          <w:rFonts w:ascii="Times New Roman" w:hAnsi="Times New Roman" w:cs="Times New Roman"/>
        </w:rPr>
        <w:t xml:space="preserve"> – </w:t>
      </w:r>
      <w:r w:rsidR="0085154D" w:rsidRPr="005364E4">
        <w:rPr>
          <w:rFonts w:ascii="Times New Roman" w:hAnsi="Times New Roman" w:cs="Times New Roman"/>
        </w:rPr>
        <w:t>recurso conhecido e desprovido</w:t>
      </w:r>
      <w:r>
        <w:rPr>
          <w:rFonts w:ascii="Times New Roman" w:hAnsi="Times New Roman" w:cs="Times New Roman"/>
        </w:rPr>
        <w:t>"</w:t>
      </w:r>
      <w:r w:rsidR="0085154D" w:rsidRPr="005364E4">
        <w:rPr>
          <w:rFonts w:ascii="Times New Roman" w:hAnsi="Times New Roman" w:cs="Times New Roman"/>
        </w:rPr>
        <w:t xml:space="preserve"> (TJPR</w:t>
      </w:r>
      <w:r>
        <w:rPr>
          <w:rFonts w:ascii="Times New Roman" w:hAnsi="Times New Roman" w:cs="Times New Roman"/>
        </w:rPr>
        <w:t xml:space="preserve">, Recurso n. </w:t>
      </w:r>
      <w:r w:rsidR="0085154D" w:rsidRPr="005364E4">
        <w:rPr>
          <w:rFonts w:ascii="Times New Roman" w:hAnsi="Times New Roman" w:cs="Times New Roman"/>
        </w:rPr>
        <w:t>0070590-49.2021.8.16.0000</w:t>
      </w:r>
      <w:r>
        <w:rPr>
          <w:rFonts w:ascii="Times New Roman" w:hAnsi="Times New Roman" w:cs="Times New Roman"/>
        </w:rPr>
        <w:t xml:space="preserve">, </w:t>
      </w:r>
      <w:r w:rsidR="0085154D" w:rsidRPr="005364E4">
        <w:rPr>
          <w:rFonts w:ascii="Times New Roman" w:hAnsi="Times New Roman" w:cs="Times New Roman"/>
        </w:rPr>
        <w:t>Curitiba</w:t>
      </w:r>
      <w:r>
        <w:rPr>
          <w:rFonts w:ascii="Times New Roman" w:hAnsi="Times New Roman" w:cs="Times New Roman"/>
        </w:rPr>
        <w:t xml:space="preserve">, </w:t>
      </w:r>
      <w:r w:rsidR="0085154D" w:rsidRPr="005364E4">
        <w:rPr>
          <w:rFonts w:ascii="Times New Roman" w:hAnsi="Times New Roman" w:cs="Times New Roman"/>
        </w:rPr>
        <w:t>Décima Segunda Câmara Cível</w:t>
      </w:r>
      <w:r>
        <w:rPr>
          <w:rFonts w:ascii="Times New Roman" w:hAnsi="Times New Roman" w:cs="Times New Roman"/>
        </w:rPr>
        <w:t xml:space="preserve">, </w:t>
      </w:r>
      <w:r w:rsidR="0085154D" w:rsidRPr="005364E4">
        <w:rPr>
          <w:rFonts w:ascii="Times New Roman" w:hAnsi="Times New Roman" w:cs="Times New Roman"/>
        </w:rPr>
        <w:t xml:space="preserve"> Relª Desª Rosana Amara Girardi Fachin</w:t>
      </w:r>
      <w:r>
        <w:rPr>
          <w:rFonts w:ascii="Times New Roman" w:hAnsi="Times New Roman" w:cs="Times New Roman"/>
        </w:rPr>
        <w:t xml:space="preserve">, julgado em 13/06/2022, </w:t>
      </w:r>
      <w:r w:rsidR="0085154D" w:rsidRPr="005364E4">
        <w:rPr>
          <w:rFonts w:ascii="Times New Roman" w:hAnsi="Times New Roman" w:cs="Times New Roman"/>
        </w:rPr>
        <w:t xml:space="preserve">DJPR 14/06/2022). </w:t>
      </w:r>
    </w:p>
    <w:p w14:paraId="1DDD344A" w14:textId="70EA3DFE" w:rsidR="0085154D" w:rsidRPr="005364E4" w:rsidRDefault="005364E4" w:rsidP="005364E4">
      <w:pPr>
        <w:spacing w:before="120" w:after="12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85154D" w:rsidRPr="005364E4">
        <w:rPr>
          <w:rFonts w:ascii="Times New Roman" w:hAnsi="Times New Roman" w:cs="Times New Roman"/>
        </w:rPr>
        <w:t xml:space="preserve">AGRAVO DE INSTRUMENTO. FAMÍLIA. AÇÃO DE GUARDA, REGULAMENTAÇÃO DE VISITAS E HOMOLOGAÇÃO DE PENSÃO ALIMENTÍCIA. REGULAMENTAÇÃO DE VISITAS PATERNAS. CRIANÇA DE TENRA IDADE, EM FASE DE ALEITAMENTO MATERNO. VISITAS SEM PERNOITE. CABIMENTO. MANUTENÇÃO DA DECISÃO. A fim de preservar a necessária convivência entre pai e filha, deve ser regularizada a visitação paterna, devendo ser mantida, nos termos em que fixada pelo juízo singular. Hipótese em que a convivência paterna foi estabelecida às terças e quintas-feiras, das 18h30min às 20h30, na residência da genitora, bem como aos sábados, das 16h às 18h, também na residência da genitora, não havendo motivos que ensejem a reanálise da questão, razão pela qual mantém-se a decisão, em seu inteiro teor. Ausentes elementos que evidenciem a ocorrência de risco ou </w:t>
      </w:r>
      <w:r w:rsidR="00CA144A" w:rsidRPr="005364E4">
        <w:rPr>
          <w:rFonts w:ascii="Times New Roman" w:hAnsi="Times New Roman" w:cs="Times New Roman"/>
        </w:rPr>
        <w:t>maus</w:t>
      </w:r>
      <w:r w:rsidR="00CA144A">
        <w:rPr>
          <w:rFonts w:ascii="Times New Roman" w:hAnsi="Times New Roman" w:cs="Times New Roman"/>
        </w:rPr>
        <w:t>-</w:t>
      </w:r>
      <w:r w:rsidR="0085154D" w:rsidRPr="005364E4">
        <w:rPr>
          <w:rFonts w:ascii="Times New Roman" w:hAnsi="Times New Roman" w:cs="Times New Roman"/>
        </w:rPr>
        <w:t xml:space="preserve">tratos à menor, devida a visitação do pai à filha, nos termos do pedido inicial, salientando-se que eventuais alterações, desde que devidamente comprovadas, em demonstrado prejuízo ao melhor interesse da criança, poderão ensejar a reanálise da questão. Inteligência do art. 1.589 do Código Civil. Precedentes do TJRS. Agravo </w:t>
      </w:r>
      <w:r w:rsidR="0085154D" w:rsidRPr="005364E4">
        <w:rPr>
          <w:rFonts w:ascii="Times New Roman" w:hAnsi="Times New Roman" w:cs="Times New Roman"/>
        </w:rPr>
        <w:lastRenderedPageBreak/>
        <w:t>de instrumento desprovido</w:t>
      </w:r>
      <w:r>
        <w:rPr>
          <w:rFonts w:ascii="Times New Roman" w:hAnsi="Times New Roman" w:cs="Times New Roman"/>
        </w:rPr>
        <w:t>"</w:t>
      </w:r>
      <w:r w:rsidR="0085154D" w:rsidRPr="005364E4">
        <w:rPr>
          <w:rFonts w:ascii="Times New Roman" w:hAnsi="Times New Roman" w:cs="Times New Roman"/>
        </w:rPr>
        <w:t xml:space="preserve"> (TJRS</w:t>
      </w:r>
      <w:r>
        <w:rPr>
          <w:rFonts w:ascii="Times New Roman" w:hAnsi="Times New Roman" w:cs="Times New Roman"/>
        </w:rPr>
        <w:t xml:space="preserve">, Agravo de </w:t>
      </w:r>
      <w:r w:rsidR="00777166">
        <w:rPr>
          <w:rFonts w:ascii="Times New Roman" w:hAnsi="Times New Roman" w:cs="Times New Roman"/>
        </w:rPr>
        <w:t xml:space="preserve">Instrumento </w:t>
      </w:r>
      <w:r>
        <w:rPr>
          <w:rFonts w:ascii="Times New Roman" w:hAnsi="Times New Roman" w:cs="Times New Roman"/>
        </w:rPr>
        <w:t xml:space="preserve">n. </w:t>
      </w:r>
      <w:r w:rsidR="0085154D" w:rsidRPr="005364E4">
        <w:rPr>
          <w:rFonts w:ascii="Times New Roman" w:hAnsi="Times New Roman" w:cs="Times New Roman"/>
        </w:rPr>
        <w:t>5112820-95.2022.8.21.7000</w:t>
      </w:r>
      <w:r>
        <w:rPr>
          <w:rFonts w:ascii="Times New Roman" w:hAnsi="Times New Roman" w:cs="Times New Roman"/>
        </w:rPr>
        <w:t xml:space="preserve">, </w:t>
      </w:r>
      <w:r w:rsidR="0085154D" w:rsidRPr="005364E4">
        <w:rPr>
          <w:rFonts w:ascii="Times New Roman" w:hAnsi="Times New Roman" w:cs="Times New Roman"/>
        </w:rPr>
        <w:t>Uruguaiana</w:t>
      </w:r>
      <w:r w:rsidR="00777166">
        <w:rPr>
          <w:rFonts w:ascii="Times New Roman" w:hAnsi="Times New Roman" w:cs="Times New Roman"/>
        </w:rPr>
        <w:t>,</w:t>
      </w:r>
      <w:r w:rsidR="00777166" w:rsidRPr="005364E4">
        <w:rPr>
          <w:rFonts w:ascii="Times New Roman" w:hAnsi="Times New Roman" w:cs="Times New Roman"/>
        </w:rPr>
        <w:t xml:space="preserve"> </w:t>
      </w:r>
      <w:r w:rsidR="0085154D" w:rsidRPr="005364E4">
        <w:rPr>
          <w:rFonts w:ascii="Times New Roman" w:hAnsi="Times New Roman" w:cs="Times New Roman"/>
        </w:rPr>
        <w:t>Sétima Câmara Cível</w:t>
      </w:r>
      <w:r>
        <w:rPr>
          <w:rFonts w:ascii="Times New Roman" w:hAnsi="Times New Roman" w:cs="Times New Roman"/>
        </w:rPr>
        <w:t xml:space="preserve">, </w:t>
      </w:r>
      <w:r w:rsidR="0085154D" w:rsidRPr="005364E4">
        <w:rPr>
          <w:rFonts w:ascii="Times New Roman" w:hAnsi="Times New Roman" w:cs="Times New Roman"/>
        </w:rPr>
        <w:t>Rel. Des. Carlos Eduardo Zietlow Duro</w:t>
      </w:r>
      <w:r>
        <w:rPr>
          <w:rFonts w:ascii="Times New Roman" w:hAnsi="Times New Roman" w:cs="Times New Roman"/>
        </w:rPr>
        <w:t xml:space="preserve">, julgado em </w:t>
      </w:r>
      <w:r w:rsidR="0085154D" w:rsidRPr="005364E4">
        <w:rPr>
          <w:rFonts w:ascii="Times New Roman" w:hAnsi="Times New Roman" w:cs="Times New Roman"/>
        </w:rPr>
        <w:t>08/06/2022</w:t>
      </w:r>
      <w:r>
        <w:rPr>
          <w:rFonts w:ascii="Times New Roman" w:hAnsi="Times New Roman" w:cs="Times New Roman"/>
        </w:rPr>
        <w:t xml:space="preserve">, </w:t>
      </w:r>
      <w:r w:rsidR="0085154D" w:rsidRPr="005364E4">
        <w:rPr>
          <w:rFonts w:ascii="Times New Roman" w:hAnsi="Times New Roman" w:cs="Times New Roman"/>
        </w:rPr>
        <w:t>DJERS 08/06/2022)</w:t>
      </w:r>
      <w:r w:rsidR="00777166">
        <w:rPr>
          <w:rFonts w:ascii="Times New Roman" w:hAnsi="Times New Roman" w:cs="Times New Roman"/>
        </w:rPr>
        <w:t>.</w:t>
      </w:r>
    </w:p>
    <w:p w14:paraId="4A2BC9B5" w14:textId="5B494ADB" w:rsidR="005364E4" w:rsidRDefault="005364E4" w:rsidP="002F4282">
      <w:pPr>
        <w:spacing w:before="120" w:after="120"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se </w:t>
      </w:r>
      <w:r w:rsidR="002719FB">
        <w:rPr>
          <w:rFonts w:ascii="Times New Roman" w:hAnsi="Times New Roman" w:cs="Times New Roman"/>
          <w:sz w:val="24"/>
          <w:szCs w:val="24"/>
        </w:rPr>
        <w:t>observa</w:t>
      </w:r>
      <w:r>
        <w:rPr>
          <w:rFonts w:ascii="Times New Roman" w:hAnsi="Times New Roman" w:cs="Times New Roman"/>
          <w:sz w:val="24"/>
          <w:szCs w:val="24"/>
        </w:rPr>
        <w:t xml:space="preserve">, os arestos destacam a necessidade de se observar o </w:t>
      </w:r>
      <w:r w:rsidRPr="00540911">
        <w:rPr>
          <w:rFonts w:ascii="Times New Roman" w:hAnsi="Times New Roman" w:cs="Times New Roman"/>
          <w:i/>
          <w:iCs/>
          <w:sz w:val="24"/>
          <w:szCs w:val="24"/>
        </w:rPr>
        <w:t>princípio do melhor interesse da criança</w:t>
      </w:r>
      <w:r w:rsidR="00706E5E">
        <w:rPr>
          <w:rFonts w:ascii="Times New Roman" w:hAnsi="Times New Roman" w:cs="Times New Roman"/>
          <w:sz w:val="24"/>
          <w:szCs w:val="24"/>
        </w:rPr>
        <w:t xml:space="preserve"> nas hipóteses descritas</w:t>
      </w:r>
      <w:r>
        <w:rPr>
          <w:rFonts w:ascii="Times New Roman" w:hAnsi="Times New Roman" w:cs="Times New Roman"/>
          <w:sz w:val="24"/>
          <w:szCs w:val="24"/>
        </w:rPr>
        <w:t xml:space="preserve">, podendo o enunciado trazer essa menção, como foi sugerido na plenária da </w:t>
      </w:r>
      <w:r w:rsidRPr="002719FB">
        <w:rPr>
          <w:rFonts w:ascii="Times New Roman" w:hAnsi="Times New Roman" w:cs="Times New Roman"/>
          <w:i/>
          <w:sz w:val="24"/>
          <w:szCs w:val="24"/>
        </w:rPr>
        <w:t>IX Jornada</w:t>
      </w:r>
      <w:r>
        <w:rPr>
          <w:rFonts w:ascii="Times New Roman" w:hAnsi="Times New Roman" w:cs="Times New Roman"/>
          <w:sz w:val="24"/>
          <w:szCs w:val="24"/>
        </w:rPr>
        <w:t>, mas não foi atendido. De todo modo, tal regramento deve sempre ser observado, orientando a interpretação da ementa doutrinária</w:t>
      </w:r>
      <w:r w:rsidR="002719FB">
        <w:rPr>
          <w:rFonts w:ascii="Times New Roman" w:hAnsi="Times New Roman" w:cs="Times New Roman"/>
          <w:sz w:val="24"/>
          <w:szCs w:val="24"/>
        </w:rPr>
        <w:t xml:space="preserve"> e de outros temas </w:t>
      </w:r>
      <w:r w:rsidR="002719FB">
        <w:rPr>
          <w:rFonts w:ascii="Times New Roman" w:hAnsi="Times New Roman" w:cs="Times New Roman"/>
          <w:sz w:val="24"/>
          <w:szCs w:val="24"/>
        </w:rPr>
        <w:t xml:space="preserve">relacionados à guarda de filhos. </w:t>
      </w:r>
    </w:p>
    <w:p w14:paraId="0CE601E5" w14:textId="386244DD" w:rsidR="002F4282" w:rsidRPr="002F4282" w:rsidRDefault="005364E4" w:rsidP="0053628E">
      <w:pPr>
        <w:spacing w:before="120" w:after="120"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segundo enunciado aprovado foi o de número </w:t>
      </w:r>
      <w:r w:rsidR="002F4282" w:rsidRPr="002F4282">
        <w:rPr>
          <w:rFonts w:ascii="Times New Roman" w:hAnsi="Times New Roman" w:cs="Times New Roman"/>
          <w:sz w:val="24"/>
          <w:szCs w:val="24"/>
        </w:rPr>
        <w:t>672</w:t>
      </w:r>
      <w:r>
        <w:rPr>
          <w:rFonts w:ascii="Times New Roman" w:hAnsi="Times New Roman" w:cs="Times New Roman"/>
          <w:sz w:val="24"/>
          <w:szCs w:val="24"/>
        </w:rPr>
        <w:t>, pre</w:t>
      </w:r>
      <w:r w:rsidR="002719FB">
        <w:rPr>
          <w:rFonts w:ascii="Times New Roman" w:hAnsi="Times New Roman" w:cs="Times New Roman"/>
          <w:sz w:val="24"/>
          <w:szCs w:val="24"/>
        </w:rPr>
        <w:t xml:space="preserve">ceituando </w:t>
      </w:r>
      <w:r>
        <w:rPr>
          <w:rFonts w:ascii="Times New Roman" w:hAnsi="Times New Roman" w:cs="Times New Roman"/>
          <w:sz w:val="24"/>
          <w:szCs w:val="24"/>
        </w:rPr>
        <w:t xml:space="preserve">que "o </w:t>
      </w:r>
      <w:r w:rsidR="002F4282" w:rsidRPr="002F4282">
        <w:rPr>
          <w:rFonts w:ascii="Times New Roman" w:hAnsi="Times New Roman" w:cs="Times New Roman"/>
          <w:sz w:val="24"/>
          <w:szCs w:val="24"/>
        </w:rPr>
        <w:t>direito de convivência familiar pode ser estendido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282" w:rsidRPr="002F4282">
        <w:rPr>
          <w:rFonts w:ascii="Times New Roman" w:hAnsi="Times New Roman" w:cs="Times New Roman"/>
          <w:sz w:val="24"/>
          <w:szCs w:val="24"/>
        </w:rPr>
        <w:t>aos avós e pessoas com as quais a criança ou adolescente mantenha vínculo afetivo, atendendo 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282" w:rsidRPr="002F4282">
        <w:rPr>
          <w:rFonts w:ascii="Times New Roman" w:hAnsi="Times New Roman" w:cs="Times New Roman"/>
          <w:sz w:val="24"/>
          <w:szCs w:val="24"/>
        </w:rPr>
        <w:t>seu melhor interesse</w:t>
      </w:r>
      <w:r>
        <w:rPr>
          <w:rFonts w:ascii="Times New Roman" w:hAnsi="Times New Roman" w:cs="Times New Roman"/>
          <w:sz w:val="24"/>
          <w:szCs w:val="24"/>
        </w:rPr>
        <w:t>"</w:t>
      </w:r>
      <w:r w:rsidR="002F4282" w:rsidRPr="002F428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Cancelou-se, assim, o E</w:t>
      </w:r>
      <w:r w:rsidR="002F4282" w:rsidRPr="002F4282">
        <w:rPr>
          <w:rFonts w:ascii="Times New Roman" w:hAnsi="Times New Roman" w:cs="Times New Roman"/>
          <w:sz w:val="24"/>
          <w:szCs w:val="24"/>
        </w:rPr>
        <w:t xml:space="preserve">nunciado </w:t>
      </w:r>
      <w:r w:rsidR="001B4896">
        <w:rPr>
          <w:rFonts w:ascii="Times New Roman" w:hAnsi="Times New Roman" w:cs="Times New Roman"/>
          <w:sz w:val="24"/>
          <w:szCs w:val="24"/>
        </w:rPr>
        <w:t xml:space="preserve">n. </w:t>
      </w:r>
      <w:r w:rsidR="002F4282" w:rsidRPr="002F4282">
        <w:rPr>
          <w:rFonts w:ascii="Times New Roman" w:hAnsi="Times New Roman" w:cs="Times New Roman"/>
          <w:sz w:val="24"/>
          <w:szCs w:val="24"/>
        </w:rPr>
        <w:t xml:space="preserve">333, da </w:t>
      </w:r>
      <w:r w:rsidR="002F4282" w:rsidRPr="005364E4">
        <w:rPr>
          <w:rFonts w:ascii="Times New Roman" w:hAnsi="Times New Roman" w:cs="Times New Roman"/>
          <w:i/>
          <w:sz w:val="24"/>
          <w:szCs w:val="24"/>
        </w:rPr>
        <w:t xml:space="preserve">IV </w:t>
      </w:r>
      <w:r w:rsidRPr="005364E4">
        <w:rPr>
          <w:rFonts w:ascii="Times New Roman" w:hAnsi="Times New Roman" w:cs="Times New Roman"/>
          <w:i/>
          <w:sz w:val="24"/>
          <w:szCs w:val="24"/>
        </w:rPr>
        <w:t>Jornada de Direito Civil</w:t>
      </w:r>
      <w:r>
        <w:rPr>
          <w:rFonts w:ascii="Times New Roman" w:hAnsi="Times New Roman" w:cs="Times New Roman"/>
          <w:sz w:val="24"/>
          <w:szCs w:val="24"/>
        </w:rPr>
        <w:t>, que</w:t>
      </w:r>
      <w:r w:rsidR="007771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7166">
        <w:rPr>
          <w:rFonts w:ascii="Times New Roman" w:hAnsi="Times New Roman" w:cs="Times New Roman"/>
          <w:sz w:val="24"/>
          <w:szCs w:val="24"/>
        </w:rPr>
        <w:t>em vez</w:t>
      </w:r>
      <w:r>
        <w:rPr>
          <w:rFonts w:ascii="Times New Roman" w:hAnsi="Times New Roman" w:cs="Times New Roman"/>
          <w:sz w:val="24"/>
          <w:szCs w:val="24"/>
        </w:rPr>
        <w:t xml:space="preserve"> de mencionar a convivência, utilizava o termo "visita".</w:t>
      </w:r>
      <w:r w:rsidR="00B6153E">
        <w:rPr>
          <w:rFonts w:ascii="Times New Roman" w:hAnsi="Times New Roman" w:cs="Times New Roman"/>
          <w:sz w:val="24"/>
          <w:szCs w:val="24"/>
        </w:rPr>
        <w:t xml:space="preserve"> Na verdade es</w:t>
      </w:r>
      <w:r w:rsidR="002719FB">
        <w:rPr>
          <w:rFonts w:ascii="Times New Roman" w:hAnsi="Times New Roman" w:cs="Times New Roman"/>
          <w:sz w:val="24"/>
          <w:szCs w:val="24"/>
        </w:rPr>
        <w:t>s</w:t>
      </w:r>
      <w:r w:rsidR="00706E5E">
        <w:rPr>
          <w:rFonts w:ascii="Times New Roman" w:hAnsi="Times New Roman" w:cs="Times New Roman"/>
          <w:sz w:val="24"/>
          <w:szCs w:val="24"/>
        </w:rPr>
        <w:t>a</w:t>
      </w:r>
      <w:r w:rsidR="00B6153E">
        <w:rPr>
          <w:rFonts w:ascii="Times New Roman" w:hAnsi="Times New Roman" w:cs="Times New Roman"/>
          <w:sz w:val="24"/>
          <w:szCs w:val="24"/>
        </w:rPr>
        <w:t xml:space="preserve"> é </w:t>
      </w:r>
      <w:r w:rsidR="002719FB">
        <w:rPr>
          <w:rFonts w:ascii="Times New Roman" w:hAnsi="Times New Roman" w:cs="Times New Roman"/>
          <w:sz w:val="24"/>
          <w:szCs w:val="24"/>
        </w:rPr>
        <w:t xml:space="preserve">a expressão </w:t>
      </w:r>
      <w:r w:rsidR="00B6153E">
        <w:rPr>
          <w:rFonts w:ascii="Times New Roman" w:hAnsi="Times New Roman" w:cs="Times New Roman"/>
          <w:sz w:val="24"/>
          <w:szCs w:val="24"/>
        </w:rPr>
        <w:t>utilizad</w:t>
      </w:r>
      <w:r w:rsidR="002719FB">
        <w:rPr>
          <w:rFonts w:ascii="Times New Roman" w:hAnsi="Times New Roman" w:cs="Times New Roman"/>
          <w:sz w:val="24"/>
          <w:szCs w:val="24"/>
        </w:rPr>
        <w:t>a</w:t>
      </w:r>
      <w:r w:rsidR="00B6153E">
        <w:rPr>
          <w:rFonts w:ascii="Times New Roman" w:hAnsi="Times New Roman" w:cs="Times New Roman"/>
          <w:sz w:val="24"/>
          <w:szCs w:val="24"/>
        </w:rPr>
        <w:t xml:space="preserve"> também pelo art. 1.589, parágrafo único, do Código Civil, incluído pela Lei n. 12.398/2011: "o</w:t>
      </w:r>
      <w:r w:rsidR="00B6153E" w:rsidRPr="00B6153E">
        <w:rPr>
          <w:rFonts w:ascii="Times New Roman" w:hAnsi="Times New Roman" w:cs="Times New Roman"/>
          <w:sz w:val="24"/>
          <w:szCs w:val="24"/>
        </w:rPr>
        <w:t xml:space="preserve"> direito de visita estende-se a qualquer dos avós, a critério do juiz, observados os interesses da criança ou do adolescente</w:t>
      </w:r>
      <w:r w:rsidR="00B6153E">
        <w:rPr>
          <w:rFonts w:ascii="Times New Roman" w:hAnsi="Times New Roman" w:cs="Times New Roman"/>
          <w:sz w:val="24"/>
          <w:szCs w:val="24"/>
        </w:rPr>
        <w:t>"</w:t>
      </w:r>
      <w:r w:rsidR="00B6153E" w:rsidRPr="00B6153E">
        <w:rPr>
          <w:rFonts w:ascii="Times New Roman" w:hAnsi="Times New Roman" w:cs="Times New Roman"/>
          <w:sz w:val="24"/>
          <w:szCs w:val="24"/>
        </w:rPr>
        <w:t xml:space="preserve">. </w:t>
      </w:r>
      <w:r w:rsidR="0053628E">
        <w:rPr>
          <w:rFonts w:ascii="Times New Roman" w:hAnsi="Times New Roman" w:cs="Times New Roman"/>
          <w:sz w:val="24"/>
          <w:szCs w:val="24"/>
        </w:rPr>
        <w:t>O enunciado, assim, pode motivar a mudança legislativa, estando justificado pelo fato de que</w:t>
      </w:r>
      <w:r w:rsidR="00777166">
        <w:rPr>
          <w:rFonts w:ascii="Times New Roman" w:hAnsi="Times New Roman" w:cs="Times New Roman"/>
          <w:sz w:val="24"/>
          <w:szCs w:val="24"/>
        </w:rPr>
        <w:t>,</w:t>
      </w:r>
      <w:r w:rsidR="0053628E">
        <w:rPr>
          <w:rFonts w:ascii="Times New Roman" w:hAnsi="Times New Roman" w:cs="Times New Roman"/>
          <w:sz w:val="24"/>
          <w:szCs w:val="24"/>
        </w:rPr>
        <w:t xml:space="preserve"> "e</w:t>
      </w:r>
      <w:r w:rsidR="002F4282" w:rsidRPr="002F4282">
        <w:rPr>
          <w:rFonts w:ascii="Times New Roman" w:hAnsi="Times New Roman" w:cs="Times New Roman"/>
          <w:sz w:val="24"/>
          <w:szCs w:val="24"/>
        </w:rPr>
        <w:t>mbora seja da tradição do Direito de Família nomear o direito do pai ou mãe, mesmo</w:t>
      </w:r>
      <w:r w:rsidR="0053628E">
        <w:rPr>
          <w:rFonts w:ascii="Times New Roman" w:hAnsi="Times New Roman" w:cs="Times New Roman"/>
          <w:sz w:val="24"/>
          <w:szCs w:val="24"/>
        </w:rPr>
        <w:t xml:space="preserve"> </w:t>
      </w:r>
      <w:r w:rsidR="002F4282" w:rsidRPr="002F4282">
        <w:rPr>
          <w:rFonts w:ascii="Times New Roman" w:hAnsi="Times New Roman" w:cs="Times New Roman"/>
          <w:sz w:val="24"/>
          <w:szCs w:val="24"/>
        </w:rPr>
        <w:t xml:space="preserve">dos avós ou outros, que não </w:t>
      </w:r>
      <w:r w:rsidR="00777166" w:rsidRPr="002F4282">
        <w:rPr>
          <w:rFonts w:ascii="Times New Roman" w:hAnsi="Times New Roman" w:cs="Times New Roman"/>
          <w:sz w:val="24"/>
          <w:szCs w:val="24"/>
        </w:rPr>
        <w:t>det</w:t>
      </w:r>
      <w:r w:rsidR="00777166">
        <w:rPr>
          <w:rFonts w:ascii="Times New Roman" w:hAnsi="Times New Roman" w:cs="Times New Roman"/>
          <w:sz w:val="24"/>
          <w:szCs w:val="24"/>
        </w:rPr>
        <w:t>ê</w:t>
      </w:r>
      <w:r w:rsidR="00777166" w:rsidRPr="002F4282">
        <w:rPr>
          <w:rFonts w:ascii="Times New Roman" w:hAnsi="Times New Roman" w:cs="Times New Roman"/>
          <w:sz w:val="24"/>
          <w:szCs w:val="24"/>
        </w:rPr>
        <w:t xml:space="preserve">m </w:t>
      </w:r>
      <w:r w:rsidR="002F4282" w:rsidRPr="002F4282">
        <w:rPr>
          <w:rFonts w:ascii="Times New Roman" w:hAnsi="Times New Roman" w:cs="Times New Roman"/>
          <w:sz w:val="24"/>
          <w:szCs w:val="24"/>
        </w:rPr>
        <w:t>a guarda, como direito de visita, a expressão legal não</w:t>
      </w:r>
      <w:r w:rsidR="0053628E">
        <w:rPr>
          <w:rFonts w:ascii="Times New Roman" w:hAnsi="Times New Roman" w:cs="Times New Roman"/>
          <w:sz w:val="24"/>
          <w:szCs w:val="24"/>
        </w:rPr>
        <w:t xml:space="preserve"> </w:t>
      </w:r>
      <w:r w:rsidR="002F4282" w:rsidRPr="002F4282">
        <w:rPr>
          <w:rFonts w:ascii="Times New Roman" w:hAnsi="Times New Roman" w:cs="Times New Roman"/>
          <w:sz w:val="24"/>
          <w:szCs w:val="24"/>
        </w:rPr>
        <w:t>corresponde ao direito de convivência familiar assegurado à criança, ao adolescente e ao jovem no</w:t>
      </w:r>
      <w:r w:rsidR="0053628E">
        <w:rPr>
          <w:rFonts w:ascii="Times New Roman" w:hAnsi="Times New Roman" w:cs="Times New Roman"/>
          <w:sz w:val="24"/>
          <w:szCs w:val="24"/>
        </w:rPr>
        <w:t xml:space="preserve"> </w:t>
      </w:r>
      <w:r w:rsidR="002F4282" w:rsidRPr="002F4282">
        <w:rPr>
          <w:rFonts w:ascii="Times New Roman" w:hAnsi="Times New Roman" w:cs="Times New Roman"/>
          <w:sz w:val="24"/>
          <w:szCs w:val="24"/>
        </w:rPr>
        <w:t xml:space="preserve">art. 227, </w:t>
      </w:r>
      <w:r w:rsidR="002F4282" w:rsidRPr="0053628E">
        <w:rPr>
          <w:rFonts w:ascii="Times New Roman" w:hAnsi="Times New Roman" w:cs="Times New Roman"/>
          <w:i/>
          <w:sz w:val="24"/>
          <w:szCs w:val="24"/>
        </w:rPr>
        <w:t>caput</w:t>
      </w:r>
      <w:r w:rsidR="002F4282" w:rsidRPr="002F4282">
        <w:rPr>
          <w:rFonts w:ascii="Times New Roman" w:hAnsi="Times New Roman" w:cs="Times New Roman"/>
          <w:sz w:val="24"/>
          <w:szCs w:val="24"/>
        </w:rPr>
        <w:t>, da Constituição da República. O direito-dever de convivência familiar estende-se a</w:t>
      </w:r>
      <w:r w:rsidR="0053628E">
        <w:rPr>
          <w:rFonts w:ascii="Times New Roman" w:hAnsi="Times New Roman" w:cs="Times New Roman"/>
          <w:sz w:val="24"/>
          <w:szCs w:val="24"/>
        </w:rPr>
        <w:t xml:space="preserve"> </w:t>
      </w:r>
      <w:r w:rsidR="002F4282" w:rsidRPr="002F4282">
        <w:rPr>
          <w:rFonts w:ascii="Times New Roman" w:hAnsi="Times New Roman" w:cs="Times New Roman"/>
          <w:sz w:val="24"/>
          <w:szCs w:val="24"/>
        </w:rPr>
        <w:t xml:space="preserve">todos aqueles que </w:t>
      </w:r>
      <w:r w:rsidR="00777166" w:rsidRPr="002F4282">
        <w:rPr>
          <w:rFonts w:ascii="Times New Roman" w:hAnsi="Times New Roman" w:cs="Times New Roman"/>
          <w:sz w:val="24"/>
          <w:szCs w:val="24"/>
        </w:rPr>
        <w:t>mant</w:t>
      </w:r>
      <w:r w:rsidR="00777166">
        <w:rPr>
          <w:rFonts w:ascii="Times New Roman" w:hAnsi="Times New Roman" w:cs="Times New Roman"/>
          <w:sz w:val="24"/>
          <w:szCs w:val="24"/>
        </w:rPr>
        <w:t>ê</w:t>
      </w:r>
      <w:r w:rsidR="00777166" w:rsidRPr="002F4282">
        <w:rPr>
          <w:rFonts w:ascii="Times New Roman" w:hAnsi="Times New Roman" w:cs="Times New Roman"/>
          <w:sz w:val="24"/>
          <w:szCs w:val="24"/>
        </w:rPr>
        <w:t xml:space="preserve">m </w:t>
      </w:r>
      <w:r w:rsidR="002F4282" w:rsidRPr="002F4282">
        <w:rPr>
          <w:rFonts w:ascii="Times New Roman" w:hAnsi="Times New Roman" w:cs="Times New Roman"/>
          <w:sz w:val="24"/>
          <w:szCs w:val="24"/>
        </w:rPr>
        <w:t>vínculo afetivo com a criança e adolescente</w:t>
      </w:r>
      <w:r w:rsidR="0053628E">
        <w:rPr>
          <w:rFonts w:ascii="Times New Roman" w:hAnsi="Times New Roman" w:cs="Times New Roman"/>
          <w:sz w:val="24"/>
          <w:szCs w:val="24"/>
        </w:rPr>
        <w:t>"</w:t>
      </w:r>
      <w:r w:rsidR="002F4282" w:rsidRPr="002F42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E35933" w14:textId="00FE8961" w:rsidR="002F4282" w:rsidRPr="002F4282" w:rsidRDefault="0053628E" w:rsidP="002F4282">
      <w:pPr>
        <w:spacing w:before="120" w:after="120"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Ainda a respeito de questões atinentes ao poder familiar ou autoridade parental, o novo Enunciado n. 673 prevê que "na </w:t>
      </w:r>
      <w:r w:rsidR="002F4282" w:rsidRPr="002F4282">
        <w:rPr>
          <w:rFonts w:ascii="Times New Roman" w:hAnsi="Times New Roman" w:cs="Times New Roman"/>
          <w:sz w:val="24"/>
          <w:szCs w:val="24"/>
        </w:rPr>
        <w:t>ação de destituição do poder familiar de criança ou adolescente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282" w:rsidRPr="002F4282">
        <w:rPr>
          <w:rFonts w:ascii="Times New Roman" w:hAnsi="Times New Roman" w:cs="Times New Roman"/>
          <w:sz w:val="24"/>
          <w:szCs w:val="24"/>
        </w:rPr>
        <w:t xml:space="preserve">que se encontre </w:t>
      </w:r>
      <w:r w:rsidR="00464553" w:rsidRPr="002F4282">
        <w:rPr>
          <w:rFonts w:ascii="Times New Roman" w:hAnsi="Times New Roman" w:cs="Times New Roman"/>
          <w:sz w:val="24"/>
          <w:szCs w:val="24"/>
        </w:rPr>
        <w:t>institucionalizad</w:t>
      </w:r>
      <w:r w:rsidR="00464553">
        <w:rPr>
          <w:rFonts w:ascii="Times New Roman" w:hAnsi="Times New Roman" w:cs="Times New Roman"/>
          <w:sz w:val="24"/>
          <w:szCs w:val="24"/>
        </w:rPr>
        <w:t>o</w:t>
      </w:r>
      <w:r w:rsidR="002F4282" w:rsidRPr="002F4282">
        <w:rPr>
          <w:rFonts w:ascii="Times New Roman" w:hAnsi="Times New Roman" w:cs="Times New Roman"/>
          <w:sz w:val="24"/>
          <w:szCs w:val="24"/>
        </w:rPr>
        <w:t>, promovida pelo Ministério Público, é recomendável que o juiz</w:t>
      </w:r>
      <w:r w:rsidR="004645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282" w:rsidRPr="002F4282">
        <w:rPr>
          <w:rFonts w:ascii="Times New Roman" w:hAnsi="Times New Roman" w:cs="Times New Roman"/>
          <w:sz w:val="24"/>
          <w:szCs w:val="24"/>
        </w:rPr>
        <w:t xml:space="preserve">a título de tutela antecipada, conceda a guarda provisória a quem esteja habilitado </w:t>
      </w:r>
      <w:r w:rsidR="00464553">
        <w:rPr>
          <w:rFonts w:ascii="Times New Roman" w:hAnsi="Times New Roman" w:cs="Times New Roman"/>
          <w:sz w:val="24"/>
          <w:szCs w:val="24"/>
        </w:rPr>
        <w:t>par</w:t>
      </w:r>
      <w:r w:rsidR="002F4282" w:rsidRPr="002F4282">
        <w:rPr>
          <w:rFonts w:ascii="Times New Roman" w:hAnsi="Times New Roman" w:cs="Times New Roman"/>
          <w:sz w:val="24"/>
          <w:szCs w:val="24"/>
        </w:rPr>
        <w:t>a adotá-lo,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282" w:rsidRPr="002F4282">
        <w:rPr>
          <w:rFonts w:ascii="Times New Roman" w:hAnsi="Times New Roman" w:cs="Times New Roman"/>
          <w:sz w:val="24"/>
          <w:szCs w:val="24"/>
        </w:rPr>
        <w:t>segundo o perfil eleito pelo candidato à adoção</w:t>
      </w:r>
      <w:r>
        <w:rPr>
          <w:rFonts w:ascii="Times New Roman" w:hAnsi="Times New Roman" w:cs="Times New Roman"/>
          <w:sz w:val="24"/>
          <w:szCs w:val="24"/>
        </w:rPr>
        <w:t>"</w:t>
      </w:r>
      <w:r w:rsidR="002F4282" w:rsidRPr="002F42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 norma diz respeito aos arts. 1.635 e 1.638 do Código Civil, </w:t>
      </w:r>
      <w:r w:rsidR="00163232">
        <w:rPr>
          <w:rFonts w:ascii="Times New Roman" w:hAnsi="Times New Roman" w:cs="Times New Roman"/>
          <w:sz w:val="24"/>
          <w:szCs w:val="24"/>
        </w:rPr>
        <w:t>que tratam</w:t>
      </w:r>
      <w:r w:rsidR="00706E5E">
        <w:rPr>
          <w:rFonts w:ascii="Times New Roman" w:hAnsi="Times New Roman" w:cs="Times New Roman"/>
          <w:sz w:val="24"/>
          <w:szCs w:val="24"/>
        </w:rPr>
        <w:t xml:space="preserve"> da extinção do poder familiar, </w:t>
      </w:r>
      <w:r w:rsidR="00163232">
        <w:rPr>
          <w:rFonts w:ascii="Times New Roman" w:hAnsi="Times New Roman" w:cs="Times New Roman"/>
          <w:sz w:val="24"/>
          <w:szCs w:val="24"/>
        </w:rPr>
        <w:t>procurando efetivar a adoção</w:t>
      </w:r>
      <w:r w:rsidR="002719FB">
        <w:rPr>
          <w:rFonts w:ascii="Times New Roman" w:hAnsi="Times New Roman" w:cs="Times New Roman"/>
          <w:sz w:val="24"/>
          <w:szCs w:val="24"/>
        </w:rPr>
        <w:t xml:space="preserve"> por meio da concessão de tutela de urgência</w:t>
      </w:r>
      <w:r w:rsidR="00163232">
        <w:rPr>
          <w:rFonts w:ascii="Times New Roman" w:hAnsi="Times New Roman" w:cs="Times New Roman"/>
          <w:sz w:val="24"/>
          <w:szCs w:val="24"/>
        </w:rPr>
        <w:t xml:space="preserve">, o que vem em boa hora.  </w:t>
      </w:r>
    </w:p>
    <w:p w14:paraId="22E1DD69" w14:textId="28584AD2" w:rsidR="002719FB" w:rsidRDefault="00163232" w:rsidP="002F4282">
      <w:pPr>
        <w:spacing w:before="120" w:after="120"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Sobre o tema do regime de bens, aprovou-se o Enunciado n. </w:t>
      </w:r>
      <w:r w:rsidR="002F4282" w:rsidRPr="002F4282">
        <w:rPr>
          <w:rFonts w:ascii="Times New Roman" w:hAnsi="Times New Roman" w:cs="Times New Roman"/>
          <w:sz w:val="24"/>
          <w:szCs w:val="24"/>
        </w:rPr>
        <w:t>674</w:t>
      </w:r>
      <w:r w:rsidR="00706E5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"c</w:t>
      </w:r>
      <w:r w:rsidR="002F4282" w:rsidRPr="002F4282">
        <w:rPr>
          <w:rFonts w:ascii="Times New Roman" w:hAnsi="Times New Roman" w:cs="Times New Roman"/>
          <w:sz w:val="24"/>
          <w:szCs w:val="24"/>
        </w:rPr>
        <w:t>omprovada a prática de violência doméstica e familiar contra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282" w:rsidRPr="002F4282">
        <w:rPr>
          <w:rFonts w:ascii="Times New Roman" w:hAnsi="Times New Roman" w:cs="Times New Roman"/>
          <w:sz w:val="24"/>
          <w:szCs w:val="24"/>
        </w:rPr>
        <w:t>a mulher, o ressarcimento a ser pago à vítima deverá sair exclusivamente da meação do cônjuge 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282" w:rsidRPr="002F4282">
        <w:rPr>
          <w:rFonts w:ascii="Times New Roman" w:hAnsi="Times New Roman" w:cs="Times New Roman"/>
          <w:sz w:val="24"/>
          <w:szCs w:val="24"/>
        </w:rPr>
        <w:t xml:space="preserve">companheiro </w:t>
      </w:r>
      <w:r w:rsidR="002F4282" w:rsidRPr="002F4282">
        <w:rPr>
          <w:rFonts w:ascii="Times New Roman" w:hAnsi="Times New Roman" w:cs="Times New Roman"/>
          <w:sz w:val="24"/>
          <w:szCs w:val="24"/>
        </w:rPr>
        <w:lastRenderedPageBreak/>
        <w:t>agressor</w:t>
      </w:r>
      <w:r>
        <w:rPr>
          <w:rFonts w:ascii="Times New Roman" w:hAnsi="Times New Roman" w:cs="Times New Roman"/>
          <w:sz w:val="24"/>
          <w:szCs w:val="24"/>
        </w:rPr>
        <w:t>"</w:t>
      </w:r>
      <w:r w:rsidR="002F4282" w:rsidRPr="002F42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As justificativas destacam as indenizações por dano moral fixadas contra o </w:t>
      </w:r>
      <w:r>
        <w:rPr>
          <w:rFonts w:ascii="Times New Roman" w:hAnsi="Times New Roman" w:cs="Times New Roman"/>
          <w:sz w:val="24"/>
          <w:szCs w:val="24"/>
        </w:rPr>
        <w:t>agressor, o que decorre do art. 9º, §</w:t>
      </w:r>
      <w:r w:rsidR="00706E5E">
        <w:rPr>
          <w:rFonts w:ascii="Times New Roman" w:hAnsi="Times New Roman" w:cs="Times New Roman"/>
          <w:sz w:val="24"/>
          <w:szCs w:val="24"/>
        </w:rPr>
        <w:t>§</w:t>
      </w:r>
      <w:r w:rsidR="002719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4º</w:t>
      </w:r>
      <w:r w:rsidR="00706E5E">
        <w:rPr>
          <w:rFonts w:ascii="Times New Roman" w:hAnsi="Times New Roman" w:cs="Times New Roman"/>
          <w:sz w:val="24"/>
          <w:szCs w:val="24"/>
        </w:rPr>
        <w:t xml:space="preserve"> e 5º</w:t>
      </w:r>
      <w:r>
        <w:rPr>
          <w:rFonts w:ascii="Times New Roman" w:hAnsi="Times New Roman" w:cs="Times New Roman"/>
          <w:sz w:val="24"/>
          <w:szCs w:val="24"/>
        </w:rPr>
        <w:t xml:space="preserve">, da </w:t>
      </w:r>
      <w:r w:rsidRPr="00706E5E">
        <w:rPr>
          <w:rFonts w:ascii="Times New Roman" w:hAnsi="Times New Roman" w:cs="Times New Roman"/>
          <w:i/>
          <w:sz w:val="24"/>
          <w:szCs w:val="24"/>
        </w:rPr>
        <w:t>Lei Maria da Penha</w:t>
      </w:r>
      <w:r>
        <w:rPr>
          <w:rFonts w:ascii="Times New Roman" w:hAnsi="Times New Roman" w:cs="Times New Roman"/>
          <w:sz w:val="24"/>
          <w:szCs w:val="24"/>
        </w:rPr>
        <w:t xml:space="preserve">. Em complemento, o </w:t>
      </w:r>
      <w:r w:rsidR="002F4282" w:rsidRPr="002F4282">
        <w:rPr>
          <w:rFonts w:ascii="Times New Roman" w:hAnsi="Times New Roman" w:cs="Times New Roman"/>
          <w:sz w:val="24"/>
          <w:szCs w:val="24"/>
        </w:rPr>
        <w:t>§</w:t>
      </w:r>
      <w:r w:rsidR="001E4999">
        <w:rPr>
          <w:rFonts w:ascii="Times New Roman" w:hAnsi="Times New Roman" w:cs="Times New Roman"/>
          <w:sz w:val="24"/>
          <w:szCs w:val="24"/>
        </w:rPr>
        <w:t xml:space="preserve"> </w:t>
      </w:r>
      <w:r w:rsidR="00706E5E">
        <w:rPr>
          <w:rFonts w:ascii="Times New Roman" w:hAnsi="Times New Roman" w:cs="Times New Roman"/>
          <w:sz w:val="24"/>
          <w:szCs w:val="24"/>
        </w:rPr>
        <w:t>6</w:t>
      </w:r>
      <w:r w:rsidR="002F4282" w:rsidRPr="002F4282">
        <w:rPr>
          <w:rFonts w:ascii="Times New Roman" w:hAnsi="Times New Roman" w:cs="Times New Roman"/>
          <w:sz w:val="24"/>
          <w:szCs w:val="24"/>
        </w:rPr>
        <w:t>º d</w:t>
      </w:r>
      <w:r>
        <w:rPr>
          <w:rFonts w:ascii="Times New Roman" w:hAnsi="Times New Roman" w:cs="Times New Roman"/>
          <w:sz w:val="24"/>
          <w:szCs w:val="24"/>
        </w:rPr>
        <w:t xml:space="preserve">a mesma norma </w:t>
      </w:r>
      <w:r w:rsidR="002719FB">
        <w:rPr>
          <w:rFonts w:ascii="Times New Roman" w:hAnsi="Times New Roman" w:cs="Times New Roman"/>
          <w:sz w:val="24"/>
          <w:szCs w:val="24"/>
        </w:rPr>
        <w:t xml:space="preserve">específica enuncia que </w:t>
      </w:r>
      <w:r>
        <w:rPr>
          <w:rFonts w:ascii="Times New Roman" w:hAnsi="Times New Roman" w:cs="Times New Roman"/>
          <w:sz w:val="24"/>
          <w:szCs w:val="24"/>
        </w:rPr>
        <w:t xml:space="preserve">essa indenização fixada  </w:t>
      </w:r>
      <w:r w:rsidR="002F4282" w:rsidRPr="002F4282">
        <w:rPr>
          <w:rFonts w:ascii="Times New Roman" w:hAnsi="Times New Roman" w:cs="Times New Roman"/>
          <w:sz w:val="24"/>
          <w:szCs w:val="24"/>
        </w:rPr>
        <w:t>"não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282" w:rsidRPr="002F4282">
        <w:rPr>
          <w:rFonts w:ascii="Times New Roman" w:hAnsi="Times New Roman" w:cs="Times New Roman"/>
          <w:sz w:val="24"/>
          <w:szCs w:val="24"/>
        </w:rPr>
        <w:t>poderá importar ônus de qualquer natureza ao patrimônio da mulher e dos seus dependentes"</w:t>
      </w:r>
      <w:r>
        <w:rPr>
          <w:rFonts w:ascii="Times New Roman" w:hAnsi="Times New Roman" w:cs="Times New Roman"/>
          <w:sz w:val="24"/>
          <w:szCs w:val="24"/>
        </w:rPr>
        <w:t xml:space="preserve">, estando no último preceito o fundamento principal da ementa doutrinária. </w:t>
      </w:r>
    </w:p>
    <w:p w14:paraId="4DF7BD91" w14:textId="2FFEE2D8" w:rsidR="00163232" w:rsidRDefault="002719FB" w:rsidP="002F4282">
      <w:pPr>
        <w:spacing w:before="120" w:after="120"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Penso que essa última tese </w:t>
      </w:r>
      <w:r w:rsidR="00163232">
        <w:rPr>
          <w:rFonts w:ascii="Times New Roman" w:hAnsi="Times New Roman" w:cs="Times New Roman"/>
          <w:sz w:val="24"/>
          <w:szCs w:val="24"/>
        </w:rPr>
        <w:t xml:space="preserve">é muito importante, </w:t>
      </w:r>
      <w:r>
        <w:rPr>
          <w:rFonts w:ascii="Times New Roman" w:hAnsi="Times New Roman" w:cs="Times New Roman"/>
          <w:sz w:val="24"/>
          <w:szCs w:val="24"/>
        </w:rPr>
        <w:t xml:space="preserve">sem dúvidas, </w:t>
      </w:r>
      <w:r w:rsidR="00163232">
        <w:rPr>
          <w:rFonts w:ascii="Times New Roman" w:hAnsi="Times New Roman" w:cs="Times New Roman"/>
          <w:sz w:val="24"/>
          <w:szCs w:val="24"/>
        </w:rPr>
        <w:t xml:space="preserve">mas faltaram outros enunciados </w:t>
      </w:r>
      <w:r w:rsidR="007B3209">
        <w:rPr>
          <w:rFonts w:ascii="Times New Roman" w:hAnsi="Times New Roman" w:cs="Times New Roman"/>
          <w:sz w:val="24"/>
          <w:szCs w:val="24"/>
        </w:rPr>
        <w:t xml:space="preserve">quanto ao </w:t>
      </w:r>
      <w:r w:rsidR="00163232">
        <w:rPr>
          <w:rFonts w:ascii="Times New Roman" w:hAnsi="Times New Roman" w:cs="Times New Roman"/>
          <w:sz w:val="24"/>
          <w:szCs w:val="24"/>
        </w:rPr>
        <w:t>sempre divergente tema do regime de bens. Infelizmente, duas propostas a respeito da comunicação de verbas</w:t>
      </w:r>
      <w:r w:rsidR="00706E5E">
        <w:rPr>
          <w:rFonts w:ascii="Times New Roman" w:hAnsi="Times New Roman" w:cs="Times New Roman"/>
          <w:sz w:val="24"/>
          <w:szCs w:val="24"/>
        </w:rPr>
        <w:t>,</w:t>
      </w:r>
      <w:r w:rsidR="00163232">
        <w:rPr>
          <w:rFonts w:ascii="Times New Roman" w:hAnsi="Times New Roman" w:cs="Times New Roman"/>
          <w:sz w:val="24"/>
          <w:szCs w:val="24"/>
        </w:rPr>
        <w:t xml:space="preserve"> como FGTS e previdência privada</w:t>
      </w:r>
      <w:r w:rsidR="00706E5E">
        <w:rPr>
          <w:rFonts w:ascii="Times New Roman" w:hAnsi="Times New Roman" w:cs="Times New Roman"/>
          <w:sz w:val="24"/>
          <w:szCs w:val="24"/>
        </w:rPr>
        <w:t>,</w:t>
      </w:r>
      <w:r w:rsidR="00163232">
        <w:rPr>
          <w:rFonts w:ascii="Times New Roman" w:hAnsi="Times New Roman" w:cs="Times New Roman"/>
          <w:sz w:val="24"/>
          <w:szCs w:val="24"/>
        </w:rPr>
        <w:t xml:space="preserve"> foram rejeitadas na plenária da </w:t>
      </w:r>
      <w:r w:rsidR="00163232" w:rsidRPr="002719FB">
        <w:rPr>
          <w:rFonts w:ascii="Times New Roman" w:hAnsi="Times New Roman" w:cs="Times New Roman"/>
          <w:i/>
          <w:sz w:val="24"/>
          <w:szCs w:val="24"/>
        </w:rPr>
        <w:t>IX Jornada</w:t>
      </w:r>
      <w:r w:rsidR="00163232">
        <w:rPr>
          <w:rFonts w:ascii="Times New Roman" w:hAnsi="Times New Roman" w:cs="Times New Roman"/>
          <w:sz w:val="24"/>
          <w:szCs w:val="24"/>
        </w:rPr>
        <w:t>, no meu entender sem razão, pois traziam o entendimento majoritário da doutrina e da jurisprudência</w:t>
      </w:r>
      <w:r w:rsidR="001632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3034E6" w14:textId="7B27E67B" w:rsidR="00AB1A22" w:rsidRPr="002F4282" w:rsidRDefault="00AB1A22" w:rsidP="00AB1A22">
      <w:pPr>
        <w:spacing w:before="120" w:after="120"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Conforme</w:t>
      </w:r>
      <w:r w:rsidR="00163232">
        <w:rPr>
          <w:rFonts w:ascii="Times New Roman" w:hAnsi="Times New Roman" w:cs="Times New Roman"/>
          <w:sz w:val="24"/>
          <w:szCs w:val="24"/>
        </w:rPr>
        <w:t xml:space="preserve"> o Enunciado n. 675, "a</w:t>
      </w:r>
      <w:r w:rsidR="002F4282" w:rsidRPr="002F4282">
        <w:rPr>
          <w:rFonts w:ascii="Times New Roman" w:hAnsi="Times New Roman" w:cs="Times New Roman"/>
          <w:sz w:val="24"/>
          <w:szCs w:val="24"/>
        </w:rPr>
        <w:t>s despesas com doula e consultora de amamentação podem ser</w:t>
      </w:r>
      <w:r w:rsidR="00163232">
        <w:rPr>
          <w:rFonts w:ascii="Times New Roman" w:hAnsi="Times New Roman" w:cs="Times New Roman"/>
          <w:sz w:val="24"/>
          <w:szCs w:val="24"/>
        </w:rPr>
        <w:t xml:space="preserve"> </w:t>
      </w:r>
      <w:r w:rsidR="002F4282" w:rsidRPr="002F4282">
        <w:rPr>
          <w:rFonts w:ascii="Times New Roman" w:hAnsi="Times New Roman" w:cs="Times New Roman"/>
          <w:sz w:val="24"/>
          <w:szCs w:val="24"/>
        </w:rPr>
        <w:t>objeto de alimentos gravídicos, observado o trinômio da necessidade, possibilidade e</w:t>
      </w:r>
      <w:r w:rsidR="00163232">
        <w:rPr>
          <w:rFonts w:ascii="Times New Roman" w:hAnsi="Times New Roman" w:cs="Times New Roman"/>
          <w:sz w:val="24"/>
          <w:szCs w:val="24"/>
        </w:rPr>
        <w:t xml:space="preserve"> </w:t>
      </w:r>
      <w:r w:rsidR="002F4282" w:rsidRPr="002F4282">
        <w:rPr>
          <w:rFonts w:ascii="Times New Roman" w:hAnsi="Times New Roman" w:cs="Times New Roman"/>
          <w:sz w:val="24"/>
          <w:szCs w:val="24"/>
        </w:rPr>
        <w:t>proporcionalidade para sua fixação</w:t>
      </w:r>
      <w:r w:rsidR="00163232">
        <w:rPr>
          <w:rFonts w:ascii="Times New Roman" w:hAnsi="Times New Roman" w:cs="Times New Roman"/>
          <w:sz w:val="24"/>
          <w:szCs w:val="24"/>
        </w:rPr>
        <w:t>"</w:t>
      </w:r>
      <w:r w:rsidR="002F4282" w:rsidRPr="002F4282">
        <w:rPr>
          <w:rFonts w:ascii="Times New Roman" w:hAnsi="Times New Roman" w:cs="Times New Roman"/>
          <w:sz w:val="24"/>
          <w:szCs w:val="24"/>
        </w:rPr>
        <w:t>.</w:t>
      </w:r>
      <w:r w:rsidR="00163232">
        <w:rPr>
          <w:rFonts w:ascii="Times New Roman" w:hAnsi="Times New Roman" w:cs="Times New Roman"/>
          <w:sz w:val="24"/>
          <w:szCs w:val="24"/>
        </w:rPr>
        <w:t xml:space="preserve"> A doula é </w:t>
      </w:r>
      <w:r w:rsidR="001E4999">
        <w:rPr>
          <w:rFonts w:ascii="Times New Roman" w:hAnsi="Times New Roman" w:cs="Times New Roman"/>
          <w:sz w:val="24"/>
          <w:szCs w:val="24"/>
        </w:rPr>
        <w:t xml:space="preserve">uma </w:t>
      </w:r>
      <w:r w:rsidR="00163232" w:rsidRPr="00163232">
        <w:rPr>
          <w:rFonts w:ascii="Times New Roman" w:hAnsi="Times New Roman" w:cs="Times New Roman"/>
          <w:sz w:val="24"/>
          <w:szCs w:val="24"/>
        </w:rPr>
        <w:t xml:space="preserve">profissional </w:t>
      </w:r>
      <w:r w:rsidR="00163232">
        <w:rPr>
          <w:rFonts w:ascii="Times New Roman" w:hAnsi="Times New Roman" w:cs="Times New Roman"/>
          <w:sz w:val="24"/>
          <w:szCs w:val="24"/>
        </w:rPr>
        <w:t>que acompanha a</w:t>
      </w:r>
      <w:r w:rsidR="00163232" w:rsidRPr="00163232">
        <w:rPr>
          <w:rFonts w:ascii="Times New Roman" w:hAnsi="Times New Roman" w:cs="Times New Roman"/>
          <w:sz w:val="24"/>
          <w:szCs w:val="24"/>
        </w:rPr>
        <w:t xml:space="preserve"> gestante dura</w:t>
      </w:r>
      <w:r w:rsidR="00163232">
        <w:rPr>
          <w:rFonts w:ascii="Times New Roman" w:hAnsi="Times New Roman" w:cs="Times New Roman"/>
          <w:sz w:val="24"/>
          <w:szCs w:val="24"/>
        </w:rPr>
        <w:t xml:space="preserve">nte todo o período de gravidez, o </w:t>
      </w:r>
      <w:r w:rsidR="00163232" w:rsidRPr="00163232">
        <w:rPr>
          <w:rFonts w:ascii="Times New Roman" w:hAnsi="Times New Roman" w:cs="Times New Roman"/>
          <w:sz w:val="24"/>
          <w:szCs w:val="24"/>
        </w:rPr>
        <w:t xml:space="preserve">parto e </w:t>
      </w:r>
      <w:r w:rsidR="00163232">
        <w:rPr>
          <w:rFonts w:ascii="Times New Roman" w:hAnsi="Times New Roman" w:cs="Times New Roman"/>
          <w:sz w:val="24"/>
          <w:szCs w:val="24"/>
        </w:rPr>
        <w:t xml:space="preserve">o </w:t>
      </w:r>
      <w:r w:rsidR="00163232" w:rsidRPr="00163232">
        <w:rPr>
          <w:rFonts w:ascii="Times New Roman" w:hAnsi="Times New Roman" w:cs="Times New Roman"/>
          <w:sz w:val="24"/>
          <w:szCs w:val="24"/>
        </w:rPr>
        <w:t xml:space="preserve">pós-parto, </w:t>
      </w:r>
      <w:r w:rsidR="00163232">
        <w:rPr>
          <w:rFonts w:ascii="Times New Roman" w:hAnsi="Times New Roman" w:cs="Times New Roman"/>
          <w:sz w:val="24"/>
          <w:szCs w:val="24"/>
        </w:rPr>
        <w:t xml:space="preserve">oferecendo </w:t>
      </w:r>
      <w:r w:rsidR="00163232" w:rsidRPr="00163232">
        <w:rPr>
          <w:rFonts w:ascii="Times New Roman" w:hAnsi="Times New Roman" w:cs="Times New Roman"/>
          <w:sz w:val="24"/>
          <w:szCs w:val="24"/>
        </w:rPr>
        <w:t>suporte emocional nesses momentos.</w:t>
      </w:r>
      <w:r w:rsidR="001632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mesma linha, há a atuação da consultora de amamentação. As justificativas da proposta estão baseadas em recomendações da </w:t>
      </w:r>
      <w:r w:rsidR="002F4282" w:rsidRPr="002F4282">
        <w:rPr>
          <w:rFonts w:ascii="Times New Roman" w:hAnsi="Times New Roman" w:cs="Times New Roman"/>
          <w:sz w:val="24"/>
          <w:szCs w:val="24"/>
        </w:rPr>
        <w:t>Organização Mundial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282" w:rsidRPr="002F4282">
        <w:rPr>
          <w:rFonts w:ascii="Times New Roman" w:hAnsi="Times New Roman" w:cs="Times New Roman"/>
          <w:sz w:val="24"/>
          <w:szCs w:val="24"/>
        </w:rPr>
        <w:t xml:space="preserve">da Saúde </w:t>
      </w:r>
      <w:r>
        <w:rPr>
          <w:rFonts w:ascii="Times New Roman" w:hAnsi="Times New Roman" w:cs="Times New Roman"/>
          <w:sz w:val="24"/>
          <w:szCs w:val="24"/>
        </w:rPr>
        <w:t xml:space="preserve">e do Ministério da Saúde, para a efetivação do que se denomina </w:t>
      </w:r>
      <w:r w:rsidRPr="00706E5E">
        <w:rPr>
          <w:rFonts w:ascii="Times New Roman" w:hAnsi="Times New Roman" w:cs="Times New Roman"/>
          <w:i/>
          <w:sz w:val="24"/>
          <w:szCs w:val="24"/>
        </w:rPr>
        <w:t>parto humanizado</w:t>
      </w:r>
      <w:r>
        <w:rPr>
          <w:rFonts w:ascii="Times New Roman" w:hAnsi="Times New Roman" w:cs="Times New Roman"/>
          <w:sz w:val="24"/>
          <w:szCs w:val="24"/>
        </w:rPr>
        <w:t xml:space="preserve">, havendo nesse ponto razões para que as </w:t>
      </w:r>
      <w:r w:rsidR="002F4282" w:rsidRPr="002F4282">
        <w:rPr>
          <w:rFonts w:ascii="Times New Roman" w:hAnsi="Times New Roman" w:cs="Times New Roman"/>
          <w:sz w:val="24"/>
          <w:szCs w:val="24"/>
        </w:rPr>
        <w:t xml:space="preserve">despesas com sua contratação </w:t>
      </w:r>
      <w:r>
        <w:rPr>
          <w:rFonts w:ascii="Times New Roman" w:hAnsi="Times New Roman" w:cs="Times New Roman"/>
          <w:sz w:val="24"/>
          <w:szCs w:val="24"/>
        </w:rPr>
        <w:t xml:space="preserve">recaiam sobre os </w:t>
      </w:r>
      <w:r w:rsidRPr="00AB1A22">
        <w:rPr>
          <w:rFonts w:ascii="Times New Roman" w:hAnsi="Times New Roman" w:cs="Times New Roman"/>
          <w:i/>
          <w:sz w:val="24"/>
          <w:szCs w:val="24"/>
        </w:rPr>
        <w:t>alimentos gravídicos</w:t>
      </w:r>
      <w:r>
        <w:rPr>
          <w:rFonts w:ascii="Times New Roman" w:hAnsi="Times New Roman" w:cs="Times New Roman"/>
          <w:sz w:val="24"/>
          <w:szCs w:val="24"/>
        </w:rPr>
        <w:t>, tratados pela Lei n. 11.804/2009. Apesar da denominação da última norma, o Superior Tribunal de Justiça já entendeu que esses alimentos visam ao essencial não só para a gestante como também ao nascituro: "o</w:t>
      </w:r>
      <w:r w:rsidRPr="00AB1A22">
        <w:rPr>
          <w:rFonts w:ascii="Times New Roman" w:hAnsi="Times New Roman" w:cs="Times New Roman"/>
          <w:sz w:val="24"/>
          <w:szCs w:val="24"/>
        </w:rPr>
        <w:t>s alimentos gravídicos, previstos na Lei n. 11.804/2008, visam a auxiliar a mulher gestante nas despesas decorrentes da gravidez, da concepção ao parto, sendo, pois, a gestante a beneficiária direta dos alimentos gravídicos, ficando, por via de consequência, resguardados os direitos do próprio nascituro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Pr="00AB1A2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STJ, </w:t>
      </w:r>
      <w:r w:rsidRPr="00AB1A22">
        <w:rPr>
          <w:rFonts w:ascii="Times New Roman" w:hAnsi="Times New Roman" w:cs="Times New Roman"/>
          <w:sz w:val="24"/>
          <w:szCs w:val="24"/>
        </w:rPr>
        <w:t xml:space="preserve">REsp n. 1.629.423/SP, relator Ministro Marco Aurélio Bellizze, Terceira Turma, julgado em </w:t>
      </w:r>
      <w:r w:rsidR="001E4999">
        <w:rPr>
          <w:rFonts w:ascii="Times New Roman" w:hAnsi="Times New Roman" w:cs="Times New Roman"/>
          <w:sz w:val="24"/>
          <w:szCs w:val="24"/>
        </w:rPr>
        <w:t>0</w:t>
      </w:r>
      <w:r w:rsidRPr="00AB1A22">
        <w:rPr>
          <w:rFonts w:ascii="Times New Roman" w:hAnsi="Times New Roman" w:cs="Times New Roman"/>
          <w:sz w:val="24"/>
          <w:szCs w:val="24"/>
        </w:rPr>
        <w:t>6/</w:t>
      </w:r>
      <w:r w:rsidR="001E4999">
        <w:rPr>
          <w:rFonts w:ascii="Times New Roman" w:hAnsi="Times New Roman" w:cs="Times New Roman"/>
          <w:sz w:val="24"/>
          <w:szCs w:val="24"/>
        </w:rPr>
        <w:t>0</w:t>
      </w:r>
      <w:r w:rsidRPr="00AB1A22">
        <w:rPr>
          <w:rFonts w:ascii="Times New Roman" w:hAnsi="Times New Roman" w:cs="Times New Roman"/>
          <w:sz w:val="24"/>
          <w:szCs w:val="24"/>
        </w:rPr>
        <w:t>6/2017, DJe de 22/</w:t>
      </w:r>
      <w:r w:rsidR="001E4999">
        <w:rPr>
          <w:rFonts w:ascii="Times New Roman" w:hAnsi="Times New Roman" w:cs="Times New Roman"/>
          <w:sz w:val="24"/>
          <w:szCs w:val="24"/>
        </w:rPr>
        <w:t>0</w:t>
      </w:r>
      <w:r w:rsidRPr="00AB1A22">
        <w:rPr>
          <w:rFonts w:ascii="Times New Roman" w:hAnsi="Times New Roman" w:cs="Times New Roman"/>
          <w:sz w:val="24"/>
          <w:szCs w:val="24"/>
        </w:rPr>
        <w:t>6/2017)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6A3180" w14:textId="60F549E7" w:rsidR="002719FB" w:rsidRDefault="00AB1A22" w:rsidP="002F4282">
      <w:pPr>
        <w:spacing w:before="120" w:after="120"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última ementa </w:t>
      </w:r>
      <w:r w:rsidR="001E4999">
        <w:rPr>
          <w:rFonts w:ascii="Times New Roman" w:hAnsi="Times New Roman" w:cs="Times New Roman"/>
          <w:sz w:val="24"/>
          <w:szCs w:val="24"/>
        </w:rPr>
        <w:t>aprovada</w:t>
      </w:r>
      <w:r>
        <w:rPr>
          <w:rFonts w:ascii="Times New Roman" w:hAnsi="Times New Roman" w:cs="Times New Roman"/>
          <w:sz w:val="24"/>
          <w:szCs w:val="24"/>
        </w:rPr>
        <w:t xml:space="preserve">, a única sobre Direito das Sucessões, o Enunciado n. 676 interpreta o conteúdo </w:t>
      </w:r>
      <w:r w:rsidR="0001213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 art. 1.836,  §</w:t>
      </w:r>
      <w:r w:rsidR="001E49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2º, do Código Civil. Nos termos do seu </w:t>
      </w:r>
      <w:r w:rsidRPr="00AB1A22">
        <w:rPr>
          <w:rFonts w:ascii="Times New Roman" w:hAnsi="Times New Roman" w:cs="Times New Roman"/>
          <w:i/>
          <w:sz w:val="24"/>
          <w:szCs w:val="24"/>
        </w:rPr>
        <w:t>caput</w:t>
      </w:r>
      <w:r>
        <w:rPr>
          <w:rFonts w:ascii="Times New Roman" w:hAnsi="Times New Roman" w:cs="Times New Roman"/>
          <w:sz w:val="24"/>
          <w:szCs w:val="24"/>
        </w:rPr>
        <w:t>, "n</w:t>
      </w:r>
      <w:r w:rsidRPr="00AB1A22">
        <w:rPr>
          <w:rFonts w:ascii="Times New Roman" w:hAnsi="Times New Roman" w:cs="Times New Roman"/>
          <w:sz w:val="24"/>
          <w:szCs w:val="24"/>
        </w:rPr>
        <w:t>a falta de descendentes, são chamados à sucessão os ascendentes, em concorrência com o cônjuge sobrevivente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AB1A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E, consoante o seu §</w:t>
      </w:r>
      <w:r w:rsidR="001E49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2º, "h</w:t>
      </w:r>
      <w:r w:rsidRPr="00AB1A22">
        <w:rPr>
          <w:rFonts w:ascii="Times New Roman" w:hAnsi="Times New Roman" w:cs="Times New Roman"/>
          <w:sz w:val="24"/>
          <w:szCs w:val="24"/>
        </w:rPr>
        <w:t>avendo igualdade em grau e diversidade em linha, os ascendentes da linha paterna herdam a metade, cabendo a outra aos da linha materna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AB1A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 atual redação do comando é insuficiente para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resolver as situações sucessórias relativas a casamentos ou uniões </w:t>
      </w:r>
      <w:r w:rsidR="001E4999">
        <w:rPr>
          <w:rFonts w:ascii="Times New Roman" w:hAnsi="Times New Roman" w:cs="Times New Roman"/>
          <w:sz w:val="24"/>
          <w:szCs w:val="24"/>
        </w:rPr>
        <w:t xml:space="preserve">estáveis </w:t>
      </w:r>
      <w:r>
        <w:rPr>
          <w:rFonts w:ascii="Times New Roman" w:hAnsi="Times New Roman" w:cs="Times New Roman"/>
          <w:sz w:val="24"/>
          <w:szCs w:val="24"/>
        </w:rPr>
        <w:t xml:space="preserve">homoafetivas </w:t>
      </w:r>
      <w:r w:rsidR="002719F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à multiparentalidade, reconhecidas em julgamentos do Supremo Tribunal Federal </w:t>
      </w:r>
      <w:r w:rsidR="00706E5E">
        <w:rPr>
          <w:rFonts w:ascii="Times New Roman" w:hAnsi="Times New Roman" w:cs="Times New Roman"/>
          <w:sz w:val="24"/>
          <w:szCs w:val="24"/>
        </w:rPr>
        <w:t xml:space="preserve">e consolidadas na realidade do Direito de Família Brasileiro </w:t>
      </w:r>
      <w:r>
        <w:rPr>
          <w:rFonts w:ascii="Times New Roman" w:hAnsi="Times New Roman" w:cs="Times New Roman"/>
          <w:sz w:val="24"/>
          <w:szCs w:val="24"/>
        </w:rPr>
        <w:t>(Informativos n. 625 e 840 da Corte, respectivamente).</w:t>
      </w:r>
    </w:p>
    <w:p w14:paraId="5CF9BC16" w14:textId="5F1F5FE1" w:rsidR="002F4282" w:rsidRPr="002F4282" w:rsidRDefault="00AB1A22" w:rsidP="002F4282">
      <w:pPr>
        <w:spacing w:before="120" w:after="120"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Isso porque pode haver mais de uma linha paterna e mais de uma linha materna em </w:t>
      </w:r>
      <w:r w:rsidR="00706E5E">
        <w:rPr>
          <w:rFonts w:ascii="Times New Roman" w:hAnsi="Times New Roman" w:cs="Times New Roman"/>
          <w:sz w:val="24"/>
          <w:szCs w:val="24"/>
        </w:rPr>
        <w:t xml:space="preserve">hipóteses de sucessão. </w:t>
      </w:r>
      <w:r>
        <w:rPr>
          <w:rFonts w:ascii="Times New Roman" w:hAnsi="Times New Roman" w:cs="Times New Roman"/>
          <w:sz w:val="24"/>
          <w:szCs w:val="24"/>
        </w:rPr>
        <w:t xml:space="preserve">Para resolver o problema, o novo Enunciado n. 676 estabelece que "a </w:t>
      </w:r>
      <w:r w:rsidR="002F4282" w:rsidRPr="002F4282">
        <w:rPr>
          <w:rFonts w:ascii="Times New Roman" w:hAnsi="Times New Roman" w:cs="Times New Roman"/>
          <w:sz w:val="24"/>
          <w:szCs w:val="24"/>
        </w:rPr>
        <w:t xml:space="preserve">expressão </w:t>
      </w:r>
      <w:r w:rsidR="001E4999">
        <w:rPr>
          <w:rFonts w:ascii="Times New Roman" w:hAnsi="Times New Roman" w:cs="Times New Roman"/>
          <w:sz w:val="24"/>
          <w:szCs w:val="24"/>
        </w:rPr>
        <w:t>‘</w:t>
      </w:r>
      <w:r w:rsidR="002F4282" w:rsidRPr="002F4282">
        <w:rPr>
          <w:rFonts w:ascii="Times New Roman" w:hAnsi="Times New Roman" w:cs="Times New Roman"/>
          <w:sz w:val="24"/>
          <w:szCs w:val="24"/>
        </w:rPr>
        <w:t>diversidade em linha</w:t>
      </w:r>
      <w:r w:rsidR="001E4999">
        <w:rPr>
          <w:rFonts w:ascii="Times New Roman" w:hAnsi="Times New Roman" w:cs="Times New Roman"/>
          <w:sz w:val="24"/>
          <w:szCs w:val="24"/>
        </w:rPr>
        <w:t>’</w:t>
      </w:r>
      <w:r w:rsidR="002F4282" w:rsidRPr="002F4282">
        <w:rPr>
          <w:rFonts w:ascii="Times New Roman" w:hAnsi="Times New Roman" w:cs="Times New Roman"/>
          <w:sz w:val="24"/>
          <w:szCs w:val="24"/>
        </w:rPr>
        <w:t xml:space="preserve">, constante </w:t>
      </w:r>
      <w:r w:rsidR="001E4999">
        <w:rPr>
          <w:rFonts w:ascii="Times New Roman" w:hAnsi="Times New Roman" w:cs="Times New Roman"/>
          <w:sz w:val="24"/>
          <w:szCs w:val="24"/>
        </w:rPr>
        <w:t>n</w:t>
      </w:r>
      <w:r w:rsidR="001E4999" w:rsidRPr="002F4282">
        <w:rPr>
          <w:rFonts w:ascii="Times New Roman" w:hAnsi="Times New Roman" w:cs="Times New Roman"/>
          <w:sz w:val="24"/>
          <w:szCs w:val="24"/>
        </w:rPr>
        <w:t xml:space="preserve">o </w:t>
      </w:r>
      <w:r w:rsidR="002F4282" w:rsidRPr="002F4282">
        <w:rPr>
          <w:rFonts w:ascii="Times New Roman" w:hAnsi="Times New Roman" w:cs="Times New Roman"/>
          <w:sz w:val="24"/>
          <w:szCs w:val="24"/>
        </w:rPr>
        <w:t>§</w:t>
      </w:r>
      <w:r w:rsidR="001E4999">
        <w:rPr>
          <w:rFonts w:ascii="Times New Roman" w:hAnsi="Times New Roman" w:cs="Times New Roman"/>
          <w:sz w:val="24"/>
          <w:szCs w:val="24"/>
        </w:rPr>
        <w:t xml:space="preserve"> </w:t>
      </w:r>
      <w:r w:rsidR="002F4282" w:rsidRPr="002F4282">
        <w:rPr>
          <w:rFonts w:ascii="Times New Roman" w:hAnsi="Times New Roman" w:cs="Times New Roman"/>
          <w:sz w:val="24"/>
          <w:szCs w:val="24"/>
        </w:rPr>
        <w:t>2º do art. 1.836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282" w:rsidRPr="002F4282">
        <w:rPr>
          <w:rFonts w:ascii="Times New Roman" w:hAnsi="Times New Roman" w:cs="Times New Roman"/>
          <w:sz w:val="24"/>
          <w:szCs w:val="24"/>
        </w:rPr>
        <w:t>do Código Civil, não deve mais ser restrita à linha paterna e à linha materna, devendo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282" w:rsidRPr="002F4282">
        <w:rPr>
          <w:rFonts w:ascii="Times New Roman" w:hAnsi="Times New Roman" w:cs="Times New Roman"/>
          <w:sz w:val="24"/>
          <w:szCs w:val="24"/>
        </w:rPr>
        <w:t xml:space="preserve">compreendidas como </w:t>
      </w:r>
      <w:r w:rsidR="001E4999">
        <w:rPr>
          <w:rFonts w:ascii="Times New Roman" w:hAnsi="Times New Roman" w:cs="Times New Roman"/>
          <w:sz w:val="24"/>
          <w:szCs w:val="24"/>
        </w:rPr>
        <w:t>‘</w:t>
      </w:r>
      <w:r w:rsidR="002F4282" w:rsidRPr="002F4282">
        <w:rPr>
          <w:rFonts w:ascii="Times New Roman" w:hAnsi="Times New Roman" w:cs="Times New Roman"/>
          <w:sz w:val="24"/>
          <w:szCs w:val="24"/>
        </w:rPr>
        <w:t>linhas ascendentes</w:t>
      </w:r>
      <w:r w:rsidR="001E4999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"</w:t>
      </w:r>
      <w:r w:rsidR="002F4282" w:rsidRPr="002F42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Essa é, na minha opinião, </w:t>
      </w:r>
      <w:r w:rsidR="00823AAF">
        <w:rPr>
          <w:rFonts w:ascii="Times New Roman" w:hAnsi="Times New Roman" w:cs="Times New Roman"/>
          <w:sz w:val="24"/>
          <w:szCs w:val="24"/>
        </w:rPr>
        <w:t xml:space="preserve">uma das </w:t>
      </w:r>
      <w:r>
        <w:rPr>
          <w:rFonts w:ascii="Times New Roman" w:hAnsi="Times New Roman" w:cs="Times New Roman"/>
          <w:sz w:val="24"/>
          <w:szCs w:val="24"/>
        </w:rPr>
        <w:t>proposta</w:t>
      </w:r>
      <w:r w:rsidR="00823AA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mais importante</w:t>
      </w:r>
      <w:r w:rsidR="00823AA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do ponto de vista prático, de todas as que foram aprovadas na </w:t>
      </w:r>
      <w:r w:rsidRPr="00AB1A22">
        <w:rPr>
          <w:rFonts w:ascii="Times New Roman" w:hAnsi="Times New Roman" w:cs="Times New Roman"/>
          <w:i/>
          <w:sz w:val="24"/>
          <w:szCs w:val="24"/>
        </w:rPr>
        <w:t>IX Jornada de Direito Civil</w:t>
      </w:r>
      <w:r w:rsidR="00823A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3AAF" w:rsidRPr="00823AAF">
        <w:rPr>
          <w:rFonts w:ascii="Times New Roman" w:hAnsi="Times New Roman" w:cs="Times New Roman"/>
          <w:iCs/>
          <w:sz w:val="24"/>
          <w:szCs w:val="24"/>
        </w:rPr>
        <w:t>e em todas as comissões temáticas</w:t>
      </w:r>
      <w:r w:rsidR="00823AAF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B187DB" w14:textId="55B62BE3" w:rsidR="00960619" w:rsidRDefault="00AB1A22" w:rsidP="0094683E">
      <w:pPr>
        <w:spacing w:before="120" w:after="120"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bem observou Anderson Schreiber, essa foi a </w:t>
      </w:r>
      <w:r w:rsidRPr="002719FB">
        <w:rPr>
          <w:rFonts w:ascii="Times New Roman" w:hAnsi="Times New Roman" w:cs="Times New Roman"/>
          <w:i/>
          <w:sz w:val="24"/>
          <w:szCs w:val="24"/>
        </w:rPr>
        <w:t>Jornada</w:t>
      </w:r>
      <w:r>
        <w:rPr>
          <w:rFonts w:ascii="Times New Roman" w:hAnsi="Times New Roman" w:cs="Times New Roman"/>
          <w:sz w:val="24"/>
          <w:szCs w:val="24"/>
        </w:rPr>
        <w:t xml:space="preserve"> em que prevaleceram teses relativas aos direitos das mulheres, sobretudo em temas de Direito de Família. </w:t>
      </w:r>
      <w:r w:rsidR="00012135">
        <w:rPr>
          <w:rFonts w:ascii="Times New Roman" w:hAnsi="Times New Roman" w:cs="Times New Roman"/>
          <w:sz w:val="24"/>
          <w:szCs w:val="24"/>
        </w:rPr>
        <w:t xml:space="preserve">Conforme </w:t>
      </w:r>
      <w:r w:rsidR="00960619">
        <w:rPr>
          <w:rFonts w:ascii="Times New Roman" w:hAnsi="Times New Roman" w:cs="Times New Roman"/>
          <w:sz w:val="24"/>
          <w:szCs w:val="24"/>
        </w:rPr>
        <w:t>escreveu: "e</w:t>
      </w:r>
      <w:r w:rsidR="00960619" w:rsidRPr="00960619">
        <w:rPr>
          <w:rFonts w:ascii="Times New Roman" w:hAnsi="Times New Roman" w:cs="Times New Roman"/>
          <w:sz w:val="24"/>
          <w:szCs w:val="24"/>
        </w:rPr>
        <w:t>ntre os muitos aspectos desta Jornada, um deles parece digno de especial atenção: a aprovação de numerosos enunciados voltados à tutela dos direitos fundamentais das mulheres</w:t>
      </w:r>
      <w:r w:rsidR="00960619">
        <w:rPr>
          <w:rFonts w:ascii="Times New Roman" w:hAnsi="Times New Roman" w:cs="Times New Roman"/>
          <w:sz w:val="24"/>
          <w:szCs w:val="24"/>
        </w:rPr>
        <w:t>" (SCHREIBER, Anderson</w:t>
      </w:r>
      <w:r w:rsidR="00960619" w:rsidRPr="00960619">
        <w:rPr>
          <w:rFonts w:ascii="Times New Roman" w:hAnsi="Times New Roman" w:cs="Times New Roman"/>
          <w:i/>
          <w:sz w:val="24"/>
          <w:szCs w:val="24"/>
        </w:rPr>
        <w:t>. A Jornada dos Direito</w:t>
      </w:r>
      <w:r w:rsidR="001B4896">
        <w:rPr>
          <w:rFonts w:ascii="Times New Roman" w:hAnsi="Times New Roman" w:cs="Times New Roman"/>
          <w:i/>
          <w:sz w:val="24"/>
          <w:szCs w:val="24"/>
        </w:rPr>
        <w:t>s</w:t>
      </w:r>
      <w:r w:rsidR="00960619" w:rsidRPr="00960619">
        <w:rPr>
          <w:rFonts w:ascii="Times New Roman" w:hAnsi="Times New Roman" w:cs="Times New Roman"/>
          <w:i/>
          <w:sz w:val="24"/>
          <w:szCs w:val="24"/>
        </w:rPr>
        <w:t xml:space="preserve"> da Mulher.</w:t>
      </w:r>
      <w:r w:rsidR="00960619">
        <w:rPr>
          <w:rFonts w:ascii="Times New Roman" w:hAnsi="Times New Roman" w:cs="Times New Roman"/>
          <w:sz w:val="24"/>
          <w:szCs w:val="24"/>
        </w:rPr>
        <w:t xml:space="preserve"> Disponível em</w:t>
      </w:r>
      <w:r w:rsidR="001E4999">
        <w:rPr>
          <w:rFonts w:ascii="Times New Roman" w:hAnsi="Times New Roman" w:cs="Times New Roman"/>
          <w:sz w:val="24"/>
          <w:szCs w:val="24"/>
        </w:rPr>
        <w:t>:</w:t>
      </w:r>
      <w:r w:rsidR="00960619">
        <w:rPr>
          <w:rFonts w:ascii="Times New Roman" w:hAnsi="Times New Roman" w:cs="Times New Roman"/>
          <w:sz w:val="24"/>
          <w:szCs w:val="24"/>
        </w:rPr>
        <w:t xml:space="preserve"> </w:t>
      </w:r>
      <w:r w:rsidR="00960619" w:rsidRPr="00960619">
        <w:rPr>
          <w:rFonts w:ascii="Times New Roman" w:hAnsi="Times New Roman" w:cs="Times New Roman"/>
          <w:sz w:val="24"/>
          <w:szCs w:val="24"/>
        </w:rPr>
        <w:t>https://blogs.oglobo.globo.com/fumus-boni-iuris/post/anderson-schreiber-jornada-dos-direitos-da-mulher.html</w:t>
      </w:r>
      <w:r w:rsidR="00960619">
        <w:rPr>
          <w:rFonts w:ascii="Times New Roman" w:hAnsi="Times New Roman" w:cs="Times New Roman"/>
          <w:sz w:val="24"/>
          <w:szCs w:val="24"/>
        </w:rPr>
        <w:t>. Acesso em</w:t>
      </w:r>
      <w:r w:rsidR="001E4999">
        <w:rPr>
          <w:rFonts w:ascii="Times New Roman" w:hAnsi="Times New Roman" w:cs="Times New Roman"/>
          <w:sz w:val="24"/>
          <w:szCs w:val="24"/>
        </w:rPr>
        <w:t>:</w:t>
      </w:r>
      <w:r w:rsidR="00960619">
        <w:rPr>
          <w:rFonts w:ascii="Times New Roman" w:hAnsi="Times New Roman" w:cs="Times New Roman"/>
          <w:sz w:val="24"/>
          <w:szCs w:val="24"/>
        </w:rPr>
        <w:t xml:space="preserve"> 25 jun</w:t>
      </w:r>
      <w:r w:rsidR="001E4999">
        <w:rPr>
          <w:rFonts w:ascii="Times New Roman" w:hAnsi="Times New Roman" w:cs="Times New Roman"/>
          <w:sz w:val="24"/>
          <w:szCs w:val="24"/>
        </w:rPr>
        <w:t>.</w:t>
      </w:r>
      <w:r w:rsidR="00960619">
        <w:rPr>
          <w:rFonts w:ascii="Times New Roman" w:hAnsi="Times New Roman" w:cs="Times New Roman"/>
          <w:sz w:val="24"/>
          <w:szCs w:val="24"/>
        </w:rPr>
        <w:t xml:space="preserve"> 2022). Participando desde a </w:t>
      </w:r>
      <w:r w:rsidR="00960619" w:rsidRPr="00960619">
        <w:rPr>
          <w:rFonts w:ascii="Times New Roman" w:hAnsi="Times New Roman" w:cs="Times New Roman"/>
          <w:i/>
          <w:sz w:val="24"/>
          <w:szCs w:val="24"/>
        </w:rPr>
        <w:t>III Jornada de Direito Civil</w:t>
      </w:r>
      <w:r w:rsidR="00960619">
        <w:rPr>
          <w:rFonts w:ascii="Times New Roman" w:hAnsi="Times New Roman" w:cs="Times New Roman"/>
          <w:sz w:val="24"/>
          <w:szCs w:val="24"/>
        </w:rPr>
        <w:t xml:space="preserve">, </w:t>
      </w:r>
      <w:r w:rsidR="00696B11">
        <w:rPr>
          <w:rFonts w:ascii="Times New Roman" w:hAnsi="Times New Roman" w:cs="Times New Roman"/>
          <w:sz w:val="24"/>
          <w:szCs w:val="24"/>
        </w:rPr>
        <w:t xml:space="preserve">em </w:t>
      </w:r>
      <w:r w:rsidR="00960619">
        <w:rPr>
          <w:rFonts w:ascii="Times New Roman" w:hAnsi="Times New Roman" w:cs="Times New Roman"/>
          <w:sz w:val="24"/>
          <w:szCs w:val="24"/>
        </w:rPr>
        <w:t xml:space="preserve">2004 </w:t>
      </w:r>
      <w:r w:rsidR="001E4999">
        <w:rPr>
          <w:rFonts w:ascii="Times New Roman" w:hAnsi="Times New Roman" w:cs="Times New Roman"/>
          <w:sz w:val="24"/>
          <w:szCs w:val="24"/>
        </w:rPr>
        <w:t xml:space="preserve">– </w:t>
      </w:r>
      <w:r w:rsidR="00960619">
        <w:rPr>
          <w:rFonts w:ascii="Times New Roman" w:hAnsi="Times New Roman" w:cs="Times New Roman"/>
          <w:sz w:val="24"/>
          <w:szCs w:val="24"/>
        </w:rPr>
        <w:t xml:space="preserve">e de um total de </w:t>
      </w:r>
      <w:r w:rsidR="00696B11">
        <w:rPr>
          <w:rFonts w:ascii="Times New Roman" w:hAnsi="Times New Roman" w:cs="Times New Roman"/>
          <w:sz w:val="24"/>
          <w:szCs w:val="24"/>
        </w:rPr>
        <w:t>quatorze</w:t>
      </w:r>
      <w:r w:rsidR="00706E5E">
        <w:rPr>
          <w:rFonts w:ascii="Times New Roman" w:hAnsi="Times New Roman" w:cs="Times New Roman"/>
          <w:sz w:val="24"/>
          <w:szCs w:val="24"/>
        </w:rPr>
        <w:t xml:space="preserve"> </w:t>
      </w:r>
      <w:r w:rsidR="00960619">
        <w:rPr>
          <w:rFonts w:ascii="Times New Roman" w:hAnsi="Times New Roman" w:cs="Times New Roman"/>
          <w:sz w:val="24"/>
          <w:szCs w:val="24"/>
        </w:rPr>
        <w:t xml:space="preserve">eventos como esse, incluindo as </w:t>
      </w:r>
      <w:r w:rsidR="00960619" w:rsidRPr="00960619">
        <w:rPr>
          <w:rFonts w:ascii="Times New Roman" w:hAnsi="Times New Roman" w:cs="Times New Roman"/>
          <w:i/>
          <w:sz w:val="24"/>
          <w:szCs w:val="24"/>
        </w:rPr>
        <w:t>Jornadas</w:t>
      </w:r>
      <w:r w:rsidR="00960619">
        <w:rPr>
          <w:rFonts w:ascii="Times New Roman" w:hAnsi="Times New Roman" w:cs="Times New Roman"/>
          <w:sz w:val="24"/>
          <w:szCs w:val="24"/>
        </w:rPr>
        <w:t xml:space="preserve"> </w:t>
      </w:r>
      <w:r w:rsidR="00960619" w:rsidRPr="00960619">
        <w:rPr>
          <w:rFonts w:ascii="Times New Roman" w:hAnsi="Times New Roman" w:cs="Times New Roman"/>
          <w:i/>
          <w:sz w:val="24"/>
          <w:szCs w:val="24"/>
        </w:rPr>
        <w:t>de Direito Processual Civil,</w:t>
      </w:r>
      <w:r w:rsidR="00960619">
        <w:rPr>
          <w:rFonts w:ascii="Times New Roman" w:hAnsi="Times New Roman" w:cs="Times New Roman"/>
          <w:sz w:val="24"/>
          <w:szCs w:val="24"/>
        </w:rPr>
        <w:t xml:space="preserve"> de </w:t>
      </w:r>
      <w:r w:rsidR="00960619" w:rsidRPr="00960619">
        <w:rPr>
          <w:rFonts w:ascii="Times New Roman" w:hAnsi="Times New Roman" w:cs="Times New Roman"/>
          <w:i/>
          <w:sz w:val="24"/>
          <w:szCs w:val="24"/>
        </w:rPr>
        <w:t xml:space="preserve">Direito Comercial </w:t>
      </w:r>
      <w:r w:rsidR="00960619">
        <w:rPr>
          <w:rFonts w:ascii="Times New Roman" w:hAnsi="Times New Roman" w:cs="Times New Roman"/>
          <w:sz w:val="24"/>
          <w:szCs w:val="24"/>
        </w:rPr>
        <w:t xml:space="preserve">e de </w:t>
      </w:r>
      <w:r w:rsidR="00960619" w:rsidRPr="00960619">
        <w:rPr>
          <w:rFonts w:ascii="Times New Roman" w:hAnsi="Times New Roman" w:cs="Times New Roman"/>
          <w:i/>
          <w:sz w:val="24"/>
          <w:szCs w:val="24"/>
        </w:rPr>
        <w:t>Solução Extrajudicial das Controvérsias</w:t>
      </w:r>
      <w:r w:rsidR="00960619">
        <w:rPr>
          <w:rFonts w:ascii="Times New Roman" w:hAnsi="Times New Roman" w:cs="Times New Roman"/>
          <w:sz w:val="24"/>
          <w:szCs w:val="24"/>
        </w:rPr>
        <w:t xml:space="preserve"> </w:t>
      </w:r>
      <w:r w:rsidR="001E4999">
        <w:rPr>
          <w:rFonts w:ascii="Times New Roman" w:hAnsi="Times New Roman" w:cs="Times New Roman"/>
          <w:sz w:val="24"/>
          <w:szCs w:val="24"/>
        </w:rPr>
        <w:t xml:space="preserve">–, </w:t>
      </w:r>
      <w:r w:rsidR="00960619">
        <w:rPr>
          <w:rFonts w:ascii="Times New Roman" w:hAnsi="Times New Roman" w:cs="Times New Roman"/>
          <w:sz w:val="24"/>
          <w:szCs w:val="24"/>
        </w:rPr>
        <w:t>tenho constatado que as</w:t>
      </w:r>
      <w:r w:rsidR="00960619" w:rsidRPr="00960619">
        <w:rPr>
          <w:rFonts w:ascii="Times New Roman" w:hAnsi="Times New Roman" w:cs="Times New Roman"/>
          <w:i/>
          <w:sz w:val="24"/>
          <w:szCs w:val="24"/>
        </w:rPr>
        <w:t xml:space="preserve"> Jornadas</w:t>
      </w:r>
      <w:r w:rsidR="00960619">
        <w:rPr>
          <w:rFonts w:ascii="Times New Roman" w:hAnsi="Times New Roman" w:cs="Times New Roman"/>
          <w:sz w:val="24"/>
          <w:szCs w:val="24"/>
        </w:rPr>
        <w:t xml:space="preserve"> trazem sempre para debate temas de relevo em cada momento de sua realização</w:t>
      </w:r>
      <w:r w:rsidR="00823AAF">
        <w:rPr>
          <w:rFonts w:ascii="Times New Roman" w:hAnsi="Times New Roman" w:cs="Times New Roman"/>
          <w:sz w:val="24"/>
          <w:szCs w:val="24"/>
        </w:rPr>
        <w:t>, o que confirma as palavras de Schreiber</w:t>
      </w:r>
      <w:r w:rsidR="00960619">
        <w:rPr>
          <w:rFonts w:ascii="Times New Roman" w:hAnsi="Times New Roman" w:cs="Times New Roman"/>
          <w:sz w:val="24"/>
          <w:szCs w:val="24"/>
        </w:rPr>
        <w:t>. Algumas das teses ganham força e são efetivamente aplicadas pela jurisprudência nacional</w:t>
      </w:r>
      <w:r w:rsidR="00706E5E">
        <w:rPr>
          <w:rFonts w:ascii="Times New Roman" w:hAnsi="Times New Roman" w:cs="Times New Roman"/>
          <w:sz w:val="24"/>
          <w:szCs w:val="24"/>
        </w:rPr>
        <w:t>. O</w:t>
      </w:r>
      <w:r w:rsidR="00960619">
        <w:rPr>
          <w:rFonts w:ascii="Times New Roman" w:hAnsi="Times New Roman" w:cs="Times New Roman"/>
          <w:sz w:val="24"/>
          <w:szCs w:val="24"/>
        </w:rPr>
        <w:t>utras não, pois o tempo e a práxis acabam fazendo essa separação e seleção</w:t>
      </w:r>
      <w:r w:rsidR="00706E5E">
        <w:rPr>
          <w:rFonts w:ascii="Times New Roman" w:hAnsi="Times New Roman" w:cs="Times New Roman"/>
          <w:sz w:val="24"/>
          <w:szCs w:val="24"/>
        </w:rPr>
        <w:t>, pela experiência e concretude do Direito Civil</w:t>
      </w:r>
      <w:r w:rsidR="0096061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B5E407" w14:textId="7163FFA6" w:rsidR="00706E5E" w:rsidRDefault="00960619" w:rsidP="002F4282">
      <w:pPr>
        <w:spacing w:before="120" w:after="120"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 isso atende-se aos objetivos da </w:t>
      </w:r>
      <w:r w:rsidRPr="002719FB">
        <w:rPr>
          <w:rFonts w:ascii="Times New Roman" w:hAnsi="Times New Roman" w:cs="Times New Roman"/>
          <w:i/>
          <w:sz w:val="24"/>
          <w:szCs w:val="24"/>
        </w:rPr>
        <w:t>Jornada</w:t>
      </w:r>
      <w:r>
        <w:rPr>
          <w:rFonts w:ascii="Times New Roman" w:hAnsi="Times New Roman" w:cs="Times New Roman"/>
          <w:sz w:val="24"/>
          <w:szCs w:val="24"/>
        </w:rPr>
        <w:t>, desde quando foi concebida pelo Ministro Ruy Rosado de Aguiar Jr</w:t>
      </w:r>
      <w:r w:rsidR="00D826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 muito bem sinalizad</w:t>
      </w:r>
      <w:r w:rsidR="00706E5E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 xml:space="preserve"> pelo Ministro </w:t>
      </w:r>
      <w:r w:rsidR="00D826EF">
        <w:rPr>
          <w:rFonts w:ascii="Times New Roman" w:hAnsi="Times New Roman" w:cs="Times New Roman"/>
          <w:sz w:val="24"/>
          <w:szCs w:val="24"/>
        </w:rPr>
        <w:t xml:space="preserve">Luis </w:t>
      </w:r>
      <w:r>
        <w:rPr>
          <w:rFonts w:ascii="Times New Roman" w:hAnsi="Times New Roman" w:cs="Times New Roman"/>
          <w:sz w:val="24"/>
          <w:szCs w:val="24"/>
        </w:rPr>
        <w:t>Felipe Salomão</w:t>
      </w:r>
      <w:r w:rsidR="00706E5E">
        <w:rPr>
          <w:rFonts w:ascii="Times New Roman" w:hAnsi="Times New Roman" w:cs="Times New Roman"/>
          <w:sz w:val="24"/>
          <w:szCs w:val="24"/>
        </w:rPr>
        <w:t xml:space="preserve"> em texto que acompanha a publicação dos enunciados</w:t>
      </w:r>
      <w:r>
        <w:rPr>
          <w:rFonts w:ascii="Times New Roman" w:hAnsi="Times New Roman" w:cs="Times New Roman"/>
          <w:sz w:val="24"/>
          <w:szCs w:val="24"/>
        </w:rPr>
        <w:t>: "a</w:t>
      </w:r>
      <w:r w:rsidR="0094683E" w:rsidRPr="002F4282">
        <w:rPr>
          <w:rFonts w:ascii="Times New Roman" w:hAnsi="Times New Roman" w:cs="Times New Roman"/>
          <w:sz w:val="24"/>
          <w:szCs w:val="24"/>
        </w:rPr>
        <w:t xml:space="preserve"> principal função jurisdicional do STJ é ser o último intérprete da legislação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683E" w:rsidRPr="002F4282">
        <w:rPr>
          <w:rFonts w:ascii="Times New Roman" w:hAnsi="Times New Roman" w:cs="Times New Roman"/>
          <w:sz w:val="24"/>
          <w:szCs w:val="24"/>
        </w:rPr>
        <w:t>infraconstitucional, adequando as normas extraídas dos textos legais ao contexto social, econômico,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683E" w:rsidRPr="002F4282">
        <w:rPr>
          <w:rFonts w:ascii="Times New Roman" w:hAnsi="Times New Roman" w:cs="Times New Roman"/>
          <w:sz w:val="24"/>
          <w:szCs w:val="24"/>
        </w:rPr>
        <w:t>ambiental, tecnológico e político da realidade contemporânea brasileira. Cabe ao Tribunal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683E" w:rsidRPr="002F4282">
        <w:rPr>
          <w:rFonts w:ascii="Times New Roman" w:hAnsi="Times New Roman" w:cs="Times New Roman"/>
          <w:sz w:val="24"/>
          <w:szCs w:val="24"/>
        </w:rPr>
        <w:t xml:space="preserve">Cidadania garantir a efetividade e a aplicabilidade das leis, conferindo sentido ao </w:t>
      </w:r>
      <w:r w:rsidR="0094683E" w:rsidRPr="002F4282">
        <w:rPr>
          <w:rFonts w:ascii="Times New Roman" w:hAnsi="Times New Roman" w:cs="Times New Roman"/>
          <w:sz w:val="24"/>
          <w:szCs w:val="24"/>
        </w:rPr>
        <w:lastRenderedPageBreak/>
        <w:t>direito de forma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683E" w:rsidRPr="002F4282">
        <w:rPr>
          <w:rFonts w:ascii="Times New Roman" w:hAnsi="Times New Roman" w:cs="Times New Roman"/>
          <w:sz w:val="24"/>
          <w:szCs w:val="24"/>
        </w:rPr>
        <w:t>atual e permitindo um ambiente salutar de resolução de litígios, do qual a segurança jurídica deve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683E" w:rsidRPr="002F4282">
        <w:rPr>
          <w:rFonts w:ascii="Times New Roman" w:hAnsi="Times New Roman" w:cs="Times New Roman"/>
          <w:sz w:val="24"/>
          <w:szCs w:val="24"/>
        </w:rPr>
        <w:t>ser pilar inabalável.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683E" w:rsidRPr="002F4282">
        <w:rPr>
          <w:rFonts w:ascii="Times New Roman" w:hAnsi="Times New Roman" w:cs="Times New Roman"/>
          <w:sz w:val="24"/>
          <w:szCs w:val="24"/>
        </w:rPr>
        <w:t xml:space="preserve">As </w:t>
      </w:r>
      <w:r w:rsidR="0094683E" w:rsidRPr="00960619">
        <w:rPr>
          <w:rFonts w:ascii="Times New Roman" w:hAnsi="Times New Roman" w:cs="Times New Roman"/>
          <w:i/>
          <w:sz w:val="24"/>
          <w:szCs w:val="24"/>
        </w:rPr>
        <w:t xml:space="preserve">Jornadas </w:t>
      </w:r>
      <w:r w:rsidR="0094683E" w:rsidRPr="002F4282">
        <w:rPr>
          <w:rFonts w:ascii="Times New Roman" w:hAnsi="Times New Roman" w:cs="Times New Roman"/>
          <w:sz w:val="24"/>
          <w:szCs w:val="24"/>
        </w:rPr>
        <w:t>possibilitam – por meio de profunda e democrática atividade dialógica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683E" w:rsidRPr="002F4282">
        <w:rPr>
          <w:rFonts w:ascii="Times New Roman" w:hAnsi="Times New Roman" w:cs="Times New Roman"/>
          <w:sz w:val="24"/>
          <w:szCs w:val="24"/>
        </w:rPr>
        <w:t>expor a compreensão moderna do arcabouço normativo, temperado pelo que há de mais inovador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683E" w:rsidRPr="002F4282">
        <w:rPr>
          <w:rFonts w:ascii="Times New Roman" w:hAnsi="Times New Roman" w:cs="Times New Roman"/>
          <w:sz w:val="24"/>
          <w:szCs w:val="24"/>
        </w:rPr>
        <w:t>na comunidade científica</w:t>
      </w:r>
      <w:r w:rsidR="001B4896">
        <w:rPr>
          <w:rFonts w:ascii="Times New Roman" w:hAnsi="Times New Roman" w:cs="Times New Roman"/>
          <w:sz w:val="24"/>
          <w:szCs w:val="24"/>
        </w:rPr>
        <w:t>”</w:t>
      </w:r>
      <w:r w:rsidR="00F875B0">
        <w:rPr>
          <w:rFonts w:ascii="Times New Roman" w:hAnsi="Times New Roman" w:cs="Times New Roman"/>
          <w:sz w:val="24"/>
          <w:szCs w:val="24"/>
        </w:rPr>
        <w:t xml:space="preserve"> (Caderno da </w:t>
      </w:r>
      <w:r w:rsidR="00F875B0" w:rsidRPr="00F875B0">
        <w:rPr>
          <w:rFonts w:ascii="Times New Roman" w:hAnsi="Times New Roman" w:cs="Times New Roman"/>
          <w:i/>
          <w:sz w:val="24"/>
          <w:szCs w:val="24"/>
        </w:rPr>
        <w:t>IX Jornada de Direito Civil</w:t>
      </w:r>
      <w:r w:rsidR="00F875B0">
        <w:rPr>
          <w:rFonts w:ascii="Times New Roman" w:hAnsi="Times New Roman" w:cs="Times New Roman"/>
          <w:sz w:val="24"/>
          <w:szCs w:val="24"/>
        </w:rPr>
        <w:t xml:space="preserve">. Disponível em: </w:t>
      </w:r>
      <w:r w:rsidR="00F875B0" w:rsidRPr="00F875B0">
        <w:rPr>
          <w:rFonts w:ascii="Times New Roman" w:hAnsi="Times New Roman" w:cs="Times New Roman"/>
          <w:sz w:val="24"/>
          <w:szCs w:val="24"/>
        </w:rPr>
        <w:t>http://www.flaviotartuce.adv.br/assets/uploads/enunciados/4de29-caderno-ix-jonrada-de-direito-civil..pdf</w:t>
      </w:r>
      <w:r w:rsidR="002719FB">
        <w:rPr>
          <w:rFonts w:ascii="Times New Roman" w:hAnsi="Times New Roman" w:cs="Times New Roman"/>
          <w:sz w:val="24"/>
          <w:szCs w:val="24"/>
        </w:rPr>
        <w:t>.</w:t>
      </w:r>
      <w:r w:rsidR="00F875B0">
        <w:rPr>
          <w:rFonts w:ascii="Times New Roman" w:hAnsi="Times New Roman" w:cs="Times New Roman"/>
          <w:sz w:val="24"/>
          <w:szCs w:val="24"/>
        </w:rPr>
        <w:t xml:space="preserve"> Acesso em</w:t>
      </w:r>
      <w:r w:rsidR="00D826EF">
        <w:rPr>
          <w:rFonts w:ascii="Times New Roman" w:hAnsi="Times New Roman" w:cs="Times New Roman"/>
          <w:sz w:val="24"/>
          <w:szCs w:val="24"/>
        </w:rPr>
        <w:t>:</w:t>
      </w:r>
      <w:r w:rsidR="00F875B0">
        <w:rPr>
          <w:rFonts w:ascii="Times New Roman" w:hAnsi="Times New Roman" w:cs="Times New Roman"/>
          <w:sz w:val="24"/>
          <w:szCs w:val="24"/>
        </w:rPr>
        <w:t xml:space="preserve"> 25 </w:t>
      </w:r>
      <w:r w:rsidR="00D826EF">
        <w:rPr>
          <w:rFonts w:ascii="Times New Roman" w:hAnsi="Times New Roman" w:cs="Times New Roman"/>
          <w:sz w:val="24"/>
          <w:szCs w:val="24"/>
        </w:rPr>
        <w:t>jun.</w:t>
      </w:r>
      <w:r w:rsidR="00F875B0">
        <w:rPr>
          <w:rFonts w:ascii="Times New Roman" w:hAnsi="Times New Roman" w:cs="Times New Roman"/>
          <w:sz w:val="24"/>
          <w:szCs w:val="24"/>
        </w:rPr>
        <w:t xml:space="preserve"> 2022). </w:t>
      </w:r>
    </w:p>
    <w:p w14:paraId="68F9C9F7" w14:textId="06295EA5" w:rsidR="002F4282" w:rsidRPr="00FC4AFE" w:rsidRDefault="00706E5E" w:rsidP="002F4282">
      <w:pPr>
        <w:spacing w:before="120" w:after="120"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Espero que </w:t>
      </w:r>
      <w:r w:rsidR="00F875B0">
        <w:rPr>
          <w:rFonts w:ascii="Times New Roman" w:hAnsi="Times New Roman" w:cs="Times New Roman"/>
          <w:sz w:val="24"/>
          <w:szCs w:val="24"/>
        </w:rPr>
        <w:t xml:space="preserve">as </w:t>
      </w:r>
      <w:r w:rsidR="00F875B0" w:rsidRPr="00F875B0">
        <w:rPr>
          <w:rFonts w:ascii="Times New Roman" w:hAnsi="Times New Roman" w:cs="Times New Roman"/>
          <w:i/>
          <w:sz w:val="24"/>
          <w:szCs w:val="24"/>
        </w:rPr>
        <w:t>Jornadas</w:t>
      </w:r>
      <w:r w:rsidR="00F875B0">
        <w:rPr>
          <w:rFonts w:ascii="Times New Roman" w:hAnsi="Times New Roman" w:cs="Times New Roman"/>
          <w:sz w:val="24"/>
          <w:szCs w:val="24"/>
        </w:rPr>
        <w:t xml:space="preserve"> continuem a cumprir essa sua função, de motivar o debate científico e prático do Direito Civil,</w:t>
      </w:r>
      <w:r w:rsidR="00823AAF">
        <w:rPr>
          <w:rFonts w:ascii="Times New Roman" w:hAnsi="Times New Roman" w:cs="Times New Roman"/>
          <w:sz w:val="24"/>
          <w:szCs w:val="24"/>
        </w:rPr>
        <w:t xml:space="preserve"> </w:t>
      </w:r>
      <w:r w:rsidR="00F875B0">
        <w:rPr>
          <w:rFonts w:ascii="Times New Roman" w:hAnsi="Times New Roman" w:cs="Times New Roman"/>
          <w:sz w:val="24"/>
          <w:szCs w:val="24"/>
        </w:rPr>
        <w:t xml:space="preserve">colaborando para a resolução dos problemas das pessoas, vocação natural dos civilistas.  </w:t>
      </w:r>
    </w:p>
    <w:sectPr w:rsidR="002F4282" w:rsidRPr="00FC4AFE" w:rsidSect="00EF2C37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56115" w14:textId="77777777" w:rsidR="00E0315A" w:rsidRDefault="00E0315A" w:rsidP="00080C17">
      <w:pPr>
        <w:spacing w:after="0" w:line="240" w:lineRule="auto"/>
      </w:pPr>
      <w:r>
        <w:separator/>
      </w:r>
    </w:p>
  </w:endnote>
  <w:endnote w:type="continuationSeparator" w:id="0">
    <w:p w14:paraId="48BC9D59" w14:textId="77777777" w:rsidR="00E0315A" w:rsidRDefault="00E0315A" w:rsidP="00080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5903297"/>
      <w:docPartObj>
        <w:docPartGallery w:val="Page Numbers (Bottom of Page)"/>
        <w:docPartUnique/>
      </w:docPartObj>
    </w:sdtPr>
    <w:sdtEndPr/>
    <w:sdtContent>
      <w:p w14:paraId="0F618F37" w14:textId="77777777" w:rsidR="002719FB" w:rsidRDefault="00B17F9B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6E5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CBFE0C9" w14:textId="77777777" w:rsidR="002719FB" w:rsidRDefault="002719F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808FB" w14:textId="77777777" w:rsidR="00E0315A" w:rsidRDefault="00E0315A" w:rsidP="00080C17">
      <w:pPr>
        <w:spacing w:after="0" w:line="240" w:lineRule="auto"/>
      </w:pPr>
      <w:r>
        <w:separator/>
      </w:r>
    </w:p>
  </w:footnote>
  <w:footnote w:type="continuationSeparator" w:id="0">
    <w:p w14:paraId="511EA3C7" w14:textId="77777777" w:rsidR="00E0315A" w:rsidRDefault="00E0315A" w:rsidP="00080C17">
      <w:pPr>
        <w:spacing w:after="0" w:line="240" w:lineRule="auto"/>
      </w:pPr>
      <w:r>
        <w:continuationSeparator/>
      </w:r>
    </w:p>
  </w:footnote>
  <w:footnote w:id="1">
    <w:p w14:paraId="473BBFF3" w14:textId="77AA742C" w:rsidR="002719FB" w:rsidRPr="00197971" w:rsidRDefault="002719FB" w:rsidP="000309F7">
      <w:pPr>
        <w:pStyle w:val="Textodenotaderodap"/>
        <w:jc w:val="both"/>
      </w:pPr>
      <w:r w:rsidRPr="003B2F06">
        <w:rPr>
          <w:rStyle w:val="Refdenotaderodap"/>
        </w:rPr>
        <w:footnoteRef/>
      </w:r>
      <w:r w:rsidRPr="003B2F06">
        <w:t xml:space="preserve"> </w:t>
      </w:r>
      <w:r>
        <w:t xml:space="preserve">Pós-Doutorando e </w:t>
      </w:r>
      <w:r w:rsidRPr="003B2F06">
        <w:t xml:space="preserve">Doutor em Direito Civil pela USP. Mestre em Direito Civil Comparado pela PUCSP. Professor </w:t>
      </w:r>
      <w:r>
        <w:t>T</w:t>
      </w:r>
      <w:r w:rsidRPr="003B2F06">
        <w:t xml:space="preserve">itular permanente </w:t>
      </w:r>
      <w:r>
        <w:t xml:space="preserve">e coordenador do mestrado da Escola Paulista de Direito (EPD). </w:t>
      </w:r>
      <w:r w:rsidRPr="003B2F06">
        <w:t xml:space="preserve">Professor </w:t>
      </w:r>
      <w:r>
        <w:t xml:space="preserve">e coordenador </w:t>
      </w:r>
      <w:r w:rsidRPr="003B2F06">
        <w:t xml:space="preserve">dos cursos de pós-graduação </w:t>
      </w:r>
      <w:r w:rsidRPr="00511B17">
        <w:rPr>
          <w:i/>
        </w:rPr>
        <w:t>lato sensu</w:t>
      </w:r>
      <w:r w:rsidRPr="003B2F06">
        <w:t xml:space="preserve"> </w:t>
      </w:r>
      <w:r>
        <w:t xml:space="preserve">em Direito Privado </w:t>
      </w:r>
      <w:r w:rsidRPr="003B2F06">
        <w:t>da EPD.</w:t>
      </w:r>
      <w:r>
        <w:t xml:space="preserve"> </w:t>
      </w:r>
      <w:r w:rsidR="001B4896">
        <w:t>Diretor-</w:t>
      </w:r>
      <w:r>
        <w:t xml:space="preserve">Geral da ESAOABSP. Presidente Nacional do Instituto Brasileiro de Direito Contratual (IBDCONT). Presidente do Instituto Brasileiro de Direito de Família em São Paulo (IBDFAM/SP). </w:t>
      </w:r>
      <w:r w:rsidRPr="003B2F06">
        <w:t xml:space="preserve">Advogado </w:t>
      </w:r>
      <w:r>
        <w:t xml:space="preserve">em São Paulo, parecerista </w:t>
      </w:r>
      <w:r w:rsidRPr="003B2F06">
        <w:t>e consultor jurídico</w:t>
      </w:r>
      <w:r w:rsidRPr="00197971"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C17"/>
    <w:rsid w:val="00011F5F"/>
    <w:rsid w:val="00012135"/>
    <w:rsid w:val="00012331"/>
    <w:rsid w:val="000309F7"/>
    <w:rsid w:val="00042A8E"/>
    <w:rsid w:val="000459E4"/>
    <w:rsid w:val="0007587C"/>
    <w:rsid w:val="00080C17"/>
    <w:rsid w:val="0008769F"/>
    <w:rsid w:val="000B128C"/>
    <w:rsid w:val="000D53D2"/>
    <w:rsid w:val="000E493C"/>
    <w:rsid w:val="000E76B2"/>
    <w:rsid w:val="00106387"/>
    <w:rsid w:val="00112BD1"/>
    <w:rsid w:val="00115755"/>
    <w:rsid w:val="00141A1C"/>
    <w:rsid w:val="00145D5D"/>
    <w:rsid w:val="00156563"/>
    <w:rsid w:val="0016033A"/>
    <w:rsid w:val="00163232"/>
    <w:rsid w:val="00173236"/>
    <w:rsid w:val="00173855"/>
    <w:rsid w:val="001805EE"/>
    <w:rsid w:val="001A3FAB"/>
    <w:rsid w:val="001B0E80"/>
    <w:rsid w:val="001B4896"/>
    <w:rsid w:val="001D326C"/>
    <w:rsid w:val="001E4999"/>
    <w:rsid w:val="001F299A"/>
    <w:rsid w:val="001F4DFA"/>
    <w:rsid w:val="001F77B7"/>
    <w:rsid w:val="00201685"/>
    <w:rsid w:val="0021213C"/>
    <w:rsid w:val="00215219"/>
    <w:rsid w:val="0023156E"/>
    <w:rsid w:val="002345F1"/>
    <w:rsid w:val="002719FB"/>
    <w:rsid w:val="00277B02"/>
    <w:rsid w:val="00287424"/>
    <w:rsid w:val="00294B27"/>
    <w:rsid w:val="002A4C5A"/>
    <w:rsid w:val="002A523B"/>
    <w:rsid w:val="002D647F"/>
    <w:rsid w:val="002F278E"/>
    <w:rsid w:val="002F4282"/>
    <w:rsid w:val="003022B5"/>
    <w:rsid w:val="0030411C"/>
    <w:rsid w:val="003102D7"/>
    <w:rsid w:val="003256A4"/>
    <w:rsid w:val="00334DBD"/>
    <w:rsid w:val="0035067E"/>
    <w:rsid w:val="0037532C"/>
    <w:rsid w:val="00386820"/>
    <w:rsid w:val="003903A6"/>
    <w:rsid w:val="00395E81"/>
    <w:rsid w:val="003B325B"/>
    <w:rsid w:val="003B6EDE"/>
    <w:rsid w:val="003D3E3E"/>
    <w:rsid w:val="003D7E39"/>
    <w:rsid w:val="003E4D74"/>
    <w:rsid w:val="00400882"/>
    <w:rsid w:val="0041155A"/>
    <w:rsid w:val="00432307"/>
    <w:rsid w:val="00442997"/>
    <w:rsid w:val="004442F6"/>
    <w:rsid w:val="00455733"/>
    <w:rsid w:val="00464553"/>
    <w:rsid w:val="00475886"/>
    <w:rsid w:val="0049178C"/>
    <w:rsid w:val="004A176C"/>
    <w:rsid w:val="004B6D51"/>
    <w:rsid w:val="004B7041"/>
    <w:rsid w:val="004D1D3A"/>
    <w:rsid w:val="004D221A"/>
    <w:rsid w:val="004E3EBD"/>
    <w:rsid w:val="00504961"/>
    <w:rsid w:val="00520270"/>
    <w:rsid w:val="00531404"/>
    <w:rsid w:val="005333C8"/>
    <w:rsid w:val="00535A91"/>
    <w:rsid w:val="0053628E"/>
    <w:rsid w:val="005364E4"/>
    <w:rsid w:val="00540911"/>
    <w:rsid w:val="005639E9"/>
    <w:rsid w:val="00574615"/>
    <w:rsid w:val="005973AF"/>
    <w:rsid w:val="005C1E43"/>
    <w:rsid w:val="005C32B2"/>
    <w:rsid w:val="005C6FFA"/>
    <w:rsid w:val="005D70AA"/>
    <w:rsid w:val="006010AB"/>
    <w:rsid w:val="00621BD2"/>
    <w:rsid w:val="00621F9F"/>
    <w:rsid w:val="00626D57"/>
    <w:rsid w:val="00632958"/>
    <w:rsid w:val="00690671"/>
    <w:rsid w:val="00696B11"/>
    <w:rsid w:val="006B632B"/>
    <w:rsid w:val="006E06C4"/>
    <w:rsid w:val="006F411D"/>
    <w:rsid w:val="0070000F"/>
    <w:rsid w:val="0070007F"/>
    <w:rsid w:val="007010D0"/>
    <w:rsid w:val="00706E5E"/>
    <w:rsid w:val="0071631F"/>
    <w:rsid w:val="007167ED"/>
    <w:rsid w:val="00716B90"/>
    <w:rsid w:val="00717E3F"/>
    <w:rsid w:val="00727A76"/>
    <w:rsid w:val="0073636D"/>
    <w:rsid w:val="0074531C"/>
    <w:rsid w:val="00756155"/>
    <w:rsid w:val="00777166"/>
    <w:rsid w:val="00777EC1"/>
    <w:rsid w:val="00786500"/>
    <w:rsid w:val="00796CCB"/>
    <w:rsid w:val="007A0A0C"/>
    <w:rsid w:val="007B17FA"/>
    <w:rsid w:val="007B3209"/>
    <w:rsid w:val="007C448F"/>
    <w:rsid w:val="007D1158"/>
    <w:rsid w:val="007E54FA"/>
    <w:rsid w:val="007E6D99"/>
    <w:rsid w:val="00822993"/>
    <w:rsid w:val="00823AAF"/>
    <w:rsid w:val="00832120"/>
    <w:rsid w:val="0083261D"/>
    <w:rsid w:val="00832745"/>
    <w:rsid w:val="00833722"/>
    <w:rsid w:val="008451DE"/>
    <w:rsid w:val="0085154D"/>
    <w:rsid w:val="00853D9C"/>
    <w:rsid w:val="00864E89"/>
    <w:rsid w:val="00876806"/>
    <w:rsid w:val="008809A3"/>
    <w:rsid w:val="008878FC"/>
    <w:rsid w:val="00895003"/>
    <w:rsid w:val="008A6C3F"/>
    <w:rsid w:val="008C0FE2"/>
    <w:rsid w:val="008C350A"/>
    <w:rsid w:val="008D654E"/>
    <w:rsid w:val="008E12E0"/>
    <w:rsid w:val="00925E04"/>
    <w:rsid w:val="00925FEA"/>
    <w:rsid w:val="00935B01"/>
    <w:rsid w:val="00940AD9"/>
    <w:rsid w:val="0094683E"/>
    <w:rsid w:val="0095189D"/>
    <w:rsid w:val="00960619"/>
    <w:rsid w:val="00972B35"/>
    <w:rsid w:val="009758CD"/>
    <w:rsid w:val="00975ED4"/>
    <w:rsid w:val="00977AA2"/>
    <w:rsid w:val="00980DD0"/>
    <w:rsid w:val="009A10FF"/>
    <w:rsid w:val="009D1844"/>
    <w:rsid w:val="009E20D2"/>
    <w:rsid w:val="009E7B1F"/>
    <w:rsid w:val="00A003C0"/>
    <w:rsid w:val="00A0456A"/>
    <w:rsid w:val="00A13786"/>
    <w:rsid w:val="00A14787"/>
    <w:rsid w:val="00A16E1F"/>
    <w:rsid w:val="00A44AF2"/>
    <w:rsid w:val="00A7449A"/>
    <w:rsid w:val="00AA7463"/>
    <w:rsid w:val="00AB1A22"/>
    <w:rsid w:val="00AE5585"/>
    <w:rsid w:val="00AE5793"/>
    <w:rsid w:val="00AE646D"/>
    <w:rsid w:val="00B11EB2"/>
    <w:rsid w:val="00B14ACF"/>
    <w:rsid w:val="00B15989"/>
    <w:rsid w:val="00B17F9B"/>
    <w:rsid w:val="00B248B6"/>
    <w:rsid w:val="00B26EEB"/>
    <w:rsid w:val="00B42559"/>
    <w:rsid w:val="00B6153E"/>
    <w:rsid w:val="00B6183B"/>
    <w:rsid w:val="00B73BC6"/>
    <w:rsid w:val="00BA07FE"/>
    <w:rsid w:val="00BA7BF8"/>
    <w:rsid w:val="00BD13D9"/>
    <w:rsid w:val="00BD4FC4"/>
    <w:rsid w:val="00C0395A"/>
    <w:rsid w:val="00C1602C"/>
    <w:rsid w:val="00C3010F"/>
    <w:rsid w:val="00C3368A"/>
    <w:rsid w:val="00C64727"/>
    <w:rsid w:val="00C7657F"/>
    <w:rsid w:val="00C85FB5"/>
    <w:rsid w:val="00C932D7"/>
    <w:rsid w:val="00C932FE"/>
    <w:rsid w:val="00C94A36"/>
    <w:rsid w:val="00CA144A"/>
    <w:rsid w:val="00CC2DD5"/>
    <w:rsid w:val="00CD21FF"/>
    <w:rsid w:val="00CE505E"/>
    <w:rsid w:val="00D04629"/>
    <w:rsid w:val="00D1138E"/>
    <w:rsid w:val="00D24CC0"/>
    <w:rsid w:val="00D61F3D"/>
    <w:rsid w:val="00D628D2"/>
    <w:rsid w:val="00D663EE"/>
    <w:rsid w:val="00D739B3"/>
    <w:rsid w:val="00D826EF"/>
    <w:rsid w:val="00DA4338"/>
    <w:rsid w:val="00DC375A"/>
    <w:rsid w:val="00DC7F1C"/>
    <w:rsid w:val="00DE4541"/>
    <w:rsid w:val="00E00CF2"/>
    <w:rsid w:val="00E0315A"/>
    <w:rsid w:val="00E24F59"/>
    <w:rsid w:val="00E4079A"/>
    <w:rsid w:val="00E53BA7"/>
    <w:rsid w:val="00E835D1"/>
    <w:rsid w:val="00E94A99"/>
    <w:rsid w:val="00E95F2B"/>
    <w:rsid w:val="00EA1E50"/>
    <w:rsid w:val="00EA6A0D"/>
    <w:rsid w:val="00EC3106"/>
    <w:rsid w:val="00ED19DA"/>
    <w:rsid w:val="00EF1922"/>
    <w:rsid w:val="00EF2C37"/>
    <w:rsid w:val="00F15BA3"/>
    <w:rsid w:val="00F2216C"/>
    <w:rsid w:val="00F2672A"/>
    <w:rsid w:val="00F328C9"/>
    <w:rsid w:val="00F3409E"/>
    <w:rsid w:val="00F375FD"/>
    <w:rsid w:val="00F64BA0"/>
    <w:rsid w:val="00F718AC"/>
    <w:rsid w:val="00F72526"/>
    <w:rsid w:val="00F875B0"/>
    <w:rsid w:val="00F921AF"/>
    <w:rsid w:val="00FB746D"/>
    <w:rsid w:val="00FC4AFE"/>
    <w:rsid w:val="00FC4CB7"/>
    <w:rsid w:val="00FC7FCC"/>
    <w:rsid w:val="00FE31E8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FA01A"/>
  <w15:docId w15:val="{5BC6F9F6-794F-4732-B60A-01DEF8C4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C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80C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80C17"/>
  </w:style>
  <w:style w:type="paragraph" w:styleId="Rodap">
    <w:name w:val="footer"/>
    <w:basedOn w:val="Normal"/>
    <w:link w:val="RodapChar"/>
    <w:uiPriority w:val="99"/>
    <w:unhideWhenUsed/>
    <w:rsid w:val="00080C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0C17"/>
  </w:style>
  <w:style w:type="paragraph" w:styleId="Textodenotaderodap">
    <w:name w:val="footnote text"/>
    <w:basedOn w:val="Normal"/>
    <w:link w:val="TextodenotaderodapChar"/>
    <w:rsid w:val="00FC7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FC7FC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FC7FCC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CD21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D21F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D21F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D21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D21F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2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1FF"/>
    <w:rPr>
      <w:rFonts w:ascii="Segoe UI" w:hAnsi="Segoe UI" w:cs="Segoe UI"/>
      <w:sz w:val="18"/>
      <w:szCs w:val="18"/>
    </w:rPr>
  </w:style>
  <w:style w:type="paragraph" w:customStyle="1" w:styleId="t">
    <w:name w:val="t"/>
    <w:basedOn w:val="Normal"/>
    <w:next w:val="Normal"/>
    <w:uiPriority w:val="99"/>
    <w:rsid w:val="00D663EE"/>
    <w:pPr>
      <w:widowControl w:val="0"/>
      <w:autoSpaceDE w:val="0"/>
      <w:autoSpaceDN w:val="0"/>
      <w:adjustRightInd w:val="0"/>
      <w:spacing w:after="57" w:line="260" w:lineRule="atLeast"/>
      <w:ind w:firstLine="512"/>
      <w:jc w:val="both"/>
      <w:textAlignment w:val="center"/>
    </w:pPr>
    <w:rPr>
      <w:rFonts w:ascii="MinionPro-Regular" w:eastAsiaTheme="minorEastAsia" w:hAnsi="MinionPro-Regular" w:cs="MinionPro-Regular"/>
      <w:color w:val="000000"/>
      <w:lang w:eastAsia="pt-BR"/>
    </w:rPr>
  </w:style>
  <w:style w:type="paragraph" w:styleId="Reviso">
    <w:name w:val="Revision"/>
    <w:hidden/>
    <w:uiPriority w:val="99"/>
    <w:semiHidden/>
    <w:rsid w:val="00FC4CB7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1E499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E4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4D3FF-15DC-4F6C-8D9B-286AF1790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7</Pages>
  <Words>2468</Words>
  <Characters>13328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</dc:creator>
  <cp:lastModifiedBy>Flávio Tartuce</cp:lastModifiedBy>
  <cp:revision>15</cp:revision>
  <cp:lastPrinted>2020-07-15T14:41:00Z</cp:lastPrinted>
  <dcterms:created xsi:type="dcterms:W3CDTF">2022-06-27T13:42:00Z</dcterms:created>
  <dcterms:modified xsi:type="dcterms:W3CDTF">2022-06-27T20:27:00Z</dcterms:modified>
</cp:coreProperties>
</file>