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91B" w:rsidRPr="00B15AD0" w:rsidRDefault="00DD4193" w:rsidP="00B15AD0">
      <w:pPr>
        <w:spacing w:before="120"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ARBITRAGEM E DIREITO DE FAMÍLIA </w:t>
      </w:r>
    </w:p>
    <w:p w:rsidR="00B15AD0" w:rsidRPr="00B15AD0" w:rsidRDefault="00B15AD0" w:rsidP="00B15AD0">
      <w:pPr>
        <w:spacing w:before="120" w:after="120" w:line="360" w:lineRule="auto"/>
        <w:jc w:val="center"/>
        <w:rPr>
          <w:rFonts w:ascii="Times New Roman" w:hAnsi="Times New Roman" w:cs="Times New Roman"/>
          <w:b/>
          <w:bCs/>
          <w:sz w:val="24"/>
          <w:szCs w:val="24"/>
        </w:rPr>
      </w:pPr>
    </w:p>
    <w:p w:rsidR="00B15AD0" w:rsidRPr="00B15AD0" w:rsidRDefault="00B15AD0" w:rsidP="00B15AD0">
      <w:pPr>
        <w:spacing w:before="120" w:after="120" w:line="360" w:lineRule="auto"/>
        <w:jc w:val="right"/>
        <w:rPr>
          <w:rFonts w:ascii="Times New Roman" w:hAnsi="Times New Roman" w:cs="Times New Roman"/>
          <w:b/>
          <w:bCs/>
          <w:sz w:val="24"/>
          <w:szCs w:val="24"/>
        </w:rPr>
      </w:pPr>
      <w:r w:rsidRPr="00B15AD0">
        <w:rPr>
          <w:rFonts w:ascii="Times New Roman" w:hAnsi="Times New Roman" w:cs="Times New Roman"/>
          <w:b/>
          <w:bCs/>
          <w:sz w:val="24"/>
          <w:szCs w:val="24"/>
        </w:rPr>
        <w:t>Flávio Tartuce</w:t>
      </w:r>
      <w:r w:rsidRPr="00B15AD0">
        <w:rPr>
          <w:rFonts w:ascii="Times New Roman" w:hAnsi="Times New Roman" w:cs="Times New Roman"/>
          <w:b/>
          <w:bCs/>
          <w:sz w:val="24"/>
          <w:szCs w:val="24"/>
          <w:vertAlign w:val="superscript"/>
        </w:rPr>
        <w:footnoteReference w:id="1"/>
      </w:r>
    </w:p>
    <w:p w:rsidR="007914E9" w:rsidRDefault="007914E9" w:rsidP="00A1091B">
      <w:pPr>
        <w:spacing w:before="120" w:after="120" w:line="360" w:lineRule="auto"/>
        <w:ind w:firstLine="1701"/>
        <w:jc w:val="both"/>
        <w:rPr>
          <w:rFonts w:ascii="Times New Roman" w:hAnsi="Times New Roman" w:cs="Times New Roman"/>
          <w:sz w:val="24"/>
          <w:szCs w:val="24"/>
        </w:rPr>
      </w:pPr>
    </w:p>
    <w:p w:rsidR="00692442" w:rsidRDefault="00692442" w:rsidP="00A1091B">
      <w:pPr>
        <w:spacing w:before="120" w:after="120" w:line="360" w:lineRule="auto"/>
        <w:ind w:firstLine="1701"/>
        <w:jc w:val="both"/>
        <w:rPr>
          <w:rFonts w:ascii="Times New Roman" w:hAnsi="Times New Roman" w:cs="Times New Roman"/>
          <w:sz w:val="24"/>
          <w:szCs w:val="24"/>
        </w:rPr>
      </w:pPr>
    </w:p>
    <w:p w:rsidR="00E821F9" w:rsidRDefault="00DD4193" w:rsidP="00295C84">
      <w:pPr>
        <w:spacing w:before="120" w:after="120" w:line="360" w:lineRule="auto"/>
        <w:ind w:firstLine="1701"/>
        <w:jc w:val="both"/>
        <w:rPr>
          <w:rFonts w:ascii="Times New Roman" w:hAnsi="Times New Roman" w:cs="Times New Roman"/>
          <w:sz w:val="24"/>
          <w:szCs w:val="24"/>
        </w:rPr>
      </w:pPr>
      <w:r>
        <w:rPr>
          <w:rFonts w:ascii="Times New Roman" w:hAnsi="Times New Roman" w:cs="Times New Roman"/>
          <w:sz w:val="24"/>
          <w:szCs w:val="24"/>
        </w:rPr>
        <w:t>Um dos temas que vem sendo debatido muito intensamente no âmbito da doutrina brasileira diz respeito à possibilidade da</w:t>
      </w:r>
      <w:bookmarkStart w:id="0" w:name="_Hlk96249231"/>
      <w:r>
        <w:rPr>
          <w:rFonts w:ascii="Times New Roman" w:hAnsi="Times New Roman" w:cs="Times New Roman"/>
          <w:sz w:val="24"/>
          <w:szCs w:val="24"/>
        </w:rPr>
        <w:t xml:space="preserve"> </w:t>
      </w:r>
      <w:r w:rsidRPr="00DD4193">
        <w:rPr>
          <w:rFonts w:ascii="Times New Roman" w:hAnsi="Times New Roman" w:cs="Times New Roman"/>
          <w:i/>
          <w:iCs/>
          <w:sz w:val="24"/>
          <w:szCs w:val="24"/>
        </w:rPr>
        <w:t>arbitrabilidade</w:t>
      </w:r>
      <w:r>
        <w:rPr>
          <w:rFonts w:ascii="Times New Roman" w:hAnsi="Times New Roman" w:cs="Times New Roman"/>
          <w:sz w:val="24"/>
          <w:szCs w:val="24"/>
        </w:rPr>
        <w:t xml:space="preserve"> </w:t>
      </w:r>
      <w:bookmarkEnd w:id="0"/>
      <w:r>
        <w:rPr>
          <w:rFonts w:ascii="Times New Roman" w:hAnsi="Times New Roman" w:cs="Times New Roman"/>
          <w:sz w:val="24"/>
          <w:szCs w:val="24"/>
        </w:rPr>
        <w:t>em matérias de Direito de Família. O</w:t>
      </w:r>
      <w:r w:rsidR="00692442">
        <w:rPr>
          <w:rFonts w:ascii="Times New Roman" w:hAnsi="Times New Roman" w:cs="Times New Roman"/>
          <w:sz w:val="24"/>
          <w:szCs w:val="24"/>
        </w:rPr>
        <w:t xml:space="preserve"> assunto</w:t>
      </w:r>
      <w:r>
        <w:rPr>
          <w:rFonts w:ascii="Times New Roman" w:hAnsi="Times New Roman" w:cs="Times New Roman"/>
          <w:sz w:val="24"/>
          <w:szCs w:val="24"/>
        </w:rPr>
        <w:t xml:space="preserve"> foi objeto da tese de doutorado de Ricardo Lucas Calderon, defendida na Faculdade de Direito da Universidade Federal do Paraná no último dia 7 de fevereiro de 20</w:t>
      </w:r>
      <w:r w:rsidR="004244C0">
        <w:rPr>
          <w:rFonts w:ascii="Times New Roman" w:hAnsi="Times New Roman" w:cs="Times New Roman"/>
          <w:sz w:val="24"/>
          <w:szCs w:val="24"/>
        </w:rPr>
        <w:t>2</w:t>
      </w:r>
      <w:r>
        <w:rPr>
          <w:rFonts w:ascii="Times New Roman" w:hAnsi="Times New Roman" w:cs="Times New Roman"/>
          <w:sz w:val="24"/>
          <w:szCs w:val="24"/>
        </w:rPr>
        <w:t>2</w:t>
      </w:r>
      <w:r w:rsidR="00E821F9">
        <w:rPr>
          <w:rFonts w:ascii="Times New Roman" w:hAnsi="Times New Roman" w:cs="Times New Roman"/>
          <w:sz w:val="24"/>
          <w:szCs w:val="24"/>
        </w:rPr>
        <w:t xml:space="preserve">, com o título </w:t>
      </w:r>
      <w:r w:rsidR="00320E11">
        <w:rPr>
          <w:rFonts w:ascii="Times New Roman" w:hAnsi="Times New Roman" w:cs="Times New Roman"/>
          <w:sz w:val="24"/>
          <w:szCs w:val="24"/>
        </w:rPr>
        <w:t>“</w:t>
      </w:r>
      <w:r w:rsidR="00E821F9" w:rsidRPr="00E821F9">
        <w:rPr>
          <w:rFonts w:ascii="Times New Roman" w:hAnsi="Times New Roman" w:cs="Times New Roman"/>
          <w:i/>
          <w:iCs/>
          <w:sz w:val="24"/>
          <w:szCs w:val="24"/>
        </w:rPr>
        <w:t xml:space="preserve">Ressignificação da indisponibilidade dos direitos: </w:t>
      </w:r>
      <w:r w:rsidR="00E821F9" w:rsidRPr="00320E11">
        <w:rPr>
          <w:rFonts w:ascii="Times New Roman" w:hAnsi="Times New Roman" w:cs="Times New Roman"/>
          <w:i/>
          <w:iCs/>
          <w:sz w:val="24"/>
          <w:szCs w:val="24"/>
        </w:rPr>
        <w:t>transigibilidade e arbitrabilidade nos conflitos familiares</w:t>
      </w:r>
      <w:r w:rsidR="00320E11">
        <w:rPr>
          <w:rFonts w:ascii="Times New Roman" w:hAnsi="Times New Roman" w:cs="Times New Roman"/>
          <w:i/>
          <w:iCs/>
          <w:sz w:val="24"/>
          <w:szCs w:val="24"/>
        </w:rPr>
        <w:t>”</w:t>
      </w:r>
      <w:r>
        <w:rPr>
          <w:rFonts w:ascii="Times New Roman" w:hAnsi="Times New Roman" w:cs="Times New Roman"/>
          <w:sz w:val="24"/>
          <w:szCs w:val="24"/>
        </w:rPr>
        <w:t>. Participaram da banca os Professores Carlos</w:t>
      </w:r>
      <w:r w:rsidR="00E821F9">
        <w:rPr>
          <w:rFonts w:ascii="Times New Roman" w:hAnsi="Times New Roman" w:cs="Times New Roman"/>
          <w:sz w:val="24"/>
          <w:szCs w:val="24"/>
        </w:rPr>
        <w:t xml:space="preserve"> Eduardo Pianovski – orientador </w:t>
      </w:r>
      <w:r w:rsidR="00A15C1C">
        <w:rPr>
          <w:rFonts w:ascii="Times New Roman" w:hAnsi="Times New Roman" w:cs="Times New Roman"/>
          <w:sz w:val="24"/>
          <w:szCs w:val="24"/>
        </w:rPr>
        <w:t xml:space="preserve">e presidente </w:t>
      </w:r>
      <w:r w:rsidR="00B823FF">
        <w:rPr>
          <w:rFonts w:ascii="Times New Roman" w:hAnsi="Times New Roman" w:cs="Times New Roman"/>
          <w:sz w:val="24"/>
          <w:szCs w:val="24"/>
        </w:rPr>
        <w:t xml:space="preserve">−, </w:t>
      </w:r>
      <w:r w:rsidR="00E821F9">
        <w:rPr>
          <w:rFonts w:ascii="Times New Roman" w:hAnsi="Times New Roman" w:cs="Times New Roman"/>
          <w:sz w:val="24"/>
          <w:szCs w:val="24"/>
        </w:rPr>
        <w:t xml:space="preserve">Ana Carla Matos, Anderson Schreiber, Mario Luiz Delgado e Francisco </w:t>
      </w:r>
      <w:r w:rsidR="00692442">
        <w:rPr>
          <w:rFonts w:ascii="Times New Roman" w:hAnsi="Times New Roman" w:cs="Times New Roman"/>
          <w:sz w:val="24"/>
          <w:szCs w:val="24"/>
        </w:rPr>
        <w:t xml:space="preserve">José </w:t>
      </w:r>
      <w:r w:rsidR="00E821F9">
        <w:rPr>
          <w:rFonts w:ascii="Times New Roman" w:hAnsi="Times New Roman" w:cs="Times New Roman"/>
          <w:sz w:val="24"/>
          <w:szCs w:val="24"/>
        </w:rPr>
        <w:t>Cahali.</w:t>
      </w:r>
      <w:r w:rsidR="00692442">
        <w:rPr>
          <w:rFonts w:ascii="Times New Roman" w:hAnsi="Times New Roman" w:cs="Times New Roman"/>
          <w:sz w:val="24"/>
          <w:szCs w:val="24"/>
        </w:rPr>
        <w:t xml:space="preserve"> O trabalho foi aprovado com distinção e deve ser publicado como livro em breve.</w:t>
      </w:r>
      <w:r w:rsidR="00B823FF">
        <w:rPr>
          <w:rFonts w:ascii="Times New Roman" w:hAnsi="Times New Roman" w:cs="Times New Roman"/>
          <w:sz w:val="24"/>
          <w:szCs w:val="24"/>
        </w:rPr>
        <w:t xml:space="preserve"> </w:t>
      </w:r>
    </w:p>
    <w:p w:rsidR="00DD4193" w:rsidRDefault="00E821F9" w:rsidP="00295C84">
      <w:pPr>
        <w:spacing w:before="120" w:after="120" w:line="360" w:lineRule="auto"/>
        <w:ind w:firstLine="1701"/>
        <w:jc w:val="both"/>
        <w:rPr>
          <w:rFonts w:ascii="Times New Roman" w:hAnsi="Times New Roman" w:cs="Times New Roman"/>
          <w:sz w:val="24"/>
          <w:szCs w:val="24"/>
        </w:rPr>
      </w:pPr>
      <w:r>
        <w:rPr>
          <w:rFonts w:ascii="Times New Roman" w:hAnsi="Times New Roman" w:cs="Times New Roman"/>
          <w:sz w:val="24"/>
          <w:szCs w:val="24"/>
        </w:rPr>
        <w:t xml:space="preserve">A propósito, o último doutrinador </w:t>
      </w:r>
      <w:r w:rsidR="004244C0">
        <w:rPr>
          <w:rFonts w:ascii="Times New Roman" w:hAnsi="Times New Roman" w:cs="Times New Roman"/>
          <w:sz w:val="24"/>
          <w:szCs w:val="24"/>
        </w:rPr>
        <w:t xml:space="preserve">citado </w:t>
      </w:r>
      <w:r>
        <w:rPr>
          <w:rFonts w:ascii="Times New Roman" w:hAnsi="Times New Roman" w:cs="Times New Roman"/>
          <w:sz w:val="24"/>
          <w:szCs w:val="24"/>
        </w:rPr>
        <w:t xml:space="preserve">há tempos é um dos defensores da possibilidade de a arbitragem envolver os conflitos de direitos disponíveis no âmbito </w:t>
      </w:r>
      <w:r w:rsidR="008E513D">
        <w:rPr>
          <w:rFonts w:ascii="Times New Roman" w:hAnsi="Times New Roman" w:cs="Times New Roman"/>
          <w:sz w:val="24"/>
          <w:szCs w:val="24"/>
        </w:rPr>
        <w:t>familiar</w:t>
      </w:r>
      <w:r>
        <w:rPr>
          <w:rFonts w:ascii="Times New Roman" w:hAnsi="Times New Roman" w:cs="Times New Roman"/>
          <w:sz w:val="24"/>
          <w:szCs w:val="24"/>
        </w:rPr>
        <w:t xml:space="preserve">, mesmo não havendo norma expressa o autorizando. Segundo ele, “vedada a arbitragem para solução de questão de estado (filiação, poder familiar, estado civil etc.) e para direitos não patrimoniais e indisponíveis, para se colocar os protagonistas de um conflito envolvendo o direito de família no palco arbitral, então, indispensável que a matéria pontual respectiva, dentro da amplitude do instituto, seja exclusivamente de natureza patrimonial disponível” (CAHALI, Francisco José. </w:t>
      </w:r>
      <w:r w:rsidR="005F1820" w:rsidRPr="005F1820">
        <w:rPr>
          <w:rFonts w:ascii="Times New Roman" w:hAnsi="Times New Roman" w:cs="Times New Roman"/>
          <w:i/>
          <w:iCs/>
          <w:sz w:val="24"/>
          <w:szCs w:val="24"/>
        </w:rPr>
        <w:t xml:space="preserve">Curso de </w:t>
      </w:r>
      <w:r w:rsidR="00B823FF">
        <w:rPr>
          <w:rFonts w:ascii="Times New Roman" w:hAnsi="Times New Roman" w:cs="Times New Roman"/>
          <w:i/>
          <w:iCs/>
          <w:sz w:val="24"/>
          <w:szCs w:val="24"/>
        </w:rPr>
        <w:t>a</w:t>
      </w:r>
      <w:r w:rsidR="00B823FF" w:rsidRPr="005F1820">
        <w:rPr>
          <w:rFonts w:ascii="Times New Roman" w:hAnsi="Times New Roman" w:cs="Times New Roman"/>
          <w:i/>
          <w:iCs/>
          <w:sz w:val="24"/>
          <w:szCs w:val="24"/>
        </w:rPr>
        <w:t>rbitragem</w:t>
      </w:r>
      <w:r w:rsidR="005F1820" w:rsidRPr="005F1820">
        <w:rPr>
          <w:rFonts w:ascii="Times New Roman" w:hAnsi="Times New Roman" w:cs="Times New Roman"/>
          <w:i/>
          <w:iCs/>
          <w:sz w:val="24"/>
          <w:szCs w:val="24"/>
        </w:rPr>
        <w:t>.</w:t>
      </w:r>
      <w:r w:rsidR="005F1820">
        <w:rPr>
          <w:rFonts w:ascii="Times New Roman" w:hAnsi="Times New Roman" w:cs="Times New Roman"/>
          <w:sz w:val="24"/>
          <w:szCs w:val="24"/>
        </w:rPr>
        <w:t xml:space="preserve"> </w:t>
      </w:r>
      <w:r w:rsidR="00B823FF">
        <w:rPr>
          <w:rFonts w:ascii="Times New Roman" w:hAnsi="Times New Roman" w:cs="Times New Roman"/>
          <w:sz w:val="24"/>
          <w:szCs w:val="24"/>
        </w:rPr>
        <w:t xml:space="preserve">6. ed. </w:t>
      </w:r>
      <w:r w:rsidR="005F1820">
        <w:rPr>
          <w:rFonts w:ascii="Times New Roman" w:hAnsi="Times New Roman" w:cs="Times New Roman"/>
          <w:sz w:val="24"/>
          <w:szCs w:val="24"/>
        </w:rPr>
        <w:t>São Paulo: Revista dos Tribunais, 2017</w:t>
      </w:r>
      <w:r w:rsidR="00B823FF">
        <w:rPr>
          <w:rFonts w:ascii="Times New Roman" w:hAnsi="Times New Roman" w:cs="Times New Roman"/>
          <w:sz w:val="24"/>
          <w:szCs w:val="24"/>
        </w:rPr>
        <w:t xml:space="preserve">. </w:t>
      </w:r>
      <w:r w:rsidR="005F1820">
        <w:rPr>
          <w:rFonts w:ascii="Times New Roman" w:hAnsi="Times New Roman" w:cs="Times New Roman"/>
          <w:sz w:val="24"/>
          <w:szCs w:val="24"/>
        </w:rPr>
        <w:t>p</w:t>
      </w:r>
      <w:r>
        <w:rPr>
          <w:rFonts w:ascii="Times New Roman" w:hAnsi="Times New Roman" w:cs="Times New Roman"/>
          <w:sz w:val="24"/>
          <w:szCs w:val="24"/>
        </w:rPr>
        <w:t>. 435</w:t>
      </w:r>
      <w:r w:rsidR="005F1820">
        <w:rPr>
          <w:rFonts w:ascii="Times New Roman" w:hAnsi="Times New Roman" w:cs="Times New Roman"/>
          <w:sz w:val="24"/>
          <w:szCs w:val="24"/>
        </w:rPr>
        <w:t xml:space="preserve">). O jurista </w:t>
      </w:r>
      <w:r>
        <w:rPr>
          <w:rFonts w:ascii="Times New Roman" w:hAnsi="Times New Roman" w:cs="Times New Roman"/>
          <w:sz w:val="24"/>
          <w:szCs w:val="24"/>
        </w:rPr>
        <w:t xml:space="preserve">– </w:t>
      </w:r>
      <w:r w:rsidR="005F1820">
        <w:rPr>
          <w:rFonts w:ascii="Times New Roman" w:hAnsi="Times New Roman" w:cs="Times New Roman"/>
          <w:sz w:val="24"/>
          <w:szCs w:val="24"/>
        </w:rPr>
        <w:t>alterando</w:t>
      </w:r>
      <w:r>
        <w:rPr>
          <w:rFonts w:ascii="Times New Roman" w:hAnsi="Times New Roman" w:cs="Times New Roman"/>
          <w:sz w:val="24"/>
          <w:szCs w:val="24"/>
        </w:rPr>
        <w:t xml:space="preserve"> posição anterior </w:t>
      </w:r>
      <w:r w:rsidR="00B823FF">
        <w:rPr>
          <w:rFonts w:ascii="Times New Roman" w:hAnsi="Times New Roman" w:cs="Times New Roman"/>
          <w:sz w:val="24"/>
          <w:szCs w:val="24"/>
        </w:rPr>
        <w:t>−</w:t>
      </w:r>
      <w:r>
        <w:rPr>
          <w:rFonts w:ascii="Times New Roman" w:hAnsi="Times New Roman" w:cs="Times New Roman"/>
          <w:sz w:val="24"/>
          <w:szCs w:val="24"/>
        </w:rPr>
        <w:t xml:space="preserve"> </w:t>
      </w:r>
      <w:r w:rsidR="005F1820">
        <w:rPr>
          <w:rFonts w:ascii="Times New Roman" w:hAnsi="Times New Roman" w:cs="Times New Roman"/>
          <w:sz w:val="24"/>
          <w:szCs w:val="24"/>
        </w:rPr>
        <w:t xml:space="preserve">é favorável </w:t>
      </w:r>
      <w:r w:rsidR="00B823FF">
        <w:rPr>
          <w:rFonts w:ascii="Times New Roman" w:hAnsi="Times New Roman" w:cs="Times New Roman"/>
          <w:sz w:val="24"/>
          <w:szCs w:val="24"/>
        </w:rPr>
        <w:t xml:space="preserve">a </w:t>
      </w:r>
      <w:r w:rsidR="005F1820">
        <w:rPr>
          <w:rFonts w:ascii="Times New Roman" w:hAnsi="Times New Roman" w:cs="Times New Roman"/>
          <w:sz w:val="24"/>
          <w:szCs w:val="24"/>
        </w:rPr>
        <w:t xml:space="preserve">que a arbitragem resolva até mesmo as questões relativas aos </w:t>
      </w:r>
      <w:r w:rsidR="008E513D">
        <w:rPr>
          <w:rFonts w:ascii="Times New Roman" w:hAnsi="Times New Roman" w:cs="Times New Roman"/>
          <w:sz w:val="24"/>
          <w:szCs w:val="24"/>
        </w:rPr>
        <w:t xml:space="preserve">valores dos </w:t>
      </w:r>
      <w:r w:rsidR="005F1820">
        <w:rPr>
          <w:rFonts w:ascii="Times New Roman" w:hAnsi="Times New Roman" w:cs="Times New Roman"/>
          <w:sz w:val="24"/>
          <w:szCs w:val="24"/>
        </w:rPr>
        <w:t xml:space="preserve">alimentos: </w:t>
      </w:r>
      <w:r>
        <w:rPr>
          <w:rFonts w:ascii="Times New Roman" w:hAnsi="Times New Roman" w:cs="Times New Roman"/>
          <w:sz w:val="24"/>
          <w:szCs w:val="24"/>
        </w:rPr>
        <w:t>“acabamos por nos curvar à admissibilidade, em princípio, da fixação,</w:t>
      </w:r>
      <w:r w:rsidR="005F1820">
        <w:rPr>
          <w:rFonts w:ascii="Times New Roman" w:hAnsi="Times New Roman" w:cs="Times New Roman"/>
          <w:sz w:val="24"/>
          <w:szCs w:val="24"/>
        </w:rPr>
        <w:t xml:space="preserve"> da pensão alimentícia no juízo arbitral, sempre no pressuposto de se verificar a capacidade das partes e a convergente disposição no sentido de existir a respectiva obrigação”. De toda sorte, ressalva</w:t>
      </w:r>
      <w:r w:rsidR="00B823FF">
        <w:rPr>
          <w:rFonts w:ascii="Times New Roman" w:hAnsi="Times New Roman" w:cs="Times New Roman"/>
          <w:sz w:val="24"/>
          <w:szCs w:val="24"/>
        </w:rPr>
        <w:t>,</w:t>
      </w:r>
      <w:r w:rsidR="005F1820">
        <w:rPr>
          <w:rFonts w:ascii="Times New Roman" w:hAnsi="Times New Roman" w:cs="Times New Roman"/>
          <w:sz w:val="24"/>
          <w:szCs w:val="24"/>
        </w:rPr>
        <w:t xml:space="preserve"> </w:t>
      </w:r>
      <w:r w:rsidR="008E513D">
        <w:rPr>
          <w:rFonts w:ascii="Times New Roman" w:hAnsi="Times New Roman" w:cs="Times New Roman"/>
          <w:sz w:val="24"/>
          <w:szCs w:val="24"/>
        </w:rPr>
        <w:t xml:space="preserve">com </w:t>
      </w:r>
      <w:r w:rsidR="008E513D">
        <w:rPr>
          <w:rFonts w:ascii="Times New Roman" w:hAnsi="Times New Roman" w:cs="Times New Roman"/>
          <w:sz w:val="24"/>
          <w:szCs w:val="24"/>
        </w:rPr>
        <w:lastRenderedPageBreak/>
        <w:t>razão</w:t>
      </w:r>
      <w:r w:rsidR="00B823FF">
        <w:rPr>
          <w:rFonts w:ascii="Times New Roman" w:hAnsi="Times New Roman" w:cs="Times New Roman"/>
          <w:sz w:val="24"/>
          <w:szCs w:val="24"/>
        </w:rPr>
        <w:t>,</w:t>
      </w:r>
      <w:r w:rsidR="008E513D">
        <w:rPr>
          <w:rFonts w:ascii="Times New Roman" w:hAnsi="Times New Roman" w:cs="Times New Roman"/>
          <w:sz w:val="24"/>
          <w:szCs w:val="24"/>
        </w:rPr>
        <w:t xml:space="preserve"> </w:t>
      </w:r>
      <w:r w:rsidR="005F1820">
        <w:rPr>
          <w:rFonts w:ascii="Times New Roman" w:hAnsi="Times New Roman" w:cs="Times New Roman"/>
          <w:sz w:val="24"/>
          <w:szCs w:val="24"/>
        </w:rPr>
        <w:t xml:space="preserve">que “temos dificuldade em vislumbrar proveito expressivo às partes nesta situação. E, na prática, preferimos deixar esta matéria ainda aos cuidados do Poder Judiciário” (CAHALI, Francisco José. </w:t>
      </w:r>
      <w:r w:rsidR="005F1820" w:rsidRPr="005F1820">
        <w:rPr>
          <w:rFonts w:ascii="Times New Roman" w:hAnsi="Times New Roman" w:cs="Times New Roman"/>
          <w:i/>
          <w:iCs/>
          <w:sz w:val="24"/>
          <w:szCs w:val="24"/>
        </w:rPr>
        <w:t xml:space="preserve">Curso de </w:t>
      </w:r>
      <w:r w:rsidR="00B823FF">
        <w:rPr>
          <w:rFonts w:ascii="Times New Roman" w:hAnsi="Times New Roman" w:cs="Times New Roman"/>
          <w:i/>
          <w:iCs/>
          <w:sz w:val="24"/>
          <w:szCs w:val="24"/>
        </w:rPr>
        <w:t>a</w:t>
      </w:r>
      <w:r w:rsidR="00B823FF" w:rsidRPr="005F1820">
        <w:rPr>
          <w:rFonts w:ascii="Times New Roman" w:hAnsi="Times New Roman" w:cs="Times New Roman"/>
          <w:i/>
          <w:iCs/>
          <w:sz w:val="24"/>
          <w:szCs w:val="24"/>
        </w:rPr>
        <w:t>rbitragem</w:t>
      </w:r>
      <w:r w:rsidR="005F1820" w:rsidRPr="005F1820">
        <w:rPr>
          <w:rFonts w:ascii="Times New Roman" w:hAnsi="Times New Roman" w:cs="Times New Roman"/>
          <w:i/>
          <w:iCs/>
          <w:sz w:val="24"/>
          <w:szCs w:val="24"/>
        </w:rPr>
        <w:t>.</w:t>
      </w:r>
      <w:r w:rsidR="005F1820">
        <w:rPr>
          <w:rFonts w:ascii="Times New Roman" w:hAnsi="Times New Roman" w:cs="Times New Roman"/>
          <w:sz w:val="24"/>
          <w:szCs w:val="24"/>
        </w:rPr>
        <w:t xml:space="preserve"> </w:t>
      </w:r>
      <w:r w:rsidR="00B823FF">
        <w:rPr>
          <w:rFonts w:ascii="Times New Roman" w:hAnsi="Times New Roman" w:cs="Times New Roman"/>
          <w:sz w:val="24"/>
          <w:szCs w:val="24"/>
        </w:rPr>
        <w:t xml:space="preserve">6. ed. </w:t>
      </w:r>
      <w:r w:rsidR="005F1820">
        <w:rPr>
          <w:rFonts w:ascii="Times New Roman" w:hAnsi="Times New Roman" w:cs="Times New Roman"/>
          <w:sz w:val="24"/>
          <w:szCs w:val="24"/>
        </w:rPr>
        <w:t>São Paulo: Revista dos Tribunais, 2017</w:t>
      </w:r>
      <w:r w:rsidR="00B823FF">
        <w:rPr>
          <w:rFonts w:ascii="Times New Roman" w:hAnsi="Times New Roman" w:cs="Times New Roman"/>
          <w:sz w:val="24"/>
          <w:szCs w:val="24"/>
        </w:rPr>
        <w:t xml:space="preserve">. </w:t>
      </w:r>
      <w:r w:rsidR="005F1820">
        <w:rPr>
          <w:rFonts w:ascii="Times New Roman" w:hAnsi="Times New Roman" w:cs="Times New Roman"/>
          <w:sz w:val="24"/>
          <w:szCs w:val="24"/>
        </w:rPr>
        <w:t>p. 437).</w:t>
      </w:r>
      <w:r w:rsidR="00B823FF">
        <w:rPr>
          <w:rFonts w:ascii="Times New Roman" w:hAnsi="Times New Roman" w:cs="Times New Roman"/>
          <w:sz w:val="24"/>
          <w:szCs w:val="24"/>
        </w:rPr>
        <w:t xml:space="preserve"> </w:t>
      </w:r>
      <w:r w:rsidR="00C201BE">
        <w:rPr>
          <w:rFonts w:ascii="Times New Roman" w:hAnsi="Times New Roman" w:cs="Times New Roman"/>
          <w:sz w:val="24"/>
          <w:szCs w:val="24"/>
        </w:rPr>
        <w:t xml:space="preserve"> </w:t>
      </w:r>
    </w:p>
    <w:p w:rsidR="005F1820" w:rsidRDefault="005F1820" w:rsidP="00295C84">
      <w:pPr>
        <w:spacing w:before="120" w:after="120" w:line="360" w:lineRule="auto"/>
        <w:ind w:firstLine="1701"/>
        <w:jc w:val="both"/>
        <w:rPr>
          <w:rFonts w:ascii="Times New Roman" w:hAnsi="Times New Roman" w:cs="Times New Roman"/>
          <w:sz w:val="24"/>
          <w:szCs w:val="24"/>
        </w:rPr>
      </w:pPr>
      <w:r>
        <w:rPr>
          <w:rFonts w:ascii="Times New Roman" w:hAnsi="Times New Roman" w:cs="Times New Roman"/>
          <w:sz w:val="24"/>
          <w:szCs w:val="24"/>
        </w:rPr>
        <w:t>Ainda no campo doutrinári</w:t>
      </w:r>
      <w:r w:rsidR="00692442">
        <w:rPr>
          <w:rFonts w:ascii="Times New Roman" w:hAnsi="Times New Roman" w:cs="Times New Roman"/>
          <w:sz w:val="24"/>
          <w:szCs w:val="24"/>
        </w:rPr>
        <w:t>o</w:t>
      </w:r>
      <w:r>
        <w:rPr>
          <w:rFonts w:ascii="Times New Roman" w:hAnsi="Times New Roman" w:cs="Times New Roman"/>
          <w:sz w:val="24"/>
          <w:szCs w:val="24"/>
        </w:rPr>
        <w:t>, s</w:t>
      </w:r>
      <w:r w:rsidR="00295C84" w:rsidRPr="00295C84">
        <w:rPr>
          <w:rFonts w:ascii="Times New Roman" w:hAnsi="Times New Roman" w:cs="Times New Roman"/>
          <w:sz w:val="24"/>
          <w:szCs w:val="24"/>
        </w:rPr>
        <w:t xml:space="preserve">uperando-se o debate que foi inaugurado na </w:t>
      </w:r>
      <w:r w:rsidR="00295C84" w:rsidRPr="005F1820">
        <w:rPr>
          <w:rFonts w:ascii="Times New Roman" w:hAnsi="Times New Roman" w:cs="Times New Roman"/>
          <w:i/>
          <w:iCs/>
          <w:sz w:val="24"/>
          <w:szCs w:val="24"/>
        </w:rPr>
        <w:t>I Jornada</w:t>
      </w:r>
      <w:r w:rsidR="00295C84" w:rsidRPr="00295C84">
        <w:rPr>
          <w:rFonts w:ascii="Times New Roman" w:hAnsi="Times New Roman" w:cs="Times New Roman"/>
          <w:sz w:val="24"/>
          <w:szCs w:val="24"/>
        </w:rPr>
        <w:t xml:space="preserve">, aprovou-se o Enunciado n. 96 na </w:t>
      </w:r>
      <w:r w:rsidR="00295C84" w:rsidRPr="005F1820">
        <w:rPr>
          <w:rFonts w:ascii="Times New Roman" w:hAnsi="Times New Roman" w:cs="Times New Roman"/>
          <w:i/>
          <w:iCs/>
          <w:sz w:val="24"/>
          <w:szCs w:val="24"/>
        </w:rPr>
        <w:t>II Jornada de Prevenção e Solução Extrajudicial de Litígios</w:t>
      </w:r>
      <w:r w:rsidR="00295C84" w:rsidRPr="00295C84">
        <w:rPr>
          <w:rFonts w:ascii="Times New Roman" w:hAnsi="Times New Roman" w:cs="Times New Roman"/>
          <w:sz w:val="24"/>
          <w:szCs w:val="24"/>
        </w:rPr>
        <w:t xml:space="preserve">, </w:t>
      </w:r>
      <w:r>
        <w:rPr>
          <w:rFonts w:ascii="Times New Roman" w:hAnsi="Times New Roman" w:cs="Times New Roman"/>
          <w:sz w:val="24"/>
          <w:szCs w:val="24"/>
        </w:rPr>
        <w:t xml:space="preserve">promovida pelo Conselho da Justiça Federal </w:t>
      </w:r>
      <w:r w:rsidR="00295C84" w:rsidRPr="00295C84">
        <w:rPr>
          <w:rFonts w:ascii="Times New Roman" w:hAnsi="Times New Roman" w:cs="Times New Roman"/>
          <w:sz w:val="24"/>
          <w:szCs w:val="24"/>
        </w:rPr>
        <w:t>em agosto de 2021</w:t>
      </w:r>
      <w:r>
        <w:rPr>
          <w:rFonts w:ascii="Times New Roman" w:hAnsi="Times New Roman" w:cs="Times New Roman"/>
          <w:sz w:val="24"/>
          <w:szCs w:val="24"/>
        </w:rPr>
        <w:t xml:space="preserve">. Consoante o seu teor, </w:t>
      </w:r>
      <w:r w:rsidR="00295C84" w:rsidRPr="00295C84">
        <w:rPr>
          <w:rFonts w:ascii="Times New Roman" w:hAnsi="Times New Roman" w:cs="Times New Roman"/>
          <w:sz w:val="24"/>
          <w:szCs w:val="24"/>
        </w:rPr>
        <w:t xml:space="preserve">é “válida a inserção da cláusula compromissória em pacto antenupcial e em contrato de união estável”. </w:t>
      </w:r>
      <w:r>
        <w:rPr>
          <w:rFonts w:ascii="Times New Roman" w:hAnsi="Times New Roman" w:cs="Times New Roman"/>
          <w:sz w:val="24"/>
          <w:szCs w:val="24"/>
        </w:rPr>
        <w:t xml:space="preserve">Como se percebe, a ementa doutrinária prevê a validade, nos termos do art. 104 do Código Civil, da cláusula compromissória incluída em acordo de vontades </w:t>
      </w:r>
      <w:r w:rsidR="00692442">
        <w:rPr>
          <w:rFonts w:ascii="Times New Roman" w:hAnsi="Times New Roman" w:cs="Times New Roman"/>
          <w:sz w:val="24"/>
          <w:szCs w:val="24"/>
        </w:rPr>
        <w:t xml:space="preserve">prévio </w:t>
      </w:r>
      <w:r>
        <w:rPr>
          <w:rFonts w:ascii="Times New Roman" w:hAnsi="Times New Roman" w:cs="Times New Roman"/>
          <w:sz w:val="24"/>
          <w:szCs w:val="24"/>
        </w:rPr>
        <w:t>entre cônjuges e companheiros, como exercício legítimo da autonomia privada.</w:t>
      </w:r>
      <w:r w:rsidR="00B823FF">
        <w:rPr>
          <w:rFonts w:ascii="Times New Roman" w:hAnsi="Times New Roman" w:cs="Times New Roman"/>
          <w:sz w:val="24"/>
          <w:szCs w:val="24"/>
        </w:rPr>
        <w:t xml:space="preserve"> </w:t>
      </w:r>
    </w:p>
    <w:p w:rsidR="005F1820" w:rsidRDefault="005F1820" w:rsidP="00295C84">
      <w:pPr>
        <w:spacing w:before="120" w:after="120" w:line="360" w:lineRule="auto"/>
        <w:ind w:firstLine="1701"/>
        <w:jc w:val="both"/>
        <w:rPr>
          <w:rFonts w:ascii="Times New Roman" w:hAnsi="Times New Roman" w:cs="Times New Roman"/>
          <w:sz w:val="24"/>
          <w:szCs w:val="24"/>
        </w:rPr>
      </w:pPr>
      <w:r>
        <w:rPr>
          <w:rFonts w:ascii="Times New Roman" w:hAnsi="Times New Roman" w:cs="Times New Roman"/>
          <w:sz w:val="24"/>
          <w:szCs w:val="24"/>
        </w:rPr>
        <w:t xml:space="preserve">Quando da plenária </w:t>
      </w:r>
      <w:r w:rsidR="008E513D">
        <w:rPr>
          <w:rFonts w:ascii="Times New Roman" w:hAnsi="Times New Roman" w:cs="Times New Roman"/>
          <w:sz w:val="24"/>
          <w:szCs w:val="24"/>
        </w:rPr>
        <w:t xml:space="preserve">final </w:t>
      </w:r>
      <w:r>
        <w:rPr>
          <w:rFonts w:ascii="Times New Roman" w:hAnsi="Times New Roman" w:cs="Times New Roman"/>
          <w:sz w:val="24"/>
          <w:szCs w:val="24"/>
        </w:rPr>
        <w:t xml:space="preserve">daquele evento, cheguei a propor à comissão de arbitragem – presidida pelo Professor Carlos Alberto Carmona </w:t>
      </w:r>
      <w:r w:rsidR="00B823FF">
        <w:rPr>
          <w:rFonts w:ascii="Times New Roman" w:hAnsi="Times New Roman" w:cs="Times New Roman"/>
          <w:sz w:val="24"/>
          <w:szCs w:val="24"/>
        </w:rPr>
        <w:t>−</w:t>
      </w:r>
      <w:r>
        <w:rPr>
          <w:rFonts w:ascii="Times New Roman" w:hAnsi="Times New Roman" w:cs="Times New Roman"/>
          <w:sz w:val="24"/>
          <w:szCs w:val="24"/>
        </w:rPr>
        <w:t xml:space="preserve"> um novo texto para a proposta, com a seguinte redação: “é</w:t>
      </w:r>
      <w:r w:rsidRPr="005F1820">
        <w:rPr>
          <w:rFonts w:ascii="Times New Roman" w:hAnsi="Times New Roman" w:cs="Times New Roman"/>
          <w:sz w:val="24"/>
          <w:szCs w:val="24"/>
        </w:rPr>
        <w:t xml:space="preserve"> possível a arbitragem que envolva questões estritamente patrimoniais de Direito de Família</w:t>
      </w:r>
      <w:r>
        <w:rPr>
          <w:rFonts w:ascii="Times New Roman" w:hAnsi="Times New Roman" w:cs="Times New Roman"/>
          <w:sz w:val="24"/>
          <w:szCs w:val="24"/>
        </w:rPr>
        <w:t>”</w:t>
      </w:r>
      <w:r w:rsidRPr="005F1820">
        <w:rPr>
          <w:rFonts w:ascii="Times New Roman" w:hAnsi="Times New Roman" w:cs="Times New Roman"/>
          <w:sz w:val="24"/>
          <w:szCs w:val="24"/>
        </w:rPr>
        <w:t>.</w:t>
      </w:r>
      <w:r>
        <w:rPr>
          <w:rFonts w:ascii="Times New Roman" w:hAnsi="Times New Roman" w:cs="Times New Roman"/>
          <w:sz w:val="24"/>
          <w:szCs w:val="24"/>
        </w:rPr>
        <w:t xml:space="preserve"> </w:t>
      </w:r>
      <w:r w:rsidR="008E513D">
        <w:rPr>
          <w:rFonts w:ascii="Times New Roman" w:hAnsi="Times New Roman" w:cs="Times New Roman"/>
          <w:sz w:val="24"/>
          <w:szCs w:val="24"/>
        </w:rPr>
        <w:t>A</w:t>
      </w:r>
      <w:r>
        <w:rPr>
          <w:rFonts w:ascii="Times New Roman" w:hAnsi="Times New Roman" w:cs="Times New Roman"/>
          <w:sz w:val="24"/>
          <w:szCs w:val="24"/>
        </w:rPr>
        <w:t xml:space="preserve"> sugestão</w:t>
      </w:r>
      <w:r w:rsidR="008E513D">
        <w:rPr>
          <w:rFonts w:ascii="Times New Roman" w:hAnsi="Times New Roman" w:cs="Times New Roman"/>
          <w:sz w:val="24"/>
          <w:szCs w:val="24"/>
        </w:rPr>
        <w:t xml:space="preserve">, porém, </w:t>
      </w:r>
      <w:r>
        <w:rPr>
          <w:rFonts w:ascii="Times New Roman" w:hAnsi="Times New Roman" w:cs="Times New Roman"/>
          <w:sz w:val="24"/>
          <w:szCs w:val="24"/>
        </w:rPr>
        <w:t>não foi acatada</w:t>
      </w:r>
      <w:r w:rsidR="00B823FF">
        <w:rPr>
          <w:rFonts w:ascii="Times New Roman" w:hAnsi="Times New Roman" w:cs="Times New Roman"/>
          <w:sz w:val="24"/>
          <w:szCs w:val="24"/>
        </w:rPr>
        <w:t>,</w:t>
      </w:r>
      <w:r>
        <w:rPr>
          <w:rFonts w:ascii="Times New Roman" w:hAnsi="Times New Roman" w:cs="Times New Roman"/>
          <w:sz w:val="24"/>
          <w:szCs w:val="24"/>
        </w:rPr>
        <w:t xml:space="preserve"> e, após intensos debates, aprovou-se</w:t>
      </w:r>
      <w:r w:rsidR="00692442">
        <w:rPr>
          <w:rFonts w:ascii="Times New Roman" w:hAnsi="Times New Roman" w:cs="Times New Roman"/>
          <w:sz w:val="24"/>
          <w:szCs w:val="24"/>
        </w:rPr>
        <w:t xml:space="preserve"> com pequena margem</w:t>
      </w:r>
      <w:r>
        <w:rPr>
          <w:rFonts w:ascii="Times New Roman" w:hAnsi="Times New Roman" w:cs="Times New Roman"/>
          <w:sz w:val="24"/>
          <w:szCs w:val="24"/>
        </w:rPr>
        <w:t xml:space="preserve"> o enunciado na dicção antes apontada</w:t>
      </w:r>
      <w:r w:rsidR="00692442">
        <w:rPr>
          <w:rFonts w:ascii="Times New Roman" w:hAnsi="Times New Roman" w:cs="Times New Roman"/>
          <w:sz w:val="24"/>
          <w:szCs w:val="24"/>
        </w:rPr>
        <w:t>.</w:t>
      </w:r>
      <w:r>
        <w:rPr>
          <w:rFonts w:ascii="Times New Roman" w:hAnsi="Times New Roman" w:cs="Times New Roman"/>
          <w:sz w:val="24"/>
          <w:szCs w:val="24"/>
        </w:rPr>
        <w:t xml:space="preserve"> </w:t>
      </w:r>
    </w:p>
    <w:p w:rsidR="005F1820" w:rsidRDefault="005F1820" w:rsidP="00295C84">
      <w:pPr>
        <w:spacing w:before="120" w:after="120" w:line="360" w:lineRule="auto"/>
        <w:ind w:firstLine="1701"/>
        <w:jc w:val="both"/>
        <w:rPr>
          <w:rFonts w:ascii="Times New Roman" w:hAnsi="Times New Roman" w:cs="Times New Roman"/>
          <w:sz w:val="24"/>
          <w:szCs w:val="24"/>
        </w:rPr>
      </w:pPr>
      <w:r>
        <w:rPr>
          <w:rFonts w:ascii="Times New Roman" w:hAnsi="Times New Roman" w:cs="Times New Roman"/>
          <w:sz w:val="24"/>
          <w:szCs w:val="24"/>
        </w:rPr>
        <w:t xml:space="preserve">Pois bem, este breve artigo </w:t>
      </w:r>
      <w:r w:rsidR="00B823FF">
        <w:rPr>
          <w:rFonts w:ascii="Times New Roman" w:hAnsi="Times New Roman" w:cs="Times New Roman"/>
          <w:sz w:val="24"/>
          <w:szCs w:val="24"/>
        </w:rPr>
        <w:t xml:space="preserve">visa </w:t>
      </w:r>
      <w:r w:rsidR="004244C0">
        <w:rPr>
          <w:rFonts w:ascii="Times New Roman" w:hAnsi="Times New Roman" w:cs="Times New Roman"/>
          <w:sz w:val="24"/>
          <w:szCs w:val="24"/>
        </w:rPr>
        <w:t xml:space="preserve">a </w:t>
      </w:r>
      <w:r>
        <w:rPr>
          <w:rFonts w:ascii="Times New Roman" w:hAnsi="Times New Roman" w:cs="Times New Roman"/>
          <w:sz w:val="24"/>
          <w:szCs w:val="24"/>
        </w:rPr>
        <w:t xml:space="preserve">trazer algumas questões de debate a respeito do tema, e que ainda servem como argumento para as minhas resistências </w:t>
      </w:r>
      <w:r w:rsidR="00692442">
        <w:rPr>
          <w:rFonts w:ascii="Times New Roman" w:hAnsi="Times New Roman" w:cs="Times New Roman"/>
          <w:sz w:val="24"/>
          <w:szCs w:val="24"/>
        </w:rPr>
        <w:t xml:space="preserve">ou ressalvas </w:t>
      </w:r>
      <w:r>
        <w:rPr>
          <w:rFonts w:ascii="Times New Roman" w:hAnsi="Times New Roman" w:cs="Times New Roman"/>
          <w:sz w:val="24"/>
          <w:szCs w:val="24"/>
        </w:rPr>
        <w:t xml:space="preserve">quanto à arbitragem no Direito de Família. </w:t>
      </w:r>
    </w:p>
    <w:p w:rsidR="008E513D" w:rsidRDefault="005F1820" w:rsidP="00295C84">
      <w:pPr>
        <w:spacing w:before="120" w:after="120" w:line="360" w:lineRule="auto"/>
        <w:ind w:firstLine="1701"/>
        <w:jc w:val="both"/>
        <w:rPr>
          <w:rFonts w:ascii="Times New Roman" w:hAnsi="Times New Roman" w:cs="Times New Roman"/>
          <w:sz w:val="24"/>
          <w:szCs w:val="24"/>
        </w:rPr>
      </w:pPr>
      <w:r>
        <w:rPr>
          <w:rFonts w:ascii="Times New Roman" w:hAnsi="Times New Roman" w:cs="Times New Roman"/>
          <w:sz w:val="24"/>
          <w:szCs w:val="24"/>
        </w:rPr>
        <w:t xml:space="preserve">A </w:t>
      </w:r>
      <w:r w:rsidRPr="0027678B">
        <w:rPr>
          <w:rFonts w:ascii="Times New Roman" w:hAnsi="Times New Roman" w:cs="Times New Roman"/>
          <w:i/>
          <w:iCs/>
          <w:sz w:val="24"/>
          <w:szCs w:val="24"/>
        </w:rPr>
        <w:t>primeira delas</w:t>
      </w:r>
      <w:r>
        <w:rPr>
          <w:rFonts w:ascii="Times New Roman" w:hAnsi="Times New Roman" w:cs="Times New Roman"/>
          <w:sz w:val="24"/>
          <w:szCs w:val="24"/>
        </w:rPr>
        <w:t xml:space="preserve"> diz respeito ao</w:t>
      </w:r>
      <w:r w:rsidR="00295C84" w:rsidRPr="00295C84">
        <w:rPr>
          <w:rFonts w:ascii="Times New Roman" w:hAnsi="Times New Roman" w:cs="Times New Roman"/>
          <w:sz w:val="24"/>
          <w:szCs w:val="24"/>
        </w:rPr>
        <w:t xml:space="preserve"> fato de ser difícil a separação absoluta de interesses puramente patrimoniais nas disputas de família</w:t>
      </w:r>
      <w:r>
        <w:rPr>
          <w:rFonts w:ascii="Times New Roman" w:hAnsi="Times New Roman" w:cs="Times New Roman"/>
          <w:sz w:val="24"/>
          <w:szCs w:val="24"/>
        </w:rPr>
        <w:t>. Como está previsto no art.</w:t>
      </w:r>
      <w:r w:rsidR="004F108D" w:rsidRPr="004F108D">
        <w:rPr>
          <w:rFonts w:ascii="Times New Roman" w:hAnsi="Times New Roman" w:cs="Times New Roman"/>
          <w:sz w:val="24"/>
          <w:szCs w:val="24"/>
        </w:rPr>
        <w:t xml:space="preserve"> 852</w:t>
      </w:r>
      <w:r w:rsidR="004F108D">
        <w:rPr>
          <w:rFonts w:ascii="Times New Roman" w:hAnsi="Times New Roman" w:cs="Times New Roman"/>
          <w:sz w:val="24"/>
          <w:szCs w:val="24"/>
        </w:rPr>
        <w:t xml:space="preserve"> do Código Civil, é</w:t>
      </w:r>
      <w:r w:rsidR="004F108D" w:rsidRPr="004F108D">
        <w:rPr>
          <w:rFonts w:ascii="Times New Roman" w:hAnsi="Times New Roman" w:cs="Times New Roman"/>
          <w:sz w:val="24"/>
          <w:szCs w:val="24"/>
        </w:rPr>
        <w:t xml:space="preserve"> vedado </w:t>
      </w:r>
      <w:r w:rsidR="004F108D">
        <w:rPr>
          <w:rFonts w:ascii="Times New Roman" w:hAnsi="Times New Roman" w:cs="Times New Roman"/>
          <w:sz w:val="24"/>
          <w:szCs w:val="24"/>
        </w:rPr>
        <w:t xml:space="preserve">o </w:t>
      </w:r>
      <w:r w:rsidR="004F108D" w:rsidRPr="004F108D">
        <w:rPr>
          <w:rFonts w:ascii="Times New Roman" w:hAnsi="Times New Roman" w:cs="Times New Roman"/>
          <w:sz w:val="24"/>
          <w:szCs w:val="24"/>
        </w:rPr>
        <w:t xml:space="preserve">compromisso </w:t>
      </w:r>
      <w:r w:rsidR="004F108D">
        <w:rPr>
          <w:rFonts w:ascii="Times New Roman" w:hAnsi="Times New Roman" w:cs="Times New Roman"/>
          <w:sz w:val="24"/>
          <w:szCs w:val="24"/>
        </w:rPr>
        <w:t xml:space="preserve">arbitral – seja judicial ou extrajudicial </w:t>
      </w:r>
      <w:r w:rsidR="00B823FF">
        <w:rPr>
          <w:rFonts w:ascii="Times New Roman" w:hAnsi="Times New Roman" w:cs="Times New Roman"/>
          <w:sz w:val="24"/>
          <w:szCs w:val="24"/>
        </w:rPr>
        <w:t>−</w:t>
      </w:r>
      <w:r w:rsidR="004F108D">
        <w:rPr>
          <w:rFonts w:ascii="Times New Roman" w:hAnsi="Times New Roman" w:cs="Times New Roman"/>
          <w:sz w:val="24"/>
          <w:szCs w:val="24"/>
        </w:rPr>
        <w:t xml:space="preserve"> </w:t>
      </w:r>
      <w:r w:rsidR="004F108D" w:rsidRPr="004F108D">
        <w:rPr>
          <w:rFonts w:ascii="Times New Roman" w:hAnsi="Times New Roman" w:cs="Times New Roman"/>
          <w:sz w:val="24"/>
          <w:szCs w:val="24"/>
        </w:rPr>
        <w:t>para solução de questões de estado, de direito pessoal de família e de outras que não tenham caráter estritamente patrimonial</w:t>
      </w:r>
      <w:r w:rsidR="004F108D">
        <w:rPr>
          <w:rFonts w:ascii="Times New Roman" w:hAnsi="Times New Roman" w:cs="Times New Roman"/>
          <w:sz w:val="24"/>
          <w:szCs w:val="24"/>
        </w:rPr>
        <w:t>. Além disso, o art. 1º da Lei de Arbitragem (Lei n. 9.307/1996) prevê que a</w:t>
      </w:r>
      <w:r w:rsidR="004F108D" w:rsidRPr="004F108D">
        <w:rPr>
          <w:rFonts w:ascii="Times New Roman" w:hAnsi="Times New Roman" w:cs="Times New Roman"/>
          <w:sz w:val="24"/>
          <w:szCs w:val="24"/>
        </w:rPr>
        <w:t>s pessoas capazes de contratar poderão valer-se da arbitragem para dirimir litígios relativos a direitos patrimoniais disponíveis.</w:t>
      </w:r>
      <w:r w:rsidR="004F108D">
        <w:rPr>
          <w:rFonts w:ascii="Times New Roman" w:hAnsi="Times New Roman" w:cs="Times New Roman"/>
          <w:sz w:val="24"/>
          <w:szCs w:val="24"/>
        </w:rPr>
        <w:t xml:space="preserve"> </w:t>
      </w:r>
    </w:p>
    <w:p w:rsidR="005F1820" w:rsidRDefault="004F108D" w:rsidP="00295C84">
      <w:pPr>
        <w:spacing w:before="120" w:after="120" w:line="360" w:lineRule="auto"/>
        <w:ind w:firstLine="1701"/>
        <w:jc w:val="both"/>
        <w:rPr>
          <w:rFonts w:ascii="Times New Roman" w:hAnsi="Times New Roman" w:cs="Times New Roman"/>
          <w:sz w:val="24"/>
          <w:szCs w:val="24"/>
        </w:rPr>
      </w:pPr>
      <w:r>
        <w:rPr>
          <w:rFonts w:ascii="Times New Roman" w:hAnsi="Times New Roman" w:cs="Times New Roman"/>
          <w:sz w:val="24"/>
          <w:szCs w:val="24"/>
        </w:rPr>
        <w:t xml:space="preserve">Não se pode negar que as questões relativas à partilha de bens entre cônjuges envolvem direitos de cunho patrimonial que podem ser objeto de disposição ou alienação. Mas o que dizer de disputas que envolvem </w:t>
      </w:r>
      <w:r w:rsidR="008E513D">
        <w:rPr>
          <w:rFonts w:ascii="Times New Roman" w:hAnsi="Times New Roman" w:cs="Times New Roman"/>
          <w:sz w:val="24"/>
          <w:szCs w:val="24"/>
        </w:rPr>
        <w:t xml:space="preserve">bens </w:t>
      </w:r>
      <w:r>
        <w:rPr>
          <w:rFonts w:ascii="Times New Roman" w:hAnsi="Times New Roman" w:cs="Times New Roman"/>
          <w:sz w:val="24"/>
          <w:szCs w:val="24"/>
        </w:rPr>
        <w:t xml:space="preserve">sobre </w:t>
      </w:r>
      <w:r w:rsidR="00B823FF">
        <w:rPr>
          <w:rFonts w:ascii="Times New Roman" w:hAnsi="Times New Roman" w:cs="Times New Roman"/>
          <w:sz w:val="24"/>
          <w:szCs w:val="24"/>
        </w:rPr>
        <w:t xml:space="preserve">os </w:t>
      </w:r>
      <w:r>
        <w:rPr>
          <w:rFonts w:ascii="Times New Roman" w:hAnsi="Times New Roman" w:cs="Times New Roman"/>
          <w:sz w:val="24"/>
          <w:szCs w:val="24"/>
        </w:rPr>
        <w:t xml:space="preserve">quais existe certo </w:t>
      </w:r>
      <w:r w:rsidRPr="008E513D">
        <w:rPr>
          <w:rFonts w:ascii="Times New Roman" w:hAnsi="Times New Roman" w:cs="Times New Roman"/>
          <w:i/>
          <w:iCs/>
          <w:sz w:val="24"/>
          <w:szCs w:val="24"/>
        </w:rPr>
        <w:t>apego afetivo</w:t>
      </w:r>
      <w:r>
        <w:rPr>
          <w:rFonts w:ascii="Times New Roman" w:hAnsi="Times New Roman" w:cs="Times New Roman"/>
          <w:sz w:val="24"/>
          <w:szCs w:val="24"/>
        </w:rPr>
        <w:t xml:space="preserve">, caso de quadros, livros, obras de arte, veículos, peças de roupas e mesmo </w:t>
      </w:r>
      <w:r>
        <w:rPr>
          <w:rFonts w:ascii="Times New Roman" w:hAnsi="Times New Roman" w:cs="Times New Roman"/>
          <w:sz w:val="24"/>
          <w:szCs w:val="24"/>
        </w:rPr>
        <w:lastRenderedPageBreak/>
        <w:t xml:space="preserve">imóveis? E as hipóteses envolvendo os animais, que caminham para um tratamento </w:t>
      </w:r>
      <w:r w:rsidR="008E513D">
        <w:rPr>
          <w:rFonts w:ascii="Times New Roman" w:hAnsi="Times New Roman" w:cs="Times New Roman"/>
          <w:sz w:val="24"/>
          <w:szCs w:val="24"/>
        </w:rPr>
        <w:t>legal</w:t>
      </w:r>
      <w:r>
        <w:rPr>
          <w:rFonts w:ascii="Times New Roman" w:hAnsi="Times New Roman" w:cs="Times New Roman"/>
          <w:sz w:val="24"/>
          <w:szCs w:val="24"/>
        </w:rPr>
        <w:t xml:space="preserve"> em separado dos bens e das coisas? Nessas disputas, aspectos subjetivos</w:t>
      </w:r>
      <w:r w:rsidR="008E513D">
        <w:rPr>
          <w:rFonts w:ascii="Times New Roman" w:hAnsi="Times New Roman" w:cs="Times New Roman"/>
          <w:sz w:val="24"/>
          <w:szCs w:val="24"/>
        </w:rPr>
        <w:t xml:space="preserve"> e extrapatrimoniais</w:t>
      </w:r>
      <w:r>
        <w:rPr>
          <w:rFonts w:ascii="Times New Roman" w:hAnsi="Times New Roman" w:cs="Times New Roman"/>
          <w:sz w:val="24"/>
          <w:szCs w:val="24"/>
        </w:rPr>
        <w:t xml:space="preserve">, por vezes, </w:t>
      </w:r>
      <w:r w:rsidR="00B823FF">
        <w:rPr>
          <w:rFonts w:ascii="Times New Roman" w:hAnsi="Times New Roman" w:cs="Times New Roman"/>
          <w:sz w:val="24"/>
          <w:szCs w:val="24"/>
        </w:rPr>
        <w:t xml:space="preserve">entram </w:t>
      </w:r>
      <w:r>
        <w:rPr>
          <w:rFonts w:ascii="Times New Roman" w:hAnsi="Times New Roman" w:cs="Times New Roman"/>
          <w:sz w:val="24"/>
          <w:szCs w:val="24"/>
        </w:rPr>
        <w:t xml:space="preserve">em cena, a retirar a patrimonialidade pura </w:t>
      </w:r>
      <w:r w:rsidR="008E513D">
        <w:rPr>
          <w:rFonts w:ascii="Times New Roman" w:hAnsi="Times New Roman" w:cs="Times New Roman"/>
          <w:sz w:val="24"/>
          <w:szCs w:val="24"/>
        </w:rPr>
        <w:t xml:space="preserve">ou a </w:t>
      </w:r>
      <w:r w:rsidR="008E513D" w:rsidRPr="008E513D">
        <w:rPr>
          <w:rFonts w:ascii="Times New Roman" w:hAnsi="Times New Roman" w:cs="Times New Roman"/>
          <w:i/>
          <w:iCs/>
          <w:sz w:val="24"/>
          <w:szCs w:val="24"/>
        </w:rPr>
        <w:t>neutralidade patrimonial</w:t>
      </w:r>
      <w:r w:rsidR="008E513D">
        <w:rPr>
          <w:rFonts w:ascii="Times New Roman" w:hAnsi="Times New Roman" w:cs="Times New Roman"/>
          <w:sz w:val="24"/>
          <w:szCs w:val="24"/>
        </w:rPr>
        <w:t xml:space="preserve"> e objetiva </w:t>
      </w:r>
      <w:r>
        <w:rPr>
          <w:rFonts w:ascii="Times New Roman" w:hAnsi="Times New Roman" w:cs="Times New Roman"/>
          <w:sz w:val="24"/>
          <w:szCs w:val="24"/>
        </w:rPr>
        <w:t xml:space="preserve">das disputas. </w:t>
      </w:r>
    </w:p>
    <w:p w:rsidR="004F108D" w:rsidRDefault="0027678B" w:rsidP="00295C84">
      <w:pPr>
        <w:spacing w:before="120" w:after="120" w:line="360" w:lineRule="auto"/>
        <w:ind w:firstLine="1701"/>
        <w:jc w:val="both"/>
        <w:rPr>
          <w:rFonts w:ascii="Times New Roman" w:hAnsi="Times New Roman" w:cs="Times New Roman"/>
          <w:sz w:val="24"/>
          <w:szCs w:val="24"/>
        </w:rPr>
      </w:pPr>
      <w:r>
        <w:rPr>
          <w:rFonts w:ascii="Times New Roman" w:hAnsi="Times New Roman" w:cs="Times New Roman"/>
          <w:sz w:val="24"/>
          <w:szCs w:val="24"/>
        </w:rPr>
        <w:t xml:space="preserve">A </w:t>
      </w:r>
      <w:r w:rsidRPr="0027678B">
        <w:rPr>
          <w:rFonts w:ascii="Times New Roman" w:hAnsi="Times New Roman" w:cs="Times New Roman"/>
          <w:i/>
          <w:iCs/>
          <w:sz w:val="24"/>
          <w:szCs w:val="24"/>
        </w:rPr>
        <w:t xml:space="preserve">segunda </w:t>
      </w:r>
      <w:r w:rsidR="00692442">
        <w:rPr>
          <w:rFonts w:ascii="Times New Roman" w:hAnsi="Times New Roman" w:cs="Times New Roman"/>
          <w:i/>
          <w:iCs/>
          <w:sz w:val="24"/>
          <w:szCs w:val="24"/>
        </w:rPr>
        <w:t>ressalva</w:t>
      </w:r>
      <w:r>
        <w:rPr>
          <w:rFonts w:ascii="Times New Roman" w:hAnsi="Times New Roman" w:cs="Times New Roman"/>
          <w:sz w:val="24"/>
          <w:szCs w:val="24"/>
        </w:rPr>
        <w:t xml:space="preserve"> </w:t>
      </w:r>
      <w:r w:rsidR="008E513D">
        <w:rPr>
          <w:rFonts w:ascii="Times New Roman" w:hAnsi="Times New Roman" w:cs="Times New Roman"/>
          <w:sz w:val="24"/>
          <w:szCs w:val="24"/>
        </w:rPr>
        <w:t>está relacionada</w:t>
      </w:r>
      <w:r>
        <w:rPr>
          <w:rFonts w:ascii="Times New Roman" w:hAnsi="Times New Roman" w:cs="Times New Roman"/>
          <w:sz w:val="24"/>
          <w:szCs w:val="24"/>
        </w:rPr>
        <w:t xml:space="preserve"> ao modo como foi pactuada a cláusula compromissória, sabendo-se que, em muitas situações concretas, haverá sua imposição por um dos cônjuges ou companheiros, notadamente em casos de discrepância econômica</w:t>
      </w:r>
      <w:r w:rsidR="008E513D">
        <w:rPr>
          <w:rFonts w:ascii="Times New Roman" w:hAnsi="Times New Roman" w:cs="Times New Roman"/>
          <w:sz w:val="24"/>
          <w:szCs w:val="24"/>
        </w:rPr>
        <w:t xml:space="preserve"> entre eles</w:t>
      </w:r>
      <w:r>
        <w:rPr>
          <w:rFonts w:ascii="Times New Roman" w:hAnsi="Times New Roman" w:cs="Times New Roman"/>
          <w:sz w:val="24"/>
          <w:szCs w:val="24"/>
        </w:rPr>
        <w:t>. Nesse contexto, o próprio contrato ou negócio jurídico firmado poderá ter o conteúdo imposto por uma das partes</w:t>
      </w:r>
      <w:r w:rsidR="00B823FF">
        <w:rPr>
          <w:rFonts w:ascii="Times New Roman" w:hAnsi="Times New Roman" w:cs="Times New Roman"/>
          <w:sz w:val="24"/>
          <w:szCs w:val="24"/>
        </w:rPr>
        <w:t>,</w:t>
      </w:r>
      <w:r>
        <w:rPr>
          <w:rFonts w:ascii="Times New Roman" w:hAnsi="Times New Roman" w:cs="Times New Roman"/>
          <w:sz w:val="24"/>
          <w:szCs w:val="24"/>
        </w:rPr>
        <w:t xml:space="preserve"> caracterizando-se como um contrato de adesão. Lembro</w:t>
      </w:r>
      <w:r w:rsidR="008E513D">
        <w:rPr>
          <w:rFonts w:ascii="Times New Roman" w:hAnsi="Times New Roman" w:cs="Times New Roman"/>
          <w:sz w:val="24"/>
          <w:szCs w:val="24"/>
        </w:rPr>
        <w:t xml:space="preserve">, a propósito de uma necessária diferenciação categórica, </w:t>
      </w:r>
      <w:r>
        <w:rPr>
          <w:rFonts w:ascii="Times New Roman" w:hAnsi="Times New Roman" w:cs="Times New Roman"/>
          <w:sz w:val="24"/>
          <w:szCs w:val="24"/>
        </w:rPr>
        <w:t xml:space="preserve">que o contrato de adesão não necessariamente é um contrato de consumo, como se retira do Enunciado n. 171, aprovado na </w:t>
      </w:r>
      <w:r w:rsidRPr="0027678B">
        <w:rPr>
          <w:rFonts w:ascii="Times New Roman" w:hAnsi="Times New Roman" w:cs="Times New Roman"/>
          <w:i/>
          <w:iCs/>
          <w:sz w:val="24"/>
          <w:szCs w:val="24"/>
        </w:rPr>
        <w:t>III Jornada de Direito Civil</w:t>
      </w:r>
      <w:r w:rsidR="008E513D">
        <w:rPr>
          <w:rFonts w:ascii="Times New Roman" w:hAnsi="Times New Roman" w:cs="Times New Roman"/>
          <w:sz w:val="24"/>
          <w:szCs w:val="24"/>
        </w:rPr>
        <w:t xml:space="preserve">. A primeira categoria pode ser definida </w:t>
      </w:r>
      <w:r>
        <w:rPr>
          <w:rFonts w:ascii="Times New Roman" w:hAnsi="Times New Roman" w:cs="Times New Roman"/>
          <w:sz w:val="24"/>
          <w:szCs w:val="24"/>
        </w:rPr>
        <w:t xml:space="preserve">como </w:t>
      </w:r>
      <w:r w:rsidR="008E513D">
        <w:rPr>
          <w:rFonts w:ascii="Times New Roman" w:hAnsi="Times New Roman" w:cs="Times New Roman"/>
          <w:sz w:val="24"/>
          <w:szCs w:val="24"/>
        </w:rPr>
        <w:t xml:space="preserve">o contrato em </w:t>
      </w:r>
      <w:r>
        <w:rPr>
          <w:rFonts w:ascii="Times New Roman" w:hAnsi="Times New Roman" w:cs="Times New Roman"/>
          <w:sz w:val="24"/>
          <w:szCs w:val="24"/>
        </w:rPr>
        <w:t xml:space="preserve">que alguém, o </w:t>
      </w:r>
      <w:r w:rsidRPr="008E513D">
        <w:rPr>
          <w:rFonts w:ascii="Times New Roman" w:hAnsi="Times New Roman" w:cs="Times New Roman"/>
          <w:i/>
          <w:iCs/>
          <w:sz w:val="24"/>
          <w:szCs w:val="24"/>
        </w:rPr>
        <w:t>estipulante</w:t>
      </w:r>
      <w:r>
        <w:rPr>
          <w:rFonts w:ascii="Times New Roman" w:hAnsi="Times New Roman" w:cs="Times New Roman"/>
          <w:sz w:val="24"/>
          <w:szCs w:val="24"/>
        </w:rPr>
        <w:t xml:space="preserve">, impõe o conteúdo do negócio, restando à outra parte, o </w:t>
      </w:r>
      <w:r w:rsidRPr="008E513D">
        <w:rPr>
          <w:rFonts w:ascii="Times New Roman" w:hAnsi="Times New Roman" w:cs="Times New Roman"/>
          <w:i/>
          <w:iCs/>
          <w:sz w:val="24"/>
          <w:szCs w:val="24"/>
        </w:rPr>
        <w:t>aderente</w:t>
      </w:r>
      <w:r>
        <w:rPr>
          <w:rFonts w:ascii="Times New Roman" w:hAnsi="Times New Roman" w:cs="Times New Roman"/>
          <w:sz w:val="24"/>
          <w:szCs w:val="24"/>
        </w:rPr>
        <w:t>, duas opções</w:t>
      </w:r>
      <w:r w:rsidR="008E513D">
        <w:rPr>
          <w:rFonts w:ascii="Times New Roman" w:hAnsi="Times New Roman" w:cs="Times New Roman"/>
          <w:sz w:val="24"/>
          <w:szCs w:val="24"/>
        </w:rPr>
        <w:t xml:space="preserve">: </w:t>
      </w:r>
      <w:r>
        <w:rPr>
          <w:rFonts w:ascii="Times New Roman" w:hAnsi="Times New Roman" w:cs="Times New Roman"/>
          <w:sz w:val="24"/>
          <w:szCs w:val="24"/>
        </w:rPr>
        <w:t xml:space="preserve">aceitar ou não. Ora, é perfeitamente possível que tal situação se revele em pacto antenupcial ou contrato de convivência, podendo atingir todo </w:t>
      </w:r>
      <w:r w:rsidR="00B823FF">
        <w:rPr>
          <w:rFonts w:ascii="Times New Roman" w:hAnsi="Times New Roman" w:cs="Times New Roman"/>
          <w:sz w:val="24"/>
          <w:szCs w:val="24"/>
        </w:rPr>
        <w:t xml:space="preserve">o </w:t>
      </w:r>
      <w:r>
        <w:rPr>
          <w:rFonts w:ascii="Times New Roman" w:hAnsi="Times New Roman" w:cs="Times New Roman"/>
          <w:sz w:val="24"/>
          <w:szCs w:val="24"/>
        </w:rPr>
        <w:t>seu conteúdo ou determinadas cláusulas.</w:t>
      </w:r>
      <w:r w:rsidR="00B823FF">
        <w:rPr>
          <w:rFonts w:ascii="Times New Roman" w:hAnsi="Times New Roman" w:cs="Times New Roman"/>
          <w:sz w:val="24"/>
          <w:szCs w:val="24"/>
        </w:rPr>
        <w:t xml:space="preserve"> </w:t>
      </w:r>
    </w:p>
    <w:p w:rsidR="008E513D" w:rsidRDefault="0027678B" w:rsidP="007E6471">
      <w:pPr>
        <w:spacing w:before="120" w:after="120" w:line="360" w:lineRule="auto"/>
        <w:ind w:firstLine="1701"/>
        <w:jc w:val="both"/>
        <w:rPr>
          <w:rFonts w:ascii="Times New Roman" w:hAnsi="Times New Roman" w:cs="Times New Roman"/>
          <w:sz w:val="24"/>
          <w:szCs w:val="24"/>
        </w:rPr>
      </w:pPr>
      <w:r>
        <w:rPr>
          <w:rFonts w:ascii="Times New Roman" w:hAnsi="Times New Roman" w:cs="Times New Roman"/>
          <w:sz w:val="24"/>
          <w:szCs w:val="24"/>
        </w:rPr>
        <w:t>Revelando-se tal situação, é necessário observar, quanto à cláusula compromissóri</w:t>
      </w:r>
      <w:r w:rsidR="008E513D">
        <w:rPr>
          <w:rFonts w:ascii="Times New Roman" w:hAnsi="Times New Roman" w:cs="Times New Roman"/>
          <w:sz w:val="24"/>
          <w:szCs w:val="24"/>
        </w:rPr>
        <w:t>a</w:t>
      </w:r>
      <w:r w:rsidR="00B823FF">
        <w:rPr>
          <w:rFonts w:ascii="Times New Roman" w:hAnsi="Times New Roman" w:cs="Times New Roman"/>
          <w:sz w:val="24"/>
          <w:szCs w:val="24"/>
        </w:rPr>
        <w:t>,</w:t>
      </w:r>
      <w:r>
        <w:rPr>
          <w:rFonts w:ascii="Times New Roman" w:hAnsi="Times New Roman" w:cs="Times New Roman"/>
          <w:sz w:val="24"/>
          <w:szCs w:val="24"/>
        </w:rPr>
        <w:t xml:space="preserve"> o que está previsto no art. 4º da Lei de Arbitragem. Nos termos do seu </w:t>
      </w:r>
      <w:r w:rsidRPr="0027678B">
        <w:rPr>
          <w:rFonts w:ascii="Times New Roman" w:hAnsi="Times New Roman" w:cs="Times New Roman"/>
          <w:i/>
          <w:iCs/>
          <w:sz w:val="24"/>
          <w:szCs w:val="24"/>
        </w:rPr>
        <w:t>caput,</w:t>
      </w:r>
      <w:r>
        <w:rPr>
          <w:rFonts w:ascii="Times New Roman" w:hAnsi="Times New Roman" w:cs="Times New Roman"/>
          <w:sz w:val="24"/>
          <w:szCs w:val="24"/>
        </w:rPr>
        <w:t xml:space="preserve"> </w:t>
      </w:r>
      <w:r w:rsidR="007E6471">
        <w:rPr>
          <w:rFonts w:ascii="Times New Roman" w:hAnsi="Times New Roman" w:cs="Times New Roman"/>
          <w:sz w:val="24"/>
          <w:szCs w:val="24"/>
        </w:rPr>
        <w:t>a</w:t>
      </w:r>
      <w:r w:rsidR="007E6471" w:rsidRPr="007E6471">
        <w:rPr>
          <w:rFonts w:ascii="Times New Roman" w:hAnsi="Times New Roman" w:cs="Times New Roman"/>
          <w:sz w:val="24"/>
          <w:szCs w:val="24"/>
        </w:rPr>
        <w:t xml:space="preserve"> cláusula compromissória é a convenção </w:t>
      </w:r>
      <w:r w:rsidR="00B823FF">
        <w:rPr>
          <w:rFonts w:ascii="Times New Roman" w:hAnsi="Times New Roman" w:cs="Times New Roman"/>
          <w:sz w:val="24"/>
          <w:szCs w:val="24"/>
        </w:rPr>
        <w:t>por meio</w:t>
      </w:r>
      <w:r w:rsidR="00B823FF" w:rsidRPr="007E6471">
        <w:rPr>
          <w:rFonts w:ascii="Times New Roman" w:hAnsi="Times New Roman" w:cs="Times New Roman"/>
          <w:sz w:val="24"/>
          <w:szCs w:val="24"/>
        </w:rPr>
        <w:t xml:space="preserve"> </w:t>
      </w:r>
      <w:r w:rsidR="007E6471" w:rsidRPr="007E6471">
        <w:rPr>
          <w:rFonts w:ascii="Times New Roman" w:hAnsi="Times New Roman" w:cs="Times New Roman"/>
          <w:sz w:val="24"/>
          <w:szCs w:val="24"/>
        </w:rPr>
        <w:t>da qual as partes em um contrato comprometem-se a submeter à arbitragem os litígios que possam vir a surgir relativamente a tal contrato.</w:t>
      </w:r>
      <w:r w:rsidR="007E6471">
        <w:rPr>
          <w:rFonts w:ascii="Times New Roman" w:hAnsi="Times New Roman" w:cs="Times New Roman"/>
          <w:sz w:val="24"/>
          <w:szCs w:val="24"/>
        </w:rPr>
        <w:t xml:space="preserve"> Como é notório, trata-se de uma previsão prévia que obriga as partes, que renunciam à jurisdição estatal e passam a se vincular, necessariamente, à jurisdição estatal, </w:t>
      </w:r>
      <w:r w:rsidR="008E513D">
        <w:rPr>
          <w:rFonts w:ascii="Times New Roman" w:hAnsi="Times New Roman" w:cs="Times New Roman"/>
          <w:sz w:val="24"/>
          <w:szCs w:val="24"/>
        </w:rPr>
        <w:t>nas hipóteses de litígios</w:t>
      </w:r>
      <w:r w:rsidR="007E6471">
        <w:rPr>
          <w:rFonts w:ascii="Times New Roman" w:hAnsi="Times New Roman" w:cs="Times New Roman"/>
          <w:sz w:val="24"/>
          <w:szCs w:val="24"/>
        </w:rPr>
        <w:t xml:space="preserve"> futuros. </w:t>
      </w:r>
    </w:p>
    <w:p w:rsidR="004F108D" w:rsidRPr="00295C84" w:rsidRDefault="007E6471" w:rsidP="004F108D">
      <w:pPr>
        <w:spacing w:before="120" w:after="120" w:line="360" w:lineRule="auto"/>
        <w:ind w:firstLine="1701"/>
        <w:jc w:val="both"/>
        <w:rPr>
          <w:rFonts w:ascii="Times New Roman" w:hAnsi="Times New Roman" w:cs="Times New Roman"/>
          <w:color w:val="000000"/>
          <w:sz w:val="24"/>
          <w:szCs w:val="24"/>
        </w:rPr>
      </w:pPr>
      <w:r>
        <w:rPr>
          <w:rFonts w:ascii="Times New Roman" w:hAnsi="Times New Roman" w:cs="Times New Roman"/>
          <w:sz w:val="24"/>
          <w:szCs w:val="24"/>
        </w:rPr>
        <w:t>Controlando o seu conteúdo, o §</w:t>
      </w:r>
      <w:r w:rsidR="008E513D">
        <w:rPr>
          <w:rFonts w:ascii="Times New Roman" w:hAnsi="Times New Roman" w:cs="Times New Roman"/>
          <w:sz w:val="24"/>
          <w:szCs w:val="24"/>
        </w:rPr>
        <w:t xml:space="preserve"> </w:t>
      </w:r>
      <w:r>
        <w:rPr>
          <w:rFonts w:ascii="Times New Roman" w:hAnsi="Times New Roman" w:cs="Times New Roman"/>
          <w:sz w:val="24"/>
          <w:szCs w:val="24"/>
        </w:rPr>
        <w:t xml:space="preserve">2º desse preceito estabelece que </w:t>
      </w:r>
      <w:r>
        <w:rPr>
          <w:rFonts w:ascii="Times New Roman" w:hAnsi="Times New Roman" w:cs="Times New Roman"/>
          <w:color w:val="000000"/>
          <w:sz w:val="24"/>
          <w:szCs w:val="24"/>
        </w:rPr>
        <w:t>nos contratos de adesão</w:t>
      </w:r>
      <w:r w:rsidR="004F108D" w:rsidRPr="00295C84">
        <w:rPr>
          <w:rFonts w:ascii="Times New Roman" w:hAnsi="Times New Roman" w:cs="Times New Roman"/>
          <w:color w:val="000000"/>
          <w:sz w:val="24"/>
          <w:szCs w:val="24"/>
        </w:rPr>
        <w:t xml:space="preserve"> a cláusula compromissória só terá eficácia se o aderente tomar a iniciativa de instituir a arbitragem ou concordar, expressamente, com a sua instituição, desde que por escrito em documento anexo ou em negrito, com a assinatura ou visto especialmente para essa cláusula</w:t>
      </w:r>
      <w:r>
        <w:rPr>
          <w:rFonts w:ascii="Times New Roman" w:hAnsi="Times New Roman" w:cs="Times New Roman"/>
          <w:color w:val="000000"/>
          <w:sz w:val="24"/>
          <w:szCs w:val="24"/>
        </w:rPr>
        <w:t xml:space="preserve">. </w:t>
      </w:r>
      <w:r w:rsidR="004F108D" w:rsidRPr="00295C84">
        <w:rPr>
          <w:rFonts w:ascii="Times New Roman" w:hAnsi="Times New Roman" w:cs="Times New Roman"/>
          <w:color w:val="000000"/>
          <w:sz w:val="24"/>
          <w:szCs w:val="24"/>
        </w:rPr>
        <w:t xml:space="preserve">Aplicando </w:t>
      </w:r>
      <w:r w:rsidR="008E513D">
        <w:rPr>
          <w:rFonts w:ascii="Times New Roman" w:hAnsi="Times New Roman" w:cs="Times New Roman"/>
          <w:color w:val="000000"/>
          <w:sz w:val="24"/>
          <w:szCs w:val="24"/>
        </w:rPr>
        <w:t>a norma</w:t>
      </w:r>
      <w:r w:rsidR="004F108D" w:rsidRPr="00295C84">
        <w:rPr>
          <w:rFonts w:ascii="Times New Roman" w:hAnsi="Times New Roman" w:cs="Times New Roman"/>
          <w:color w:val="000000"/>
          <w:sz w:val="24"/>
          <w:szCs w:val="24"/>
        </w:rPr>
        <w:t xml:space="preserve">, aresto do Superior Tribunal de Justiça considerou que a cláusula que não preenche tais requisitos deve ser tida como </w:t>
      </w:r>
      <w:r w:rsidR="004F108D" w:rsidRPr="007E6471">
        <w:rPr>
          <w:rFonts w:ascii="Times New Roman" w:hAnsi="Times New Roman" w:cs="Times New Roman"/>
          <w:i/>
          <w:iCs/>
          <w:color w:val="000000"/>
          <w:sz w:val="24"/>
          <w:szCs w:val="24"/>
        </w:rPr>
        <w:t xml:space="preserve">patológica, </w:t>
      </w:r>
      <w:r w:rsidR="004F108D" w:rsidRPr="00295C84">
        <w:rPr>
          <w:rFonts w:ascii="Times New Roman" w:hAnsi="Times New Roman" w:cs="Times New Roman"/>
          <w:color w:val="000000"/>
          <w:sz w:val="24"/>
          <w:szCs w:val="24"/>
        </w:rPr>
        <w:t>o que acarreta a sua nulidade absoluta e não a mera ineficácia</w:t>
      </w:r>
      <w:r>
        <w:rPr>
          <w:rFonts w:ascii="Times New Roman" w:hAnsi="Times New Roman" w:cs="Times New Roman"/>
          <w:color w:val="000000"/>
          <w:sz w:val="24"/>
          <w:szCs w:val="24"/>
        </w:rPr>
        <w:t xml:space="preserve">. O </w:t>
      </w:r>
      <w:r w:rsidR="008E513D">
        <w:rPr>
          <w:rFonts w:ascii="Times New Roman" w:hAnsi="Times New Roman" w:cs="Times New Roman"/>
          <w:color w:val="000000"/>
          <w:sz w:val="24"/>
          <w:szCs w:val="24"/>
        </w:rPr>
        <w:t>acórdão</w:t>
      </w:r>
      <w:r>
        <w:rPr>
          <w:rFonts w:ascii="Times New Roman" w:hAnsi="Times New Roman" w:cs="Times New Roman"/>
          <w:color w:val="000000"/>
          <w:sz w:val="24"/>
          <w:szCs w:val="24"/>
        </w:rPr>
        <w:t xml:space="preserve"> disse respeito a contrato de franquia, tendo sido assim ementado: </w:t>
      </w:r>
    </w:p>
    <w:p w:rsidR="004F108D" w:rsidRPr="00692442" w:rsidRDefault="004F108D" w:rsidP="007E6471">
      <w:pPr>
        <w:spacing w:before="120" w:after="120" w:line="360" w:lineRule="auto"/>
        <w:ind w:left="567"/>
        <w:jc w:val="both"/>
        <w:rPr>
          <w:rFonts w:ascii="Times New Roman" w:hAnsi="Times New Roman" w:cs="Times New Roman"/>
          <w:color w:val="000000"/>
        </w:rPr>
      </w:pPr>
      <w:r w:rsidRPr="00692442">
        <w:rPr>
          <w:rFonts w:ascii="Times New Roman" w:hAnsi="Times New Roman" w:cs="Times New Roman"/>
          <w:color w:val="000000"/>
        </w:rPr>
        <w:lastRenderedPageBreak/>
        <w:t xml:space="preserve">“Recurso especial. Direito civil e processual civil. Contrato de franquia. Contrato de adesão. Arbitragem. Requisito de validade do art. 4º, § 2º, da Lei 9.307/96. Descumprimento. Reconhecimento </w:t>
      </w:r>
      <w:r w:rsidRPr="004244C0">
        <w:rPr>
          <w:rFonts w:ascii="Times New Roman" w:hAnsi="Times New Roman" w:cs="Times New Roman"/>
          <w:i/>
          <w:iCs/>
          <w:color w:val="000000"/>
        </w:rPr>
        <w:t>prima facie</w:t>
      </w:r>
      <w:r w:rsidRPr="00692442">
        <w:rPr>
          <w:rFonts w:ascii="Times New Roman" w:hAnsi="Times New Roman" w:cs="Times New Roman"/>
          <w:color w:val="000000"/>
        </w:rPr>
        <w:t xml:space="preserve"> de cláusula compromissória ‘patológica’. Atuação do Poder Judiciário. Possibilidade. Nulidade reconhecida. Recurso provido. 1. Recurso especial interposto em 07/04/2015 e redistribuído a este gabinete em 25/08/2016. 2. O contrato de franquia, por sua natureza, não está sujeito às regras protetivas previstas no CDC, pois não há relação de consumo, mas de fomento econômico. 3. Todos os contratos de adesão, mesmo aqueles que não consubstanciam relações de consumo, como os contratos de franquia, devem observar o disposto no art. 4º, § 2º, da Lei 9.307/96. 4. O Poder Judiciário pode, nos casos em que </w:t>
      </w:r>
      <w:r w:rsidRPr="004244C0">
        <w:rPr>
          <w:rFonts w:ascii="Times New Roman" w:hAnsi="Times New Roman" w:cs="Times New Roman"/>
          <w:i/>
          <w:iCs/>
          <w:color w:val="000000"/>
        </w:rPr>
        <w:t>prima facie</w:t>
      </w:r>
      <w:r w:rsidRPr="00692442">
        <w:rPr>
          <w:rFonts w:ascii="Times New Roman" w:hAnsi="Times New Roman" w:cs="Times New Roman"/>
          <w:color w:val="000000"/>
        </w:rPr>
        <w:t xml:space="preserve"> é identificado um compromisso arbitral ‘patológico’, i.e., claramente ilegal, declarar a nulidade dessa cláusula, independentemente do estado em que se encontre o procedimento arbitral. 5. Recurso especial conhecido e provido” (STJ, REsp 1.602.076/SP, 3ª Turma, Rel. Min. Nancy Andrighi, j. 15.09.2016, DJe 30.09.2016).</w:t>
      </w:r>
    </w:p>
    <w:p w:rsidR="007E6471" w:rsidRDefault="004F108D" w:rsidP="007E6471">
      <w:pPr>
        <w:spacing w:before="120" w:after="120" w:line="360" w:lineRule="auto"/>
        <w:ind w:firstLine="1701"/>
        <w:jc w:val="both"/>
        <w:rPr>
          <w:rFonts w:ascii="Times New Roman" w:hAnsi="Times New Roman" w:cs="Times New Roman"/>
          <w:color w:val="000000"/>
          <w:sz w:val="24"/>
          <w:szCs w:val="24"/>
        </w:rPr>
      </w:pPr>
      <w:r w:rsidRPr="00295C84">
        <w:rPr>
          <w:rFonts w:ascii="Times New Roman" w:hAnsi="Times New Roman" w:cs="Times New Roman"/>
          <w:color w:val="000000"/>
          <w:sz w:val="24"/>
          <w:szCs w:val="24"/>
        </w:rPr>
        <w:t>Além da precisa análise técnica, o aresto traz a correta diferenciação entre os contratos de consumo e os de adesão</w:t>
      </w:r>
      <w:r w:rsidR="007E6471">
        <w:rPr>
          <w:rFonts w:ascii="Times New Roman" w:hAnsi="Times New Roman" w:cs="Times New Roman"/>
          <w:color w:val="000000"/>
          <w:sz w:val="24"/>
          <w:szCs w:val="24"/>
        </w:rPr>
        <w:t>, não havendo necessariamente uma coincidência de conceitos, como antes pontuei</w:t>
      </w:r>
      <w:r w:rsidRPr="00295C84">
        <w:rPr>
          <w:rFonts w:ascii="Times New Roman" w:hAnsi="Times New Roman" w:cs="Times New Roman"/>
          <w:color w:val="000000"/>
          <w:sz w:val="24"/>
          <w:szCs w:val="24"/>
        </w:rPr>
        <w:t>.</w:t>
      </w:r>
      <w:r w:rsidR="007E6471">
        <w:rPr>
          <w:rFonts w:ascii="Times New Roman" w:hAnsi="Times New Roman" w:cs="Times New Roman"/>
          <w:color w:val="000000"/>
          <w:sz w:val="24"/>
          <w:szCs w:val="24"/>
        </w:rPr>
        <w:t xml:space="preserve"> Além disso, sobre a eventual diferenciação entre os termos </w:t>
      </w:r>
      <w:r w:rsidR="007E6471" w:rsidRPr="007E6471">
        <w:rPr>
          <w:rFonts w:ascii="Times New Roman" w:hAnsi="Times New Roman" w:cs="Times New Roman"/>
          <w:i/>
          <w:iCs/>
          <w:color w:val="000000"/>
          <w:sz w:val="24"/>
          <w:szCs w:val="24"/>
        </w:rPr>
        <w:t>contrato de adesão</w:t>
      </w:r>
      <w:r w:rsidR="007E6471">
        <w:rPr>
          <w:rFonts w:ascii="Times New Roman" w:hAnsi="Times New Roman" w:cs="Times New Roman"/>
          <w:color w:val="000000"/>
          <w:sz w:val="24"/>
          <w:szCs w:val="24"/>
        </w:rPr>
        <w:t xml:space="preserve"> e </w:t>
      </w:r>
      <w:r w:rsidR="007E6471" w:rsidRPr="007E6471">
        <w:rPr>
          <w:rFonts w:ascii="Times New Roman" w:hAnsi="Times New Roman" w:cs="Times New Roman"/>
          <w:i/>
          <w:iCs/>
          <w:color w:val="000000"/>
          <w:sz w:val="24"/>
          <w:szCs w:val="24"/>
        </w:rPr>
        <w:t>por adesão</w:t>
      </w:r>
      <w:r w:rsidR="007E6471">
        <w:rPr>
          <w:rFonts w:ascii="Times New Roman" w:hAnsi="Times New Roman" w:cs="Times New Roman"/>
          <w:color w:val="000000"/>
          <w:sz w:val="24"/>
          <w:szCs w:val="24"/>
        </w:rPr>
        <w:t xml:space="preserve">, no sentido de que os primeiros exigiriam a presença do </w:t>
      </w:r>
      <w:r w:rsidR="007E6471" w:rsidRPr="008E513D">
        <w:rPr>
          <w:rFonts w:ascii="Times New Roman" w:hAnsi="Times New Roman" w:cs="Times New Roman"/>
          <w:i/>
          <w:iCs/>
          <w:color w:val="000000"/>
          <w:sz w:val="24"/>
          <w:szCs w:val="24"/>
        </w:rPr>
        <w:t>monopólio da atividade</w:t>
      </w:r>
      <w:r w:rsidR="007E6471">
        <w:rPr>
          <w:rFonts w:ascii="Times New Roman" w:hAnsi="Times New Roman" w:cs="Times New Roman"/>
          <w:color w:val="000000"/>
          <w:sz w:val="24"/>
          <w:szCs w:val="24"/>
        </w:rPr>
        <w:t xml:space="preserve">, </w:t>
      </w:r>
      <w:r w:rsidR="008E513D">
        <w:rPr>
          <w:rFonts w:ascii="Times New Roman" w:hAnsi="Times New Roman" w:cs="Times New Roman"/>
          <w:color w:val="000000"/>
          <w:sz w:val="24"/>
          <w:szCs w:val="24"/>
        </w:rPr>
        <w:t xml:space="preserve">como muitas vezes se sustenta – de forma equivocada </w:t>
      </w:r>
      <w:r w:rsidR="00B823FF">
        <w:rPr>
          <w:rFonts w:ascii="Times New Roman" w:hAnsi="Times New Roman" w:cs="Times New Roman"/>
          <w:color w:val="000000"/>
          <w:sz w:val="24"/>
          <w:szCs w:val="24"/>
        </w:rPr>
        <w:t>−</w:t>
      </w:r>
      <w:r w:rsidR="008E513D">
        <w:rPr>
          <w:rFonts w:ascii="Times New Roman" w:hAnsi="Times New Roman" w:cs="Times New Roman"/>
          <w:color w:val="000000"/>
          <w:sz w:val="24"/>
          <w:szCs w:val="24"/>
        </w:rPr>
        <w:t xml:space="preserve">, </w:t>
      </w:r>
      <w:r w:rsidR="007E6471">
        <w:rPr>
          <w:rFonts w:ascii="Times New Roman" w:hAnsi="Times New Roman" w:cs="Times New Roman"/>
          <w:color w:val="000000"/>
          <w:sz w:val="24"/>
          <w:szCs w:val="24"/>
        </w:rPr>
        <w:t>a Ministra Relatora pontuou que</w:t>
      </w:r>
      <w:r w:rsidR="00B823FF">
        <w:rPr>
          <w:rFonts w:ascii="Times New Roman" w:hAnsi="Times New Roman" w:cs="Times New Roman"/>
          <w:color w:val="000000"/>
          <w:sz w:val="24"/>
          <w:szCs w:val="24"/>
        </w:rPr>
        <w:t>,</w:t>
      </w:r>
      <w:r w:rsidR="007E6471">
        <w:rPr>
          <w:rFonts w:ascii="Times New Roman" w:hAnsi="Times New Roman" w:cs="Times New Roman"/>
          <w:color w:val="000000"/>
          <w:sz w:val="24"/>
          <w:szCs w:val="24"/>
        </w:rPr>
        <w:t xml:space="preserve"> “q</w:t>
      </w:r>
      <w:r w:rsidR="007E6471" w:rsidRPr="007E6471">
        <w:rPr>
          <w:rFonts w:ascii="Times New Roman" w:hAnsi="Times New Roman" w:cs="Times New Roman"/>
          <w:color w:val="000000"/>
          <w:sz w:val="24"/>
          <w:szCs w:val="24"/>
        </w:rPr>
        <w:t xml:space="preserve">uanto à diferenciação apresentada pela recorrida segundo a qual contratos </w:t>
      </w:r>
      <w:r w:rsidR="007E6471">
        <w:rPr>
          <w:rFonts w:ascii="Times New Roman" w:hAnsi="Times New Roman" w:cs="Times New Roman"/>
          <w:color w:val="000000"/>
          <w:sz w:val="24"/>
          <w:szCs w:val="24"/>
        </w:rPr>
        <w:t>‘</w:t>
      </w:r>
      <w:r w:rsidR="007E6471" w:rsidRPr="007E6471">
        <w:rPr>
          <w:rFonts w:ascii="Times New Roman" w:hAnsi="Times New Roman" w:cs="Times New Roman"/>
          <w:color w:val="000000"/>
          <w:sz w:val="24"/>
          <w:szCs w:val="24"/>
        </w:rPr>
        <w:t>por adesão</w:t>
      </w:r>
      <w:r w:rsidR="007E6471">
        <w:rPr>
          <w:rFonts w:ascii="Times New Roman" w:hAnsi="Times New Roman" w:cs="Times New Roman"/>
          <w:color w:val="000000"/>
          <w:sz w:val="24"/>
          <w:szCs w:val="24"/>
        </w:rPr>
        <w:t>’</w:t>
      </w:r>
      <w:r w:rsidR="007E6471" w:rsidRPr="007E6471">
        <w:rPr>
          <w:rFonts w:ascii="Times New Roman" w:hAnsi="Times New Roman" w:cs="Times New Roman"/>
          <w:color w:val="000000"/>
          <w:sz w:val="24"/>
          <w:szCs w:val="24"/>
        </w:rPr>
        <w:t xml:space="preserve"> são distintos de contratos </w:t>
      </w:r>
      <w:r w:rsidR="007E6471">
        <w:rPr>
          <w:rFonts w:ascii="Times New Roman" w:hAnsi="Times New Roman" w:cs="Times New Roman"/>
          <w:color w:val="000000"/>
          <w:sz w:val="24"/>
          <w:szCs w:val="24"/>
        </w:rPr>
        <w:t>‘</w:t>
      </w:r>
      <w:r w:rsidR="007E6471" w:rsidRPr="007E6471">
        <w:rPr>
          <w:rFonts w:ascii="Times New Roman" w:hAnsi="Times New Roman" w:cs="Times New Roman"/>
          <w:color w:val="000000"/>
          <w:sz w:val="24"/>
          <w:szCs w:val="24"/>
        </w:rPr>
        <w:t>de adesão</w:t>
      </w:r>
      <w:r w:rsidR="007E6471">
        <w:rPr>
          <w:rFonts w:ascii="Times New Roman" w:hAnsi="Times New Roman" w:cs="Times New Roman"/>
          <w:color w:val="000000"/>
          <w:sz w:val="24"/>
          <w:szCs w:val="24"/>
        </w:rPr>
        <w:t>’</w:t>
      </w:r>
      <w:r w:rsidR="007E6471" w:rsidRPr="007E6471">
        <w:rPr>
          <w:rFonts w:ascii="Times New Roman" w:hAnsi="Times New Roman" w:cs="Times New Roman"/>
          <w:color w:val="000000"/>
          <w:sz w:val="24"/>
          <w:szCs w:val="24"/>
        </w:rPr>
        <w:t>, entendo que essa sutileza sintática é incapaz de representar alguma diferença semântica relevante, pois o Direito não trata de forma distinta essas duas supostas categorias</w:t>
      </w:r>
      <w:r w:rsidR="007E6471">
        <w:rPr>
          <w:rFonts w:ascii="Times New Roman" w:hAnsi="Times New Roman" w:cs="Times New Roman"/>
          <w:color w:val="000000"/>
          <w:sz w:val="24"/>
          <w:szCs w:val="24"/>
        </w:rPr>
        <w:t>”</w:t>
      </w:r>
      <w:r w:rsidR="007E6471" w:rsidRPr="007E6471">
        <w:rPr>
          <w:rFonts w:ascii="Times New Roman" w:hAnsi="Times New Roman" w:cs="Times New Roman"/>
          <w:color w:val="000000"/>
          <w:sz w:val="24"/>
          <w:szCs w:val="24"/>
        </w:rPr>
        <w:t>.</w:t>
      </w:r>
      <w:r w:rsidR="007E6471">
        <w:rPr>
          <w:rFonts w:ascii="Times New Roman" w:hAnsi="Times New Roman" w:cs="Times New Roman"/>
          <w:color w:val="000000"/>
          <w:sz w:val="24"/>
          <w:szCs w:val="24"/>
        </w:rPr>
        <w:t xml:space="preserve"> Isso reforça a possibilidade de se aplicar a ideia nas relações entre cônjuges e companheiros. </w:t>
      </w:r>
    </w:p>
    <w:p w:rsidR="004F108D" w:rsidRDefault="007E6471" w:rsidP="00295C84">
      <w:pPr>
        <w:spacing w:before="120" w:after="120" w:line="360" w:lineRule="auto"/>
        <w:ind w:firstLine="1701"/>
        <w:jc w:val="both"/>
        <w:rPr>
          <w:rFonts w:ascii="Times New Roman" w:hAnsi="Times New Roman" w:cs="Times New Roman"/>
          <w:sz w:val="24"/>
          <w:szCs w:val="24"/>
        </w:rPr>
      </w:pPr>
      <w:r>
        <w:rPr>
          <w:rFonts w:ascii="Times New Roman" w:hAnsi="Times New Roman" w:cs="Times New Roman"/>
          <w:color w:val="000000"/>
          <w:sz w:val="24"/>
          <w:szCs w:val="24"/>
        </w:rPr>
        <w:t xml:space="preserve">Em continuidade de análise do acórdão, </w:t>
      </w:r>
      <w:r w:rsidR="004F108D" w:rsidRPr="00295C84">
        <w:rPr>
          <w:rFonts w:ascii="Times New Roman" w:hAnsi="Times New Roman" w:cs="Times New Roman"/>
          <w:color w:val="000000"/>
          <w:sz w:val="24"/>
          <w:szCs w:val="24"/>
        </w:rPr>
        <w:t xml:space="preserve">entendo que o enquadramento pela nulidade absoluta da </w:t>
      </w:r>
      <w:r w:rsidR="004F108D" w:rsidRPr="007E6471">
        <w:rPr>
          <w:rFonts w:ascii="Times New Roman" w:hAnsi="Times New Roman" w:cs="Times New Roman"/>
          <w:i/>
          <w:iCs/>
          <w:color w:val="000000"/>
          <w:sz w:val="24"/>
          <w:szCs w:val="24"/>
        </w:rPr>
        <w:t>cláusula</w:t>
      </w:r>
      <w:r>
        <w:rPr>
          <w:rFonts w:ascii="Times New Roman" w:hAnsi="Times New Roman" w:cs="Times New Roman"/>
          <w:i/>
          <w:iCs/>
          <w:color w:val="000000"/>
          <w:sz w:val="24"/>
          <w:szCs w:val="24"/>
        </w:rPr>
        <w:t xml:space="preserve"> compromissória</w:t>
      </w:r>
      <w:r w:rsidR="004F108D" w:rsidRPr="007E6471">
        <w:rPr>
          <w:rFonts w:ascii="Times New Roman" w:hAnsi="Times New Roman" w:cs="Times New Roman"/>
          <w:i/>
          <w:iCs/>
          <w:color w:val="000000"/>
          <w:sz w:val="24"/>
          <w:szCs w:val="24"/>
        </w:rPr>
        <w:t xml:space="preserve"> patológica </w:t>
      </w:r>
      <w:r w:rsidR="004F108D" w:rsidRPr="00295C84">
        <w:rPr>
          <w:rFonts w:ascii="Times New Roman" w:hAnsi="Times New Roman" w:cs="Times New Roman"/>
          <w:color w:val="000000"/>
          <w:sz w:val="24"/>
          <w:szCs w:val="24"/>
        </w:rPr>
        <w:t xml:space="preserve">pode se dar pelo que consta do art. 424 do Código Civil, pelo qual nos contratos de adesão é nula a cláusula de renúncia a direito </w:t>
      </w:r>
      <w:r w:rsidR="008E513D">
        <w:rPr>
          <w:rFonts w:ascii="Times New Roman" w:hAnsi="Times New Roman" w:cs="Times New Roman"/>
          <w:color w:val="000000"/>
          <w:sz w:val="24"/>
          <w:szCs w:val="24"/>
        </w:rPr>
        <w:t>resultante da natureza do negócio</w:t>
      </w:r>
      <w:r w:rsidR="004F108D" w:rsidRPr="00295C84">
        <w:rPr>
          <w:rFonts w:ascii="Times New Roman" w:hAnsi="Times New Roman" w:cs="Times New Roman"/>
          <w:color w:val="000000"/>
          <w:sz w:val="24"/>
          <w:szCs w:val="24"/>
        </w:rPr>
        <w:t xml:space="preserve">, no caso à jurisdição estatal. </w:t>
      </w:r>
      <w:r w:rsidR="008E513D">
        <w:rPr>
          <w:rFonts w:ascii="Times New Roman" w:hAnsi="Times New Roman" w:cs="Times New Roman"/>
          <w:color w:val="000000"/>
          <w:sz w:val="24"/>
          <w:szCs w:val="24"/>
        </w:rPr>
        <w:t xml:space="preserve">Ainda quanto </w:t>
      </w:r>
      <w:r w:rsidR="00B823FF">
        <w:rPr>
          <w:rFonts w:ascii="Times New Roman" w:hAnsi="Times New Roman" w:cs="Times New Roman"/>
          <w:color w:val="000000"/>
          <w:sz w:val="24"/>
          <w:szCs w:val="24"/>
        </w:rPr>
        <w:t xml:space="preserve">a </w:t>
      </w:r>
      <w:r w:rsidR="008E513D">
        <w:rPr>
          <w:rFonts w:ascii="Times New Roman" w:hAnsi="Times New Roman" w:cs="Times New Roman"/>
          <w:color w:val="000000"/>
          <w:sz w:val="24"/>
          <w:szCs w:val="24"/>
        </w:rPr>
        <w:t xml:space="preserve">essa </w:t>
      </w:r>
      <w:r>
        <w:rPr>
          <w:rFonts w:ascii="Times New Roman" w:hAnsi="Times New Roman" w:cs="Times New Roman"/>
          <w:color w:val="000000"/>
          <w:sz w:val="24"/>
          <w:szCs w:val="24"/>
        </w:rPr>
        <w:t>minha segunda objeção, vale lembrar o teor do art.</w:t>
      </w:r>
      <w:r w:rsidR="00B823FF">
        <w:rPr>
          <w:rFonts w:ascii="Times New Roman" w:hAnsi="Times New Roman" w:cs="Times New Roman"/>
          <w:color w:val="000000"/>
          <w:sz w:val="24"/>
          <w:szCs w:val="24"/>
        </w:rPr>
        <w:t xml:space="preserve"> </w:t>
      </w:r>
      <w:r w:rsidR="004F108D">
        <w:rPr>
          <w:rFonts w:ascii="Times New Roman" w:hAnsi="Times New Roman" w:cs="Times New Roman"/>
          <w:sz w:val="24"/>
          <w:szCs w:val="24"/>
        </w:rPr>
        <w:t>1.655 do Código Ci</w:t>
      </w:r>
      <w:r>
        <w:rPr>
          <w:rFonts w:ascii="Times New Roman" w:hAnsi="Times New Roman" w:cs="Times New Roman"/>
          <w:sz w:val="24"/>
          <w:szCs w:val="24"/>
        </w:rPr>
        <w:t xml:space="preserve">vil, segundo o qual é </w:t>
      </w:r>
      <w:r w:rsidRPr="007E6471">
        <w:rPr>
          <w:rFonts w:ascii="Times New Roman" w:hAnsi="Times New Roman" w:cs="Times New Roman"/>
          <w:sz w:val="24"/>
          <w:szCs w:val="24"/>
        </w:rPr>
        <w:t>nula</w:t>
      </w:r>
      <w:r>
        <w:rPr>
          <w:rFonts w:ascii="Times New Roman" w:hAnsi="Times New Roman" w:cs="Times New Roman"/>
          <w:sz w:val="24"/>
          <w:szCs w:val="24"/>
        </w:rPr>
        <w:t xml:space="preserve"> – por nulidade absoluta </w:t>
      </w:r>
      <w:r w:rsidR="00B823FF">
        <w:rPr>
          <w:rFonts w:ascii="Times New Roman" w:hAnsi="Times New Roman" w:cs="Times New Roman"/>
          <w:sz w:val="24"/>
          <w:szCs w:val="24"/>
        </w:rPr>
        <w:t xml:space="preserve">− </w:t>
      </w:r>
      <w:r w:rsidRPr="007E6471">
        <w:rPr>
          <w:rFonts w:ascii="Times New Roman" w:hAnsi="Times New Roman" w:cs="Times New Roman"/>
          <w:sz w:val="24"/>
          <w:szCs w:val="24"/>
        </w:rPr>
        <w:t xml:space="preserve">a convenção </w:t>
      </w:r>
      <w:r>
        <w:rPr>
          <w:rFonts w:ascii="Times New Roman" w:hAnsi="Times New Roman" w:cs="Times New Roman"/>
          <w:sz w:val="24"/>
          <w:szCs w:val="24"/>
        </w:rPr>
        <w:t xml:space="preserve">antenupcial </w:t>
      </w:r>
      <w:r w:rsidRPr="007E6471">
        <w:rPr>
          <w:rFonts w:ascii="Times New Roman" w:hAnsi="Times New Roman" w:cs="Times New Roman"/>
          <w:sz w:val="24"/>
          <w:szCs w:val="24"/>
        </w:rPr>
        <w:t xml:space="preserve">ou cláusula dela que contravenha </w:t>
      </w:r>
      <w:r w:rsidRPr="007E6471">
        <w:rPr>
          <w:rFonts w:ascii="Times New Roman" w:hAnsi="Times New Roman" w:cs="Times New Roman"/>
          <w:i/>
          <w:iCs/>
          <w:sz w:val="24"/>
          <w:szCs w:val="24"/>
        </w:rPr>
        <w:t>disposição absoluta de lei</w:t>
      </w:r>
      <w:r>
        <w:rPr>
          <w:rFonts w:ascii="Times New Roman" w:hAnsi="Times New Roman" w:cs="Times New Roman"/>
          <w:sz w:val="24"/>
          <w:szCs w:val="24"/>
        </w:rPr>
        <w:t xml:space="preserve">, entendida a última expressão como norma de ordem pública. </w:t>
      </w:r>
      <w:r w:rsidR="00692442">
        <w:rPr>
          <w:rFonts w:ascii="Times New Roman" w:hAnsi="Times New Roman" w:cs="Times New Roman"/>
          <w:sz w:val="24"/>
          <w:szCs w:val="24"/>
        </w:rPr>
        <w:t>A norma cogente violada, no caso de imposição de uma cláusula compromissória</w:t>
      </w:r>
      <w:r w:rsidR="00885120">
        <w:rPr>
          <w:rFonts w:ascii="Times New Roman" w:hAnsi="Times New Roman" w:cs="Times New Roman"/>
          <w:sz w:val="24"/>
          <w:szCs w:val="24"/>
        </w:rPr>
        <w:t xml:space="preserve"> em contrato celebrado entre consortes</w:t>
      </w:r>
      <w:r w:rsidR="00692442">
        <w:rPr>
          <w:rFonts w:ascii="Times New Roman" w:hAnsi="Times New Roman" w:cs="Times New Roman"/>
          <w:sz w:val="24"/>
          <w:szCs w:val="24"/>
        </w:rPr>
        <w:t xml:space="preserve">, é </w:t>
      </w:r>
      <w:r w:rsidR="00692442">
        <w:rPr>
          <w:rFonts w:ascii="Times New Roman" w:hAnsi="Times New Roman" w:cs="Times New Roman"/>
          <w:sz w:val="24"/>
          <w:szCs w:val="24"/>
        </w:rPr>
        <w:lastRenderedPageBreak/>
        <w:t xml:space="preserve">justamente o art. 424 do Código Civil. Todas essas questões, sem dúvida, merecem ser melhor analisadas quando se </w:t>
      </w:r>
      <w:r w:rsidR="00B823FF">
        <w:rPr>
          <w:rFonts w:ascii="Times New Roman" w:hAnsi="Times New Roman" w:cs="Times New Roman"/>
          <w:sz w:val="24"/>
          <w:szCs w:val="24"/>
        </w:rPr>
        <w:t xml:space="preserve">tem </w:t>
      </w:r>
      <w:r w:rsidR="00692442">
        <w:rPr>
          <w:rFonts w:ascii="Times New Roman" w:hAnsi="Times New Roman" w:cs="Times New Roman"/>
          <w:sz w:val="24"/>
          <w:szCs w:val="24"/>
        </w:rPr>
        <w:t>a sua inserção prévia por cônjuges ou companheiros</w:t>
      </w:r>
      <w:r w:rsidR="00885120">
        <w:rPr>
          <w:rFonts w:ascii="Times New Roman" w:hAnsi="Times New Roman" w:cs="Times New Roman"/>
          <w:sz w:val="24"/>
          <w:szCs w:val="24"/>
        </w:rPr>
        <w:t xml:space="preserve"> em posições econômicas discrepantes</w:t>
      </w:r>
      <w:r w:rsidR="00692442">
        <w:rPr>
          <w:rFonts w:ascii="Times New Roman" w:hAnsi="Times New Roman" w:cs="Times New Roman"/>
          <w:sz w:val="24"/>
          <w:szCs w:val="24"/>
        </w:rPr>
        <w:t xml:space="preserve">. </w:t>
      </w:r>
    </w:p>
    <w:p w:rsidR="004F108D" w:rsidRDefault="00692442" w:rsidP="00692442">
      <w:pPr>
        <w:spacing w:before="120" w:after="120" w:line="360" w:lineRule="auto"/>
        <w:ind w:firstLine="1701"/>
        <w:jc w:val="both"/>
        <w:rPr>
          <w:rFonts w:ascii="Times New Roman" w:hAnsi="Times New Roman" w:cs="Times New Roman"/>
          <w:sz w:val="24"/>
          <w:szCs w:val="24"/>
        </w:rPr>
      </w:pPr>
      <w:r>
        <w:rPr>
          <w:rFonts w:ascii="Times New Roman" w:hAnsi="Times New Roman" w:cs="Times New Roman"/>
          <w:sz w:val="24"/>
          <w:szCs w:val="24"/>
        </w:rPr>
        <w:t xml:space="preserve">Por fim, como </w:t>
      </w:r>
      <w:r w:rsidRPr="00692442">
        <w:rPr>
          <w:rFonts w:ascii="Times New Roman" w:hAnsi="Times New Roman" w:cs="Times New Roman"/>
          <w:i/>
          <w:iCs/>
          <w:sz w:val="24"/>
          <w:szCs w:val="24"/>
        </w:rPr>
        <w:t xml:space="preserve">terceira </w:t>
      </w:r>
      <w:r>
        <w:rPr>
          <w:rFonts w:ascii="Times New Roman" w:hAnsi="Times New Roman" w:cs="Times New Roman"/>
          <w:i/>
          <w:iCs/>
          <w:sz w:val="24"/>
          <w:szCs w:val="24"/>
        </w:rPr>
        <w:t>ressalva</w:t>
      </w:r>
      <w:r>
        <w:rPr>
          <w:rFonts w:ascii="Times New Roman" w:hAnsi="Times New Roman" w:cs="Times New Roman"/>
          <w:sz w:val="24"/>
          <w:szCs w:val="24"/>
        </w:rPr>
        <w:t xml:space="preserve">, nota-se que há um problema prático na aceitação da atuação por árbitros em contendas que envolvam o Direito de Família. Como é notório, toda a atuação dos árbitros </w:t>
      </w:r>
      <w:r w:rsidR="00885120">
        <w:rPr>
          <w:rFonts w:ascii="Times New Roman" w:hAnsi="Times New Roman" w:cs="Times New Roman"/>
          <w:sz w:val="24"/>
          <w:szCs w:val="24"/>
        </w:rPr>
        <w:t xml:space="preserve">nos procedimentos </w:t>
      </w:r>
      <w:r>
        <w:rPr>
          <w:rFonts w:ascii="Times New Roman" w:hAnsi="Times New Roman" w:cs="Times New Roman"/>
          <w:sz w:val="24"/>
          <w:szCs w:val="24"/>
        </w:rPr>
        <w:t xml:space="preserve">é efetivada para o fim de se evitar ao máximo qualquer nulidade da sentença arbitral a ser proferida no futuro. E, nos termos do art. 32, inc. I, da Lei n. 9.307/1996, é </w:t>
      </w:r>
      <w:r w:rsidRPr="00692442">
        <w:rPr>
          <w:rFonts w:ascii="Times New Roman" w:hAnsi="Times New Roman" w:cs="Times New Roman"/>
          <w:sz w:val="24"/>
          <w:szCs w:val="24"/>
        </w:rPr>
        <w:t>nula a sentença arbitral se</w:t>
      </w:r>
      <w:r>
        <w:rPr>
          <w:rFonts w:ascii="Times New Roman" w:hAnsi="Times New Roman" w:cs="Times New Roman"/>
          <w:sz w:val="24"/>
          <w:szCs w:val="24"/>
        </w:rPr>
        <w:t xml:space="preserve"> </w:t>
      </w:r>
      <w:r w:rsidRPr="00692442">
        <w:rPr>
          <w:rFonts w:ascii="Times New Roman" w:hAnsi="Times New Roman" w:cs="Times New Roman"/>
          <w:sz w:val="24"/>
          <w:szCs w:val="24"/>
        </w:rPr>
        <w:t xml:space="preserve">for nula a </w:t>
      </w:r>
      <w:r w:rsidRPr="00692442">
        <w:rPr>
          <w:rFonts w:ascii="Times New Roman" w:hAnsi="Times New Roman" w:cs="Times New Roman"/>
          <w:i/>
          <w:iCs/>
          <w:sz w:val="24"/>
          <w:szCs w:val="24"/>
        </w:rPr>
        <w:t>convenção de arbitragem</w:t>
      </w:r>
      <w:r>
        <w:rPr>
          <w:rFonts w:ascii="Times New Roman" w:hAnsi="Times New Roman" w:cs="Times New Roman"/>
          <w:sz w:val="24"/>
          <w:szCs w:val="24"/>
        </w:rPr>
        <w:t xml:space="preserve">, categoria que engloba tanto </w:t>
      </w:r>
      <w:r w:rsidR="001134D6">
        <w:rPr>
          <w:rFonts w:ascii="Times New Roman" w:hAnsi="Times New Roman" w:cs="Times New Roman"/>
          <w:sz w:val="24"/>
          <w:szCs w:val="24"/>
        </w:rPr>
        <w:t xml:space="preserve">o </w:t>
      </w:r>
      <w:r>
        <w:rPr>
          <w:rFonts w:ascii="Times New Roman" w:hAnsi="Times New Roman" w:cs="Times New Roman"/>
          <w:sz w:val="24"/>
          <w:szCs w:val="24"/>
        </w:rPr>
        <w:t xml:space="preserve">compromisso quanto a cláusula compromissória. Volta-se ao problema da </w:t>
      </w:r>
      <w:r w:rsidRPr="00885120">
        <w:rPr>
          <w:rFonts w:ascii="Times New Roman" w:hAnsi="Times New Roman" w:cs="Times New Roman"/>
          <w:i/>
          <w:iCs/>
          <w:sz w:val="24"/>
          <w:szCs w:val="24"/>
        </w:rPr>
        <w:t>neutralidade patrimonial</w:t>
      </w:r>
      <w:r>
        <w:rPr>
          <w:rFonts w:ascii="Times New Roman" w:hAnsi="Times New Roman" w:cs="Times New Roman"/>
          <w:sz w:val="24"/>
          <w:szCs w:val="24"/>
        </w:rPr>
        <w:t xml:space="preserve"> das questões de Direito de Família, sendo difícil, no meu entender, fazer uma separação absoluta </w:t>
      </w:r>
      <w:r w:rsidR="004244C0">
        <w:rPr>
          <w:rFonts w:ascii="Times New Roman" w:hAnsi="Times New Roman" w:cs="Times New Roman"/>
          <w:sz w:val="24"/>
          <w:szCs w:val="24"/>
        </w:rPr>
        <w:t xml:space="preserve">de </w:t>
      </w:r>
      <w:r>
        <w:rPr>
          <w:rFonts w:ascii="Times New Roman" w:hAnsi="Times New Roman" w:cs="Times New Roman"/>
          <w:sz w:val="24"/>
          <w:szCs w:val="24"/>
        </w:rPr>
        <w:t xml:space="preserve">questões que são </w:t>
      </w:r>
      <w:r w:rsidRPr="00692442">
        <w:rPr>
          <w:rFonts w:ascii="Times New Roman" w:hAnsi="Times New Roman" w:cs="Times New Roman"/>
          <w:i/>
          <w:iCs/>
          <w:sz w:val="24"/>
          <w:szCs w:val="24"/>
        </w:rPr>
        <w:t>patrimoniais puras</w:t>
      </w:r>
      <w:r>
        <w:rPr>
          <w:rFonts w:ascii="Times New Roman" w:hAnsi="Times New Roman" w:cs="Times New Roman"/>
          <w:sz w:val="24"/>
          <w:szCs w:val="24"/>
        </w:rPr>
        <w:t xml:space="preserve">, como anotei no desenvolvimento da </w:t>
      </w:r>
      <w:r w:rsidRPr="00692442">
        <w:rPr>
          <w:rFonts w:ascii="Times New Roman" w:hAnsi="Times New Roman" w:cs="Times New Roman"/>
          <w:i/>
          <w:iCs/>
          <w:sz w:val="24"/>
          <w:szCs w:val="24"/>
        </w:rPr>
        <w:t xml:space="preserve">primeira </w:t>
      </w:r>
      <w:r>
        <w:rPr>
          <w:rFonts w:ascii="Times New Roman" w:hAnsi="Times New Roman" w:cs="Times New Roman"/>
          <w:i/>
          <w:iCs/>
          <w:sz w:val="24"/>
          <w:szCs w:val="24"/>
        </w:rPr>
        <w:t>ressalva</w:t>
      </w:r>
      <w:r>
        <w:rPr>
          <w:rFonts w:ascii="Times New Roman" w:hAnsi="Times New Roman" w:cs="Times New Roman"/>
          <w:sz w:val="24"/>
          <w:szCs w:val="24"/>
        </w:rPr>
        <w:t xml:space="preserve">. </w:t>
      </w:r>
    </w:p>
    <w:p w:rsidR="004F108D" w:rsidRDefault="00692442" w:rsidP="00295C84">
      <w:pPr>
        <w:spacing w:before="120" w:after="120" w:line="360" w:lineRule="auto"/>
        <w:ind w:firstLine="1701"/>
        <w:jc w:val="both"/>
        <w:rPr>
          <w:rFonts w:ascii="Times New Roman" w:hAnsi="Times New Roman" w:cs="Times New Roman"/>
          <w:sz w:val="24"/>
          <w:szCs w:val="24"/>
        </w:rPr>
      </w:pPr>
      <w:r>
        <w:rPr>
          <w:rFonts w:ascii="Times New Roman" w:hAnsi="Times New Roman" w:cs="Times New Roman"/>
          <w:sz w:val="24"/>
          <w:szCs w:val="24"/>
        </w:rPr>
        <w:t xml:space="preserve">De toda sorte, não se pode negar que o tema é polêmico e que existem vozes e argumentos fortes para </w:t>
      </w:r>
      <w:r w:rsidR="004244C0">
        <w:rPr>
          <w:rFonts w:ascii="Times New Roman" w:hAnsi="Times New Roman" w:cs="Times New Roman"/>
          <w:sz w:val="24"/>
          <w:szCs w:val="24"/>
        </w:rPr>
        <w:t xml:space="preserve">se efetivar </w:t>
      </w:r>
      <w:r>
        <w:rPr>
          <w:rFonts w:ascii="Times New Roman" w:hAnsi="Times New Roman" w:cs="Times New Roman"/>
          <w:sz w:val="24"/>
          <w:szCs w:val="24"/>
        </w:rPr>
        <w:t xml:space="preserve">a </w:t>
      </w:r>
      <w:r w:rsidRPr="00692442">
        <w:rPr>
          <w:rFonts w:ascii="Times New Roman" w:hAnsi="Times New Roman" w:cs="Times New Roman"/>
          <w:i/>
          <w:iCs/>
          <w:sz w:val="24"/>
          <w:szCs w:val="24"/>
        </w:rPr>
        <w:t>arbitra</w:t>
      </w:r>
      <w:r w:rsidR="004244C0">
        <w:rPr>
          <w:rFonts w:ascii="Times New Roman" w:hAnsi="Times New Roman" w:cs="Times New Roman"/>
          <w:i/>
          <w:iCs/>
          <w:sz w:val="24"/>
          <w:szCs w:val="24"/>
        </w:rPr>
        <w:t>bi</w:t>
      </w:r>
      <w:r w:rsidRPr="00692442">
        <w:rPr>
          <w:rFonts w:ascii="Times New Roman" w:hAnsi="Times New Roman" w:cs="Times New Roman"/>
          <w:i/>
          <w:iCs/>
          <w:sz w:val="24"/>
          <w:szCs w:val="24"/>
        </w:rPr>
        <w:t xml:space="preserve">lidade </w:t>
      </w:r>
      <w:r>
        <w:rPr>
          <w:rFonts w:ascii="Times New Roman" w:hAnsi="Times New Roman" w:cs="Times New Roman"/>
          <w:sz w:val="24"/>
          <w:szCs w:val="24"/>
        </w:rPr>
        <w:t>familiar. O mesmo debate – até com maiores dificuldades, diante da intangibilidade da legítima –</w:t>
      </w:r>
      <w:r w:rsidR="00885120">
        <w:rPr>
          <w:rFonts w:ascii="Times New Roman" w:hAnsi="Times New Roman" w:cs="Times New Roman"/>
          <w:sz w:val="24"/>
          <w:szCs w:val="24"/>
        </w:rPr>
        <w:t xml:space="preserve"> </w:t>
      </w:r>
      <w:r>
        <w:rPr>
          <w:rFonts w:ascii="Times New Roman" w:hAnsi="Times New Roman" w:cs="Times New Roman"/>
          <w:sz w:val="24"/>
          <w:szCs w:val="24"/>
        </w:rPr>
        <w:t xml:space="preserve">atinge o Direito das Sucessões. Pretendo desenvolver melhor essas minhas objeções em artigo científico </w:t>
      </w:r>
      <w:r w:rsidR="00885120">
        <w:rPr>
          <w:rFonts w:ascii="Times New Roman" w:hAnsi="Times New Roman" w:cs="Times New Roman"/>
          <w:sz w:val="24"/>
          <w:szCs w:val="24"/>
        </w:rPr>
        <w:t xml:space="preserve">a ser escrito </w:t>
      </w:r>
      <w:r>
        <w:rPr>
          <w:rFonts w:ascii="Times New Roman" w:hAnsi="Times New Roman" w:cs="Times New Roman"/>
          <w:sz w:val="24"/>
          <w:szCs w:val="24"/>
        </w:rPr>
        <w:t xml:space="preserve">no futuro. </w:t>
      </w:r>
    </w:p>
    <w:p w:rsidR="005F1820" w:rsidRDefault="005F1820" w:rsidP="00295C84">
      <w:pPr>
        <w:spacing w:before="120" w:after="120" w:line="360" w:lineRule="auto"/>
        <w:ind w:firstLine="1701"/>
        <w:jc w:val="both"/>
        <w:rPr>
          <w:rFonts w:ascii="Times New Roman" w:hAnsi="Times New Roman" w:cs="Times New Roman"/>
          <w:sz w:val="24"/>
          <w:szCs w:val="24"/>
        </w:rPr>
      </w:pPr>
    </w:p>
    <w:sectPr w:rsidR="005F1820" w:rsidSect="005B2393">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BDF" w:rsidRDefault="009C7BDF" w:rsidP="00B15AD0">
      <w:pPr>
        <w:spacing w:after="0" w:line="240" w:lineRule="auto"/>
      </w:pPr>
      <w:r>
        <w:separator/>
      </w:r>
    </w:p>
  </w:endnote>
  <w:endnote w:type="continuationSeparator" w:id="0">
    <w:p w:rsidR="009C7BDF" w:rsidRDefault="009C7BDF" w:rsidP="00B15A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280438"/>
      <w:docPartObj>
        <w:docPartGallery w:val="Page Numbers (Bottom of Page)"/>
        <w:docPartUnique/>
      </w:docPartObj>
    </w:sdtPr>
    <w:sdtContent>
      <w:p w:rsidR="00A327F6" w:rsidRDefault="005B2393">
        <w:pPr>
          <w:pStyle w:val="Rodap"/>
          <w:jc w:val="right"/>
        </w:pPr>
        <w:r>
          <w:fldChar w:fldCharType="begin"/>
        </w:r>
        <w:r w:rsidR="00A327F6">
          <w:instrText>PAGE   \* MERGEFORMAT</w:instrText>
        </w:r>
        <w:r>
          <w:fldChar w:fldCharType="separate"/>
        </w:r>
        <w:r w:rsidR="003A6AC5">
          <w:rPr>
            <w:noProof/>
          </w:rPr>
          <w:t>5</w:t>
        </w:r>
        <w:r>
          <w:fldChar w:fldCharType="end"/>
        </w:r>
      </w:p>
    </w:sdtContent>
  </w:sdt>
  <w:p w:rsidR="00A327F6" w:rsidRDefault="00A327F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BDF" w:rsidRDefault="009C7BDF" w:rsidP="00B15AD0">
      <w:pPr>
        <w:spacing w:after="0" w:line="240" w:lineRule="auto"/>
      </w:pPr>
      <w:r>
        <w:separator/>
      </w:r>
    </w:p>
  </w:footnote>
  <w:footnote w:type="continuationSeparator" w:id="0">
    <w:p w:rsidR="009C7BDF" w:rsidRDefault="009C7BDF" w:rsidP="00B15AD0">
      <w:pPr>
        <w:spacing w:after="0" w:line="240" w:lineRule="auto"/>
      </w:pPr>
      <w:r>
        <w:continuationSeparator/>
      </w:r>
    </w:p>
  </w:footnote>
  <w:footnote w:id="1">
    <w:p w:rsidR="00B15AD0" w:rsidRPr="00197971" w:rsidRDefault="00B15AD0" w:rsidP="00B15AD0">
      <w:pPr>
        <w:pStyle w:val="Textodenotaderodap"/>
        <w:jc w:val="both"/>
      </w:pPr>
      <w:r w:rsidRPr="003B2F06">
        <w:rPr>
          <w:rStyle w:val="Refdenotaderodap"/>
        </w:rPr>
        <w:footnoteRef/>
      </w:r>
      <w:r w:rsidRPr="003B2F06">
        <w:t xml:space="preserve"> </w:t>
      </w:r>
      <w:r>
        <w:t xml:space="preserve">Pós-Doutorando e </w:t>
      </w:r>
      <w:r w:rsidRPr="003B2F06">
        <w:t xml:space="preserve">Doutor em Direito Civil pela USP. Mestre em Direito Civil Comparado pela PUCSP. Professor </w:t>
      </w:r>
      <w:r>
        <w:t>T</w:t>
      </w:r>
      <w:r w:rsidRPr="003B2F06">
        <w:t xml:space="preserve">itular permanente </w:t>
      </w:r>
      <w:r>
        <w:t xml:space="preserve">e coordenador do mestrado da Escola Paulista de Direito (EPD). </w:t>
      </w:r>
      <w:r w:rsidRPr="003B2F06">
        <w:t xml:space="preserve">Professor </w:t>
      </w:r>
      <w:r>
        <w:t xml:space="preserve">e coordenador </w:t>
      </w:r>
      <w:r w:rsidRPr="003B2F06">
        <w:t xml:space="preserve">dos cursos de pós-graduação </w:t>
      </w:r>
      <w:r w:rsidRPr="00511B17">
        <w:rPr>
          <w:i/>
        </w:rPr>
        <w:t>lato sensu</w:t>
      </w:r>
      <w:r w:rsidRPr="003B2F06">
        <w:t xml:space="preserve"> </w:t>
      </w:r>
      <w:r>
        <w:t xml:space="preserve">em Direito Privado </w:t>
      </w:r>
      <w:r w:rsidRPr="003B2F06">
        <w:t>da EPD.</w:t>
      </w:r>
      <w:r>
        <w:t xml:space="preserve"> Presidente Nacional do Instituto Brasileiro de Direito Contratual (IBDCONT). Presidente do Instituto Brasileiro de Direito de Família em São Paulo (IBDFAM/SP). </w:t>
      </w:r>
      <w:r w:rsidR="009B666C">
        <w:t xml:space="preserve">Conselheiro seccional da OABSP e Diretor da ESAOABSP. </w:t>
      </w:r>
      <w:r w:rsidRPr="003B2F06">
        <w:t xml:space="preserve">Advogado </w:t>
      </w:r>
      <w:r>
        <w:t xml:space="preserve">em São Paulo, parecerista </w:t>
      </w:r>
      <w:r w:rsidRPr="003B2F06">
        <w:t>e consultor jurídico</w:t>
      </w:r>
      <w:r w:rsidRPr="00197971">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hyphenationZone w:val="425"/>
  <w:characterSpacingControl w:val="doNotCompress"/>
  <w:footnotePr>
    <w:footnote w:id="-1"/>
    <w:footnote w:id="0"/>
  </w:footnotePr>
  <w:endnotePr>
    <w:endnote w:id="-1"/>
    <w:endnote w:id="0"/>
  </w:endnotePr>
  <w:compat/>
  <w:rsids>
    <w:rsidRoot w:val="0079684D"/>
    <w:rsid w:val="00002059"/>
    <w:rsid w:val="00012D24"/>
    <w:rsid w:val="000163F9"/>
    <w:rsid w:val="00090984"/>
    <w:rsid w:val="000A6A8E"/>
    <w:rsid w:val="000D6AB7"/>
    <w:rsid w:val="001134D6"/>
    <w:rsid w:val="001431C6"/>
    <w:rsid w:val="00154A54"/>
    <w:rsid w:val="001A3BB7"/>
    <w:rsid w:val="001C20B6"/>
    <w:rsid w:val="001C3B37"/>
    <w:rsid w:val="001D23C5"/>
    <w:rsid w:val="001D4C59"/>
    <w:rsid w:val="00240103"/>
    <w:rsid w:val="002628DD"/>
    <w:rsid w:val="0027678B"/>
    <w:rsid w:val="002809A2"/>
    <w:rsid w:val="00295C84"/>
    <w:rsid w:val="002E0A51"/>
    <w:rsid w:val="00310780"/>
    <w:rsid w:val="00320E11"/>
    <w:rsid w:val="00354174"/>
    <w:rsid w:val="00356BC1"/>
    <w:rsid w:val="003A6AC5"/>
    <w:rsid w:val="003E6BFA"/>
    <w:rsid w:val="00416565"/>
    <w:rsid w:val="004231D8"/>
    <w:rsid w:val="004244C0"/>
    <w:rsid w:val="00463CAE"/>
    <w:rsid w:val="00465B35"/>
    <w:rsid w:val="00474A31"/>
    <w:rsid w:val="004B0CC8"/>
    <w:rsid w:val="004D192A"/>
    <w:rsid w:val="004F108D"/>
    <w:rsid w:val="0051186F"/>
    <w:rsid w:val="00551126"/>
    <w:rsid w:val="005B2393"/>
    <w:rsid w:val="005C3619"/>
    <w:rsid w:val="005E4456"/>
    <w:rsid w:val="005F1820"/>
    <w:rsid w:val="00635A77"/>
    <w:rsid w:val="00637D4E"/>
    <w:rsid w:val="0065327B"/>
    <w:rsid w:val="00684049"/>
    <w:rsid w:val="00692442"/>
    <w:rsid w:val="006A3397"/>
    <w:rsid w:val="006B64C9"/>
    <w:rsid w:val="006E0C8C"/>
    <w:rsid w:val="006E1F16"/>
    <w:rsid w:val="006F666B"/>
    <w:rsid w:val="00783334"/>
    <w:rsid w:val="007914E9"/>
    <w:rsid w:val="0079684D"/>
    <w:rsid w:val="007A54E4"/>
    <w:rsid w:val="007B3258"/>
    <w:rsid w:val="007B5E1B"/>
    <w:rsid w:val="007D0849"/>
    <w:rsid w:val="007E25B9"/>
    <w:rsid w:val="007E6471"/>
    <w:rsid w:val="00801384"/>
    <w:rsid w:val="008674E3"/>
    <w:rsid w:val="00867E84"/>
    <w:rsid w:val="00885120"/>
    <w:rsid w:val="008E513D"/>
    <w:rsid w:val="008F63CA"/>
    <w:rsid w:val="00932490"/>
    <w:rsid w:val="00960F98"/>
    <w:rsid w:val="00961295"/>
    <w:rsid w:val="009715B4"/>
    <w:rsid w:val="009B666C"/>
    <w:rsid w:val="009C7BDF"/>
    <w:rsid w:val="009E1D79"/>
    <w:rsid w:val="009E659D"/>
    <w:rsid w:val="009E65DC"/>
    <w:rsid w:val="00A1091B"/>
    <w:rsid w:val="00A15C1C"/>
    <w:rsid w:val="00A17286"/>
    <w:rsid w:val="00A17FCD"/>
    <w:rsid w:val="00A327F6"/>
    <w:rsid w:val="00A73016"/>
    <w:rsid w:val="00B15AD0"/>
    <w:rsid w:val="00B35B11"/>
    <w:rsid w:val="00B823FF"/>
    <w:rsid w:val="00B83A19"/>
    <w:rsid w:val="00B87B12"/>
    <w:rsid w:val="00B975F2"/>
    <w:rsid w:val="00BC23E3"/>
    <w:rsid w:val="00C201BE"/>
    <w:rsid w:val="00C53FB9"/>
    <w:rsid w:val="00C55F21"/>
    <w:rsid w:val="00C81C6B"/>
    <w:rsid w:val="00C92E87"/>
    <w:rsid w:val="00CD50B1"/>
    <w:rsid w:val="00CE7C6D"/>
    <w:rsid w:val="00D146BD"/>
    <w:rsid w:val="00D167BF"/>
    <w:rsid w:val="00D44E5A"/>
    <w:rsid w:val="00D84097"/>
    <w:rsid w:val="00D85EFE"/>
    <w:rsid w:val="00D87DAF"/>
    <w:rsid w:val="00DC17C3"/>
    <w:rsid w:val="00DD4193"/>
    <w:rsid w:val="00E03BC8"/>
    <w:rsid w:val="00E154BB"/>
    <w:rsid w:val="00E16C47"/>
    <w:rsid w:val="00E53BFA"/>
    <w:rsid w:val="00E621E1"/>
    <w:rsid w:val="00E821F9"/>
    <w:rsid w:val="00EC15F6"/>
    <w:rsid w:val="00ED029D"/>
    <w:rsid w:val="00EE67EA"/>
    <w:rsid w:val="00F37CBA"/>
    <w:rsid w:val="00F47016"/>
    <w:rsid w:val="00FA4B9B"/>
    <w:rsid w:val="00FB52CB"/>
    <w:rsid w:val="00FF1A0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39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81C6B"/>
    <w:rPr>
      <w:color w:val="0563C1" w:themeColor="hyperlink"/>
      <w:u w:val="single"/>
    </w:rPr>
  </w:style>
  <w:style w:type="character" w:customStyle="1" w:styleId="MenoPendente1">
    <w:name w:val="Menção Pendente1"/>
    <w:basedOn w:val="Fontepargpadro"/>
    <w:uiPriority w:val="99"/>
    <w:semiHidden/>
    <w:unhideWhenUsed/>
    <w:rsid w:val="00C81C6B"/>
    <w:rPr>
      <w:color w:val="605E5C"/>
      <w:shd w:val="clear" w:color="auto" w:fill="E1DFDD"/>
    </w:rPr>
  </w:style>
  <w:style w:type="paragraph" w:styleId="Textodenotaderodap">
    <w:name w:val="footnote text"/>
    <w:basedOn w:val="Normal"/>
    <w:link w:val="TextodenotaderodapChar"/>
    <w:rsid w:val="00B15AD0"/>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B15AD0"/>
    <w:rPr>
      <w:rFonts w:ascii="Times New Roman" w:eastAsia="Times New Roman" w:hAnsi="Times New Roman" w:cs="Times New Roman"/>
      <w:sz w:val="20"/>
      <w:szCs w:val="20"/>
      <w:lang w:eastAsia="pt-BR"/>
    </w:rPr>
  </w:style>
  <w:style w:type="character" w:styleId="Refdenotaderodap">
    <w:name w:val="footnote reference"/>
    <w:semiHidden/>
    <w:rsid w:val="00B15AD0"/>
    <w:rPr>
      <w:vertAlign w:val="superscript"/>
    </w:rPr>
  </w:style>
  <w:style w:type="paragraph" w:styleId="Cabealho">
    <w:name w:val="header"/>
    <w:basedOn w:val="Normal"/>
    <w:link w:val="CabealhoChar"/>
    <w:uiPriority w:val="99"/>
    <w:unhideWhenUsed/>
    <w:rsid w:val="00A327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327F6"/>
  </w:style>
  <w:style w:type="paragraph" w:styleId="Rodap">
    <w:name w:val="footer"/>
    <w:basedOn w:val="Normal"/>
    <w:link w:val="RodapChar"/>
    <w:uiPriority w:val="99"/>
    <w:unhideWhenUsed/>
    <w:rsid w:val="00A327F6"/>
    <w:pPr>
      <w:tabs>
        <w:tab w:val="center" w:pos="4252"/>
        <w:tab w:val="right" w:pos="8504"/>
      </w:tabs>
      <w:spacing w:after="0" w:line="240" w:lineRule="auto"/>
    </w:pPr>
  </w:style>
  <w:style w:type="character" w:customStyle="1" w:styleId="RodapChar">
    <w:name w:val="Rodapé Char"/>
    <w:basedOn w:val="Fontepargpadro"/>
    <w:link w:val="Rodap"/>
    <w:uiPriority w:val="99"/>
    <w:rsid w:val="00A327F6"/>
  </w:style>
  <w:style w:type="character" w:styleId="Refdecomentrio">
    <w:name w:val="annotation reference"/>
    <w:basedOn w:val="Fontepargpadro"/>
    <w:uiPriority w:val="99"/>
    <w:semiHidden/>
    <w:unhideWhenUsed/>
    <w:rsid w:val="00D87DAF"/>
    <w:rPr>
      <w:sz w:val="16"/>
      <w:szCs w:val="16"/>
    </w:rPr>
  </w:style>
  <w:style w:type="paragraph" w:styleId="Textodecomentrio">
    <w:name w:val="annotation text"/>
    <w:basedOn w:val="Normal"/>
    <w:link w:val="TextodecomentrioChar"/>
    <w:uiPriority w:val="99"/>
    <w:semiHidden/>
    <w:unhideWhenUsed/>
    <w:rsid w:val="00D87DA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87DAF"/>
    <w:rPr>
      <w:sz w:val="20"/>
      <w:szCs w:val="20"/>
    </w:rPr>
  </w:style>
  <w:style w:type="paragraph" w:styleId="Assuntodocomentrio">
    <w:name w:val="annotation subject"/>
    <w:basedOn w:val="Textodecomentrio"/>
    <w:next w:val="Textodecomentrio"/>
    <w:link w:val="AssuntodocomentrioChar"/>
    <w:uiPriority w:val="99"/>
    <w:semiHidden/>
    <w:unhideWhenUsed/>
    <w:rsid w:val="00D87DAF"/>
    <w:rPr>
      <w:b/>
      <w:bCs/>
    </w:rPr>
  </w:style>
  <w:style w:type="character" w:customStyle="1" w:styleId="AssuntodocomentrioChar">
    <w:name w:val="Assunto do comentário Char"/>
    <w:basedOn w:val="TextodecomentrioChar"/>
    <w:link w:val="Assuntodocomentrio"/>
    <w:uiPriority w:val="99"/>
    <w:semiHidden/>
    <w:rsid w:val="00D87DAF"/>
    <w:rPr>
      <w:b/>
      <w:bCs/>
      <w:sz w:val="20"/>
      <w:szCs w:val="20"/>
    </w:rPr>
  </w:style>
  <w:style w:type="paragraph" w:styleId="Textodebalo">
    <w:name w:val="Balloon Text"/>
    <w:basedOn w:val="Normal"/>
    <w:link w:val="TextodebaloChar"/>
    <w:uiPriority w:val="99"/>
    <w:semiHidden/>
    <w:unhideWhenUsed/>
    <w:rsid w:val="002628D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628DD"/>
    <w:rPr>
      <w:rFonts w:ascii="Segoe UI" w:hAnsi="Segoe UI" w:cs="Segoe UI"/>
      <w:sz w:val="18"/>
      <w:szCs w:val="18"/>
    </w:rPr>
  </w:style>
  <w:style w:type="paragraph" w:customStyle="1" w:styleId="recmenor">
    <w:name w:val="rec menor"/>
    <w:basedOn w:val="Normal"/>
    <w:uiPriority w:val="99"/>
    <w:rsid w:val="00C92E87"/>
    <w:pPr>
      <w:widowControl w:val="0"/>
      <w:suppressAutoHyphens/>
      <w:autoSpaceDE w:val="0"/>
      <w:autoSpaceDN w:val="0"/>
      <w:adjustRightInd w:val="0"/>
      <w:spacing w:before="170" w:after="283" w:line="220" w:lineRule="atLeast"/>
      <w:ind w:left="454" w:right="397"/>
      <w:jc w:val="both"/>
      <w:textAlignment w:val="center"/>
    </w:pPr>
    <w:rPr>
      <w:rFonts w:ascii="MinionPro-Regular" w:eastAsiaTheme="minorEastAsia" w:hAnsi="MinionPro-Regular" w:cs="MinionPro-Regular"/>
      <w:color w:val="000000"/>
      <w:w w:val="101"/>
      <w:sz w:val="20"/>
      <w:szCs w:val="20"/>
      <w:lang w:eastAsia="pt-BR"/>
    </w:rPr>
  </w:style>
  <w:style w:type="paragraph" w:customStyle="1" w:styleId="nota">
    <w:name w:val="nota"/>
    <w:basedOn w:val="Normal"/>
    <w:uiPriority w:val="99"/>
    <w:rsid w:val="00C92E87"/>
    <w:pPr>
      <w:widowControl w:val="0"/>
      <w:tabs>
        <w:tab w:val="left" w:pos="320"/>
      </w:tabs>
      <w:autoSpaceDE w:val="0"/>
      <w:autoSpaceDN w:val="0"/>
      <w:adjustRightInd w:val="0"/>
      <w:spacing w:after="57" w:line="200" w:lineRule="atLeast"/>
      <w:ind w:left="227" w:hanging="227"/>
      <w:jc w:val="both"/>
      <w:textAlignment w:val="center"/>
    </w:pPr>
    <w:rPr>
      <w:rFonts w:ascii="MyriadPro-Regular" w:eastAsiaTheme="minorEastAsia" w:hAnsi="MyriadPro-Regular" w:cs="MyriadPro-Regular"/>
      <w:color w:val="000000"/>
      <w:sz w:val="17"/>
      <w:szCs w:val="17"/>
      <w:lang w:eastAsia="pt-BR"/>
    </w:rPr>
  </w:style>
  <w:style w:type="character" w:customStyle="1" w:styleId="italico">
    <w:name w:val="italico"/>
    <w:uiPriority w:val="99"/>
    <w:rsid w:val="00C92E87"/>
    <w:rPr>
      <w:i/>
      <w:color w:val="000000"/>
    </w:rPr>
  </w:style>
  <w:style w:type="character" w:customStyle="1" w:styleId="elevado">
    <w:name w:val="elevado"/>
    <w:uiPriority w:val="99"/>
    <w:rsid w:val="00C92E87"/>
    <w:rPr>
      <w:color w:val="000000"/>
      <w:vertAlign w:val="superscript"/>
    </w:rPr>
  </w:style>
  <w:style w:type="paragraph" w:customStyle="1" w:styleId="t">
    <w:name w:val="t"/>
    <w:basedOn w:val="Normal"/>
    <w:next w:val="Normal"/>
    <w:uiPriority w:val="99"/>
    <w:rsid w:val="00D167BF"/>
    <w:pPr>
      <w:widowControl w:val="0"/>
      <w:autoSpaceDE w:val="0"/>
      <w:autoSpaceDN w:val="0"/>
      <w:adjustRightInd w:val="0"/>
      <w:spacing w:after="57" w:line="240" w:lineRule="atLeast"/>
      <w:ind w:firstLine="454"/>
      <w:jc w:val="both"/>
      <w:textAlignment w:val="center"/>
    </w:pPr>
    <w:rPr>
      <w:rFonts w:ascii="MinionPro-Regular" w:eastAsiaTheme="minorEastAsia" w:hAnsi="MinionPro-Regular" w:cs="MinionPro-Regular"/>
      <w:color w:val="000000"/>
      <w:sz w:val="21"/>
      <w:szCs w:val="21"/>
      <w:lang w:eastAsia="pt-BR"/>
    </w:rPr>
  </w:style>
  <w:style w:type="paragraph" w:styleId="Reviso">
    <w:name w:val="Revision"/>
    <w:hidden/>
    <w:uiPriority w:val="99"/>
    <w:semiHidden/>
    <w:rsid w:val="00B823FF"/>
    <w:pPr>
      <w:spacing w:after="0" w:line="240" w:lineRule="auto"/>
    </w:pPr>
  </w:style>
</w:styles>
</file>

<file path=word/webSettings.xml><?xml version="1.0" encoding="utf-8"?>
<w:webSettings xmlns:r="http://schemas.openxmlformats.org/officeDocument/2006/relationships" xmlns:w="http://schemas.openxmlformats.org/wordprocessingml/2006/main">
  <w:divs>
    <w:div w:id="200948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49F69-22B6-422E-94CC-5CCB0C8D8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1697</Words>
  <Characters>9165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lider</dc:creator>
  <cp:keywords/>
  <dc:description/>
  <cp:lastModifiedBy>Flavio</cp:lastModifiedBy>
  <cp:revision>4</cp:revision>
  <dcterms:created xsi:type="dcterms:W3CDTF">2022-02-21T17:31:00Z</dcterms:created>
  <dcterms:modified xsi:type="dcterms:W3CDTF">2022-02-23T17:14:00Z</dcterms:modified>
</cp:coreProperties>
</file>