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EB" w:rsidRPr="005E42EB" w:rsidRDefault="005E42EB" w:rsidP="005E42E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Denúncia vazia pode caracterizar abuso do direito de romper plano de saúde</w:t>
      </w:r>
    </w:p>
    <w:p w:rsidR="005E42EB" w:rsidRDefault="005E42EB" w:rsidP="005E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Por Fernando Martins. Professor da Universidade Federal de Uberlândia. Doutor em Direito Civil pela PUCSP. Promotor de Justiça em Minas Gerais. </w:t>
      </w:r>
    </w:p>
    <w:p w:rsidR="005E42EB" w:rsidRPr="005E42EB" w:rsidRDefault="005E42EB" w:rsidP="005E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A estratégia mercadológica das operadoras privadas de saúde modifica-se de forma rápida, acentuada, a ponto de exigir reflexões críticas quanto à necessidade de respostas suficientes e igualmente céleres do Direito, enquanto sistema apto a dar concretude às relações jurídicas fundamentais, dentre elas os contratos.</w:t>
      </w:r>
    </w:p>
    <w:p w:rsidR="005E42EB" w:rsidRPr="005E42EB" w:rsidRDefault="005E42EB" w:rsidP="005E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 anteriormente a grande maioria dos contratos de prestação de serviços de saúde era celebrada na modalidade individual ou familiar (Lei 9.656/98, artigo 16, inciso VII, alínea “a”; RN 195/2009 da ANS, artigo 3º), atualmente as operadoras, ao tempo que limitam as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pactuações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em tais categorias, oferecem com bastante voracidade formas coletivas de contratação. Há incessante contratualização pelos tipos “coletivo empresarial” e “coletivo por adesão” (Lei 9.656/98, artigo 16, inciso VII, alíneas “b” e “c”; RN 195/2009 da ANS, artigo 5º e 9º, respectivamente), envolvendo, respectivamente, pessoas jurídicas de caráter profissional ou pessoas jurídicas de vínculo associativo.</w:t>
      </w:r>
    </w:p>
    <w:p w:rsidR="005E42EB" w:rsidRPr="005E42EB" w:rsidRDefault="005E42EB" w:rsidP="005E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Evidente que essa tendência resta facilitada (e até parece ser incorretamente incentivada) considerando regramento secundário pelo qual à ANS não cabe interferir ou mesmo fixar preços e reajustes das mensalidades em regimes contratuais coletivos, abrindo espaço para “ampla” liberdade de atuação das operadoras. Trata-se da fuga ao Direito para o refúgio no território da </w:t>
      </w:r>
      <w:proofErr w:type="spellStart"/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lex</w:t>
      </w:r>
      <w:proofErr w:type="spellEnd"/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 </w:t>
      </w:r>
      <w:proofErr w:type="spellStart"/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mercatoria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5E42EB" w:rsidRPr="005E42EB" w:rsidRDefault="005E42EB" w:rsidP="005E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nesse ponto é de frisar, </w:t>
      </w:r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com zelo de joalheiro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, que são essas operadoras detentoras — única e exclusivamente — do monopólio e tecnologia do serviço disponibilizado perante o mercado, que as capacita ao inequívoco êxito de sujeitar até mesmo a vontade da pessoa jurídica (estipulante) que a contrata e que tem por dever de solidariedade proteger seus empregados ou associados. Em suma, duas faces da mesma moeda: “A necessidade de contratar leva à impossibilidade de resistir”</w:t>
      </w:r>
      <w:bookmarkStart w:id="0" w:name="_ftnref1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"http://www.conjur.com.br/2016-mar-30/garantias-consumo-denuncia-vazia-caracterizar-abuso-romper-plano-saude" \l "_ftn1" \o "" </w:instrTex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E42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[1]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0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5E42EB" w:rsidRPr="005E42EB" w:rsidRDefault="005E42EB" w:rsidP="005E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o caráter mais </w:t>
      </w:r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obsequioso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ANS em contratos coletivos, já que pressupõe erroneamente relação de “paridade” entre duas pessoas jurídicas (operadora e estipulante), é que com assombro verifica-se crescente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abusividade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 ampla reiteração em dias atuais: a resilição unilateral de contratações coletivas pelas operadoras, contando até com 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apoio de parte de setores jurídicos que emprestam ao fato jurídico interpretação em caráter meramente patrimonialista e econômico.</w:t>
      </w:r>
    </w:p>
    <w:p w:rsidR="005E42EB" w:rsidRPr="005E42EB" w:rsidRDefault="005E42EB" w:rsidP="005E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Aliás, é a norma secundária que abre espaço para essa iniquidade, basta ler que a Resolução 195/2009 da ANS no parágrafo único do artigo 17 permite: “Os contratos de planos privados de assistência à saúde coletivos por adesão ou empresarial somente poderão ser rescindidos imotivadamente após a vigência do período de doze meses e mediante prévia notificação da outra parte com antecedência mínima de sessenta dias”. Parece-nos que contratos de prestação de serviço de saúde — não importam se individuais ou coletivos — devem ser analisados à luz da hermenêutica propositiva voltada aos direitos fundamentais, especialmente a considerar a ampla situação de hipervulnerabilidade do consumidor em comiseração pelas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intercorrências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negativas no tono vital.</w:t>
      </w:r>
    </w:p>
    <w:p w:rsidR="005E42EB" w:rsidRPr="005E42EB" w:rsidRDefault="005E42EB" w:rsidP="005E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regra secundária — expedida pela ANS, sem amparo no axioma da dignidade da pessoa humana e, via de consequência, carecendo de adequação à verticalidade constitucional — da maneira como está posta possibilita a extinção de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pactuação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cujo objeto é caracterizado pela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fundamentabilidade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(vida, saúde e segurança). Vale lembrar que a resilição unilateral nada mais é que a “denúncia vazia” que põe termo à relação jurídica contratual</w:t>
      </w:r>
      <w:bookmarkStart w:id="1" w:name="_ftnref2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"http://www.conjur.com.br/2016-mar-30/garantias-consumo-denuncia-vazia-caracterizar-abuso-romper-plano-saude" \l "_ftn2" \o "" </w:instrTex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E42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[2]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1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5E42EB" w:rsidRPr="005E42EB" w:rsidRDefault="005E42EB" w:rsidP="005E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Críticas à parte, evidente que dispositivos legais como o mencionado são próprios de Estados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policêntricos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(caracterizados por crises sistêmicas estruturais e incontáveis centros de gestão), levando o aparato legislativo à ampla incoerência, pois, enquanto a Constituição Federal, o Código de Defesa do Consumidor e a Lei 9.656/98 definem fórmulas jurídicas adequadas e dialógicas para a proteção do consumidor, tais “distorções” enfraquecem a construção histórica, cultural e de experiência dos direitos humanos nas relações privadas.</w:t>
      </w:r>
    </w:p>
    <w:p w:rsidR="005E42EB" w:rsidRPr="005E42EB" w:rsidRDefault="005E42EB" w:rsidP="005E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Tenha-se ademais que “denúncia vazia” sempre é recebida com reservas pelo sistema jurídico. O próprio Código Civil (parágrafo único do artigo 473) ao permitir a resilição unilateral lhe impõe limites, permitindo tão somente a produção de efeitos, desde que sejam considerados a natureza do contrato e o vulto do investimento. Ora, não se apresenta honesto raciocinar que enquanto a lei civil coloque a salvo da “denúncia vazia” o patrimônio de um dos pactuantes que depende do contrato recorra aos sistemas de direitos e garantias fundamentais (</w:t>
      </w:r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responsivo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)</w:t>
      </w:r>
      <w:bookmarkStart w:id="2" w:name="_ftnref3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"http://www.conjur.com.br/2016-mar-30/garantias-consumo-denuncia-vazia-caracterizar-abuso-romper-plano-saude" \l "_ftn3" \o "" </w:instrTex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E42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[3]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2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, de modo a evitar a abusiva extinção de relação jurídica fundamental sem ao menos a motivação plausível.</w:t>
      </w:r>
    </w:p>
    <w:p w:rsidR="005E42EB" w:rsidRPr="005E42EB" w:rsidRDefault="005E42EB" w:rsidP="005E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Os contratos de prestação de serviços de saúde são situados em relevantes categorizações</w:t>
      </w:r>
      <w:bookmarkStart w:id="3" w:name="_ftnref4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"http://www.conjur.com.br/2016-mar-30/garantias-consumo-denuncia-vazia-caracterizar-abuso-romper-plano-saude" \l "_ftn4" \o "" </w:instrTex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E42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[4]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3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. Podem ser vistos como: i) contrato cativo ou de extensiva duração (exigente de reciprocidade dinâmica, com ampla proteção das expectativas legítimas espargidas ao longo do relacionamento temporal entre as partes)</w:t>
      </w:r>
      <w:bookmarkStart w:id="4" w:name="_ftnref5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"http://www.conjur.com.br/2016-mar-30/garantias-consumo-denuncia-vazia-caracterizar-abuso-romper-plano-saude" \l "_ftn5" \o "" </w:instrTex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E42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[5]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4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; ii) contrato relacional (de interação pessoal e com larga duração temporal, qualificado pela colaboração e pela boa-fé, mantendo-se o vínculo mesmo frente a pequenos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incumprimentos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)</w:t>
      </w:r>
      <w:bookmarkStart w:id="5" w:name="_ftnref6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"http://www.conjur.com.br/2016-mar-30/garantias-consumo-denuncia-vazia-caracterizar-abuso-romper-plano-saude" \l "_ftn6" \o "" </w:instrTex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E42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[6]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5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; iii) contrato existencial (de atendimento à subsistência humana, cuja prestação de alto conteúdo ético e moral)</w:t>
      </w:r>
      <w:bookmarkStart w:id="6" w:name="_ftnref7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"http://www.conjur.com.br/2016-mar-30/garantias-consumo-denuncia-vazia-caracterizar-abuso-romper-plano-saude" \l "_ftn7" \o "" </w:instrTex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E42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[7]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6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5E42EB" w:rsidRPr="005E42EB" w:rsidRDefault="005E42EB" w:rsidP="005E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Trata-se de contrato cujo objeto é prestação de serviços de natureza </w:t>
      </w:r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fundamental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, em que o risco é próprio ao fornecedor; contrato amplamente perfilhado por relações jurídicas reiteradas e solidificadas ao longo do tempo em que a legítima expectativa de renovação ou de manutenção é constante; contrato que celebrado entre duas pessoas jurídicas perfaz efeitos diretos e imediatos em terceiros, pessoas naturais e beneficiárias da prestação de serviço.</w:t>
      </w:r>
    </w:p>
    <w:p w:rsidR="005E42EB" w:rsidRPr="005E42EB" w:rsidRDefault="005E42EB" w:rsidP="005E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Nessas situações, vislumbra-se com acerto as decisões judiciais que definem como abusivas e nulas as cláusulas contratuais que permitem a “denúncia vazia”, mesmo que baseadas em norma secundária da ANS (Resolução 195/2009), isto porque ofensiva à função social do contrato (CC, artigo 421), especialmente em vista do solidarismo contratual</w:t>
      </w:r>
      <w:bookmarkStart w:id="7" w:name="_ftnref8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"http://www.conjur.com.br/2016-mar-30/garantias-consumo-denuncia-vazia-caracterizar-abuso-romper-plano-saude" \l "_ftn8" \o "" </w:instrTex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E42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[8]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7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. Até porque, a Lei Federal 9.656/98 (artigo 13), ao tratar da extinção contratual, dá ênfase à “rescisão” unilateral por fraude ou inadimplemento, vedando em qualquer hipótese em caso de internação de paciente, nada disciplinando sobre a resilição unilateral nos contratos coletivos.</w:t>
      </w:r>
    </w:p>
    <w:p w:rsidR="005E42EB" w:rsidRPr="005E42EB" w:rsidRDefault="005E42EB" w:rsidP="005E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Contudo, a nulidade também pode derivar do </w:t>
      </w:r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abuso de direito de resilir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verificando o exercício inadmissível de posição jurídica do predisponente contratual (operadoras), que coloca em risco o bem-estar psíquico físico do consumidor, passível de nulidade e de ineficácia ao consumidor, especialmente nas seguintes hipóteses: i) falta de notificação prévia; ii) não observância do prazo estabelecido pela ANS; iii) modificação da condição de saúde do segurado (rebaixamento da qualidade de vida); iv) tratamento em duração, já que o consumidor não “dono” da própria saúde; v) ausência de plano individual, desprovidos de carências e preços similares e; vi) falta de comprovação da modificação da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sinistralidade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exigente de reajuste da mensalidade e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ensejadora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resilição (discussão esta que deve ser deslindada em pleito específico de equilíbrio econômico-financeiro).</w:t>
      </w:r>
    </w:p>
    <w:p w:rsidR="005E42EB" w:rsidRPr="005E42EB" w:rsidRDefault="005E42EB" w:rsidP="005E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tudo se percebe a necessidade de compreender o contrato de prestação de serviços de saúde em todo seu significado. Seu objeto, embora defina 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prestação patrimonial não exclui o caráter existencial dos interesses que lhe dizem respeito.</w:t>
      </w:r>
    </w:p>
    <w:p w:rsidR="005E42EB" w:rsidRPr="005E42EB" w:rsidRDefault="005E42EB" w:rsidP="005E4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pict>
          <v:rect id="_x0000_i1025" style="width:140.3pt;height:.75pt" o:hrpct="330" o:hrstd="t" o:hr="t" fillcolor="#a0a0a0" stroked="f"/>
        </w:pict>
      </w:r>
    </w:p>
    <w:bookmarkStart w:id="8" w:name="_ftn1"/>
    <w:p w:rsidR="005E42EB" w:rsidRPr="005E42EB" w:rsidRDefault="005E42EB" w:rsidP="005E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"http://www.conjur.com.br/2016-mar-30/garantias-consumo-denuncia-vazia-caracterizar-abuso-romper-plano-saude" \l "_ftnref1" \o "" </w:instrTex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E42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[1]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8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Stiglitz,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Rúben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y Stiglitz Gabriel, </w:t>
      </w:r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Contratos por </w:t>
      </w:r>
      <w:proofErr w:type="spellStart"/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Adhesión</w:t>
      </w:r>
      <w:proofErr w:type="spellEnd"/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, Cláusulas Abusivas y </w:t>
      </w:r>
      <w:proofErr w:type="spellStart"/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Protección</w:t>
      </w:r>
      <w:proofErr w:type="spellEnd"/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 </w:t>
      </w:r>
      <w:proofErr w:type="spellStart"/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al</w:t>
      </w:r>
      <w:proofErr w:type="spellEnd"/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 Consumidor.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Buenos Aires: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Depalma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, 1985, p. 6.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bookmarkStart w:id="9" w:name="_ftn2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"http://www.conjur.com.br/2016-mar-30/garantias-consumo-denuncia-vazia-caracterizar-abuso-romper-plano-saude" \l "_ftnref2" \o "" </w:instrTex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E42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[2]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9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AZEVEDO, Antônio Junqueira de. </w:t>
      </w:r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Contrato de Distribuição. Causa Final dos Contratos de Trato Sucessivo. Resilição Unilateral e seu Momento de Eficácia. Interpretação Contratual. Negócio per </w:t>
      </w:r>
      <w:proofErr w:type="spellStart"/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Relationem</w:t>
      </w:r>
      <w:proofErr w:type="spellEnd"/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 e Preço Determinável. Conceito de ‘Compra’ de Contrato e Abuso de Direito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. RT. v. 826. São Paulo: Revista dos Tribunais, 2004, p. 126.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bookmarkStart w:id="10" w:name="_ftn3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"http://www.conjur.com.br/2016-mar-30/garantias-consumo-denuncia-vazia-caracterizar-abuso-romper-plano-saude" \l "_ftnref3" \o "" </w:instrTex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E42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[3]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10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NONET, Philippe e SELZNICK, Philip. </w:t>
      </w:r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Direito e Sociedade: a Transição ao Sistema Jurídico Responsivo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Trad. Vera Ribeiro. Rio de Janeiro: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Revan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, 2010, p. 129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bookmarkStart w:id="11" w:name="_ftn4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"http://www.conjur.com.br/2016-mar-30/garantias-consumo-denuncia-vazia-caracterizar-abuso-romper-plano-saude" \l "_ftnref4" \o "" </w:instrTex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E42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[4]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11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MIRAGEM, Bruno. </w:t>
      </w:r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Curso de Direito do Consumidor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. 5</w:t>
      </w:r>
      <w:r w:rsidRPr="005E42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t-BR"/>
        </w:rPr>
        <w:t>a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ed. São Paulo: RT, p. 421 e ss.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bookmarkStart w:id="12" w:name="_ftn5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"http://www.conjur.com.br/2016-mar-30/garantias-consumo-denuncia-vazia-caracterizar-abuso-romper-plano-saude" \l "_ftnref5" \o "" </w:instrTex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E42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[5]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12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MARQUES, Cláudia Lima. </w:t>
      </w:r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Contratos no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Código de Defesa do Consumidor.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Paulo: Revista dos Tribunais, 2002, p. 81.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bookmarkStart w:id="13" w:name="_ftn6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"http://www.conjur.com.br/2016-mar-30/garantias-consumo-denuncia-vazia-caracterizar-abuso-romper-plano-saude" \l "_ftnref6" \o "" </w:instrTex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E42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[6]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13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MacNeil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Ian R. </w:t>
      </w:r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O Novo Contrato Social.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Trad.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Alvamar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Campos Andrade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Lamparelli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Rio de Janeiro: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Elsevier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2009; Macedo Júnior, Ronaldo Porto. </w:t>
      </w:r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Contratos Relacionais e Defesa do Consumidor.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Paulo: Revista dos Tribunais, 2007, p. 53.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bookmarkStart w:id="14" w:name="_ftn7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"http://www.conjur.com.br/2016-mar-30/garantias-consumo-denuncia-vazia-caracterizar-abuso-romper-plano-saude" \l "_ftnref7" \o "" </w:instrTex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E42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[7]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14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Azevedo, Antonio Junqueira. </w:t>
      </w:r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Novos Estudos e Pareceres de Direito Privado.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Paulo: Saraiva, 2009. p. 185. MARTINS, Fernando Rodrigues; FERREIRA, </w:t>
      </w:r>
      <w:proofErr w:type="spellStart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Keila</w:t>
      </w:r>
      <w:proofErr w:type="spellEnd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Pacheco. </w:t>
      </w:r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Contratos Existenciais e Intangibilidade da Pessoa Humana na Órbita Privada: Homenagem ao Pensamento Vivo e Imortal de Antônio Junqueira de Azevedo.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In: Revista de Direito do Consumidor. São Paulo: Revista dos Tribunais, 2011, p. 265.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bookmarkStart w:id="15" w:name="_ftn8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"http://www.conjur.com.br/2016-mar-30/garantias-consumo-denuncia-vazia-caracterizar-abuso-romper-plano-saude" \l "_ftnref8" \o "" </w:instrTex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E42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[8]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15"/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GODOY, Cláudio Luiz Bueno de. </w:t>
      </w:r>
      <w:r w:rsidRPr="005E42EB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Função Social do Contrato: Os Novos Princípios Contratuais</w:t>
      </w:r>
      <w:r w:rsidRPr="005E42EB">
        <w:rPr>
          <w:rFonts w:ascii="Times New Roman" w:eastAsia="Times New Roman" w:hAnsi="Times New Roman" w:cs="Times New Roman"/>
          <w:sz w:val="28"/>
          <w:szCs w:val="28"/>
          <w:lang w:eastAsia="pt-BR"/>
        </w:rPr>
        <w:t>. São Paulo: Saraiva, 2004, p. 177.</w:t>
      </w:r>
    </w:p>
    <w:p w:rsidR="002F397D" w:rsidRPr="005E42EB" w:rsidRDefault="002F397D" w:rsidP="005E42EB">
      <w:pPr>
        <w:jc w:val="both"/>
        <w:rPr>
          <w:sz w:val="28"/>
          <w:szCs w:val="28"/>
        </w:rPr>
      </w:pPr>
    </w:p>
    <w:sectPr w:rsidR="002F397D" w:rsidRPr="005E42EB" w:rsidSect="002F3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151"/>
    <w:multiLevelType w:val="multilevel"/>
    <w:tmpl w:val="15B2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E42EB"/>
    <w:rsid w:val="002F397D"/>
    <w:rsid w:val="005E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7D"/>
  </w:style>
  <w:style w:type="paragraph" w:styleId="Ttulo2">
    <w:name w:val="heading 2"/>
    <w:basedOn w:val="Normal"/>
    <w:link w:val="Ttulo2Char"/>
    <w:uiPriority w:val="9"/>
    <w:qFormat/>
    <w:rsid w:val="005E4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E42E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42EB"/>
    <w:rPr>
      <w:color w:val="0000FF"/>
      <w:u w:val="single"/>
    </w:rPr>
  </w:style>
  <w:style w:type="paragraph" w:customStyle="1" w:styleId="authors">
    <w:name w:val="authors"/>
    <w:basedOn w:val="Normal"/>
    <w:rsid w:val="005E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E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E42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1822</Words>
  <Characters>9845</Characters>
  <Application>Microsoft Office Word</Application>
  <DocSecurity>0</DocSecurity>
  <Lines>82</Lines>
  <Paragraphs>23</Paragraphs>
  <ScaleCrop>false</ScaleCrop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</cp:lastModifiedBy>
  <cp:revision>1</cp:revision>
  <dcterms:created xsi:type="dcterms:W3CDTF">2016-03-31T14:18:00Z</dcterms:created>
  <dcterms:modified xsi:type="dcterms:W3CDTF">2016-03-31T14:23:00Z</dcterms:modified>
</cp:coreProperties>
</file>