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83" w:rsidRPr="00F25983" w:rsidRDefault="00F25983" w:rsidP="00F25983">
      <w:pPr>
        <w:spacing w:before="100" w:beforeAutospacing="1" w:after="60" w:line="259" w:lineRule="auto"/>
        <w:jc w:val="both"/>
        <w:outlineLvl w:val="1"/>
        <w:rPr>
          <w:rFonts w:ascii="Times New Roman Negrito" w:eastAsia="Times New Roman" w:hAnsi="Times New Roman Negrito" w:cs="Times New Roman"/>
          <w:b/>
          <w:caps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 Negrito" w:eastAsia="Times New Roman" w:hAnsi="Times New Roman Negrito" w:cs="Times New Roman"/>
          <w:b/>
          <w:caps/>
          <w:color w:val="000000" w:themeColor="text1"/>
          <w:sz w:val="28"/>
          <w:szCs w:val="28"/>
          <w:lang w:eastAsia="pt-BR"/>
        </w:rPr>
        <w:t xml:space="preserve">Direito de Família e casuística: a culpa é </w:t>
      </w:r>
      <w:r w:rsidRPr="00F25983">
        <w:rPr>
          <w:rFonts w:ascii="Times New Roman Negrito" w:eastAsia="Times New Roman" w:hAnsi="Times New Roman Negrito" w:cs="Times New Roman"/>
          <w:b/>
          <w:caps/>
          <w:color w:val="000000" w:themeColor="text1"/>
          <w:sz w:val="28"/>
          <w:szCs w:val="28"/>
          <w:lang w:eastAsia="pt-BR"/>
        </w:rPr>
        <w:br/>
        <w:t>da mulher do juiz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José Fernando Simão. Livre-docente, Doutor e Mestre da Faculdade de Direito Civil da USP, onde é professor. Advogado e consultor jurídico. </w:t>
      </w:r>
    </w:p>
    <w:p w:rsid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Publicado originalmente no site Consultor Jurídico. </w:t>
      </w:r>
    </w:p>
    <w:p w:rsid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“Perdigão perdeu a pena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Não há mal que lhe não venha”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I – Provimento 56 do CNJ – Garantia de cumprimento da vontade do morto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br/>
        <w:t>O Conselho Nacional de Justiça editou em 14 de julho, ou seja, há pouco mais de uma semana, ato que dispõe sobre a “obrigatoriedade de consulta ao Registro Central de Testamentos on-line para processar os inventários e partilhas judiciais” e extrajudiciais.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 Provimento 56 pretende exigir que se verifique a existência de testamentos públicos e particulares como requisito prévio aos procedimentos de inventário judicial ou à lavratura de escritura pública (extrajudicial). A questão de fundo é o respeito à vontade do morto que pode ter feito um testamento que permanece desconhecido ou mesmo fora ocultado por alguém.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É por isso que o artigo 1º do provimento exige que seja acessado o Registro Central de Testamentos on-line (RCTO) para se buscar a existência de testamentos. O artigo 2º exige então a juntada de certidão negativa que declare a inexistência de testamentos, documento este expedido pela Central Notarial de Serviços Compartilhados – que gerencia o RCTO.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Em suma, a nova regra, bem redigida e de excelente valia, garante o cumprimento do testamento público ignorado pelos herdeiros ou 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lastRenderedPageBreak/>
        <w:t>dolosamente ocultado para que a vontade do morto não atinja seu desiderato.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Vozes poucas se levantaram para criticar o procedimento como se esse fosse “uma nova e desnecessária burocracia” para dificultar a vida das pessoas. Os argumentos trazidos foram: “trata-se de formalismo com implicação financeira às pessoas que não tem dinheiro para pagar emolumento público” e “não há como se provar a existência de testamento particular, logo se deveria exigir o registro deste ou mesmo acabar logo com essa modalidade para garantir cumprimento da vontade do morto”.</w:t>
      </w:r>
    </w:p>
    <w:p w:rsid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II – Direito de Família e casuística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Não tem sido infrequente ouvir em palestras e mesmo ler certos textos mais ligeiros que afirmam que no Direito de Família não se pode falar em certezas, ou seja, que haveria uma relativização absoluta do sistema. Ainda, que a casuística é a regra no sistema e as certezas exceções.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Essas opiniões apressadas revelam que aquele que as professa está negando ao Direito de Família sua existência como sistema jurídico e ao mesmo tempo se demitindo da função de ensinar, para qual se exige o caráter científico. Não é verdade que o sistema hoje é o da casuística e que não há certezas.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Os romanos construíram, a partir do caso concreto, um direito casuístico do qual se extraíram as bases para, no século XIX, os alemães desenharem categorias jurídicas. A construção da categoria é uma conquista científica, pois garante a correta compreensão do sistema e sua aplicação uniforme. O inseguro é certamente injusto.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O fato de o Direito de Família ter sido relido pelos preceitos constitucionais e a doutrina ter contribuído com institutos “novos”, que tomaram corpo e se 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lastRenderedPageBreak/>
        <w:t>consolidaram, não significa que o Direito de Família responde à sociedade com “depende do caso concreto”.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Essa antirresposta é a falência do sistema como um todo e abre espaço para despautérios e injustiças. O conceito de afeto, por exemplo, não é vale-tudo. Aliás, parte grande da doutrina o constrói de maneira científica.</w:t>
      </w:r>
      <w:bookmarkStart w:id="0" w:name="_ftnref1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"_ftn1" \o "" </w:instrTex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t-BR"/>
        </w:rPr>
        <w:t>[1]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end"/>
      </w:r>
      <w:bookmarkEnd w:id="0"/>
    </w:p>
    <w:p w:rsid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III – Testamento público e particular: compreensão das diferenças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Silvio Rodrigues, meu professor de Direito Civil</w:t>
      </w:r>
      <w:bookmarkStart w:id="1" w:name="_ftnref2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"_ftn2" \o "" </w:instrTex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t-BR"/>
        </w:rPr>
        <w:t>[2]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end"/>
      </w:r>
      <w:bookmarkEnd w:id="1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, ensinava que cada modalidade de testamento tem suas vantagens e desvantagens.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O testamento público tem a vantagem de não se perder, pois o instrumento consta do Livro do Tabelionato de Notas. Tem, ainda, maior rigor na observância da vontade do testador, pois é feito perante tabelião que assegura a liberdade deste e o cumprimento das solenidades prescritas em lei. É a forma mais utilizada no Brasil. Há um inconveniente, pois a vontade é conhecida pelo tabelião e pelas duas testemunhas. Em tese, qualquer pessoa tem acesso ao conteúdo. O elemento </w:t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segurança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o caracteriza</w:t>
      </w:r>
      <w:bookmarkStart w:id="2" w:name="_ftnref3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"_ftn3" \o "" </w:instrTex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t-BR"/>
        </w:rPr>
        <w:t>[3]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end"/>
      </w:r>
      <w:bookmarkEnd w:id="2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O testamento particular, feito pelo testador e lido em voz alta na presença de três testemunhas, garante que seu conteúdo permaneça inacessível, pois a cédula permanece com o testador ou pessoa de sua confiança. Tem por vantagem o fato de sequer se saber de sua existência, já que a lei não exige, corretamente, seu registro. É forma pouquíssimo utilizada no Brasil. Há o risco de se perder a cédula, desta ser destruída e a vontade do morto nunca ser cumprida. O elemento </w:t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sigilo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, não absoluto, o caracteriza.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Em suma, é a autonomia privada que marca todo o Direito Civil; do testador que permite a escolha entre uma ou outra forma de testar. Não há razão para se aventar o “registro do testamento particular” nem sua retirada 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lastRenderedPageBreak/>
        <w:t>do sistema. É mais simples que se dê ao testador o direito de escolha, sabendo ele das vantagens e desvantagens das várias formas de testar.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 crítica à “burocracia” contida no Provimento 56 indica desconhecimento do tema. Garantir o cumprimento da vontade do morto por meio de uma simples informação contida no sistema não é burocracia. É respeito ao testamento, respeito ao testador e respeito ao cidadão brasileiro.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Já há em São Paulo regras expressas do Tribunal de Justiça que determinam que o Colégio Notarial deve informar a existência de testamentos.Sobre custos, a questão é de política pública. Não fala a resolução em cobrança ou custos para obtenção da certidão. Há várias certidões negativas obtidas virtualmente sem qualquer custo atualmente.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Se custos houver, que seja franqueada gratuitamente para aqueles que não podem pagar. Contudo, o fato de existirem custos (que certamente serão razoáveis) não reduz a importância nem a excelência da ideia.</w:t>
      </w:r>
    </w:p>
    <w:p w:rsid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IV – A culpa é da mulher do juiz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As críticas à resolução são precipitadas e infundadas. O conteúdo é adequado ao sistema e a doutrina especializada aplaudirá a iniciativa. Infelizmente, se adotarmos a premissa de que Direito de Família é casuística; que não existem regras e sim o caso concreto; que testamento particular deve ser registrado; que a obtenção de certidão é cara, logo a regra é ruim, a doutrina se demite de sua função de construir ciência e colaborar com a construção de um Direito de Família melhor.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E, para concluir, depois desse discurso vazio, vêm as críticas às decisões judiciais. A</w:t>
      </w:r>
      <w:bookmarkStart w:id="3" w:name="_GoBack"/>
      <w:bookmarkEnd w:id="3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culpa é sempre do juiz “que não sabe julgar, que deveria ler melhor o processo, que não aplica a lei, porque cuida da casuística”.</w:t>
      </w:r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lastRenderedPageBreak/>
        <w:t xml:space="preserve">É hábito do ser humano atribuir ao outro suas próprias culpas. Gil Vicente, no </w:t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Auto da Barca do Inferno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, na longa discussão entre o magistrado que em vida recebia subornos e o Diabo relata, de maneira muito jocosa, tal fato:</w:t>
      </w:r>
    </w:p>
    <w:p w:rsidR="00F25983" w:rsidRDefault="00F25983" w:rsidP="00F25983">
      <w:pPr>
        <w:spacing w:beforeAutospacing="1" w:after="240" w:line="3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Juiz - E aonde vai o batel?</w:t>
      </w:r>
    </w:p>
    <w:p w:rsidR="00F25983" w:rsidRDefault="00F25983" w:rsidP="00F25983">
      <w:pPr>
        <w:spacing w:beforeAutospacing="1" w:after="240" w:line="3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Diabo - No inferno vos poremos.</w:t>
      </w:r>
    </w:p>
    <w:p w:rsidR="00F25983" w:rsidRDefault="00F25983" w:rsidP="00F25983">
      <w:pPr>
        <w:spacing w:beforeAutospacing="1" w:after="240" w:line="3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Juiz - Como? À terra dos demos há de ir um corregedor?</w:t>
      </w:r>
    </w:p>
    <w:p w:rsidR="00F25983" w:rsidRDefault="00F25983" w:rsidP="00F25983">
      <w:pPr>
        <w:spacing w:beforeAutospacing="1" w:after="240" w:line="3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 xml:space="preserve">Diabo - Santo </w:t>
      </w:r>
      <w:proofErr w:type="spellStart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descorregedor</w:t>
      </w:r>
      <w:proofErr w:type="spellEnd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, embarcai e remaremos.</w:t>
      </w:r>
    </w:p>
    <w:p w:rsidR="00F25983" w:rsidRDefault="00F25983" w:rsidP="00F25983">
      <w:pPr>
        <w:spacing w:beforeAutospacing="1" w:after="240" w:line="3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 xml:space="preserve">Juiz - </w:t>
      </w:r>
      <w:proofErr w:type="spellStart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Non</w:t>
      </w:r>
      <w:proofErr w:type="spellEnd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 xml:space="preserve"> </w:t>
      </w:r>
      <w:proofErr w:type="spellStart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est</w:t>
      </w:r>
      <w:proofErr w:type="spellEnd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 xml:space="preserve"> de </w:t>
      </w:r>
      <w:proofErr w:type="spellStart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regulae</w:t>
      </w:r>
      <w:proofErr w:type="spellEnd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 xml:space="preserve"> </w:t>
      </w:r>
      <w:proofErr w:type="spellStart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iuris</w:t>
      </w:r>
      <w:proofErr w:type="spellEnd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.</w:t>
      </w:r>
      <w:bookmarkStart w:id="4" w:name="_ftnref4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"_ftn4" \o "" </w:instrText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pt-BR"/>
        </w:rPr>
        <w:t>[4]</w:t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fldChar w:fldCharType="end"/>
      </w:r>
      <w:bookmarkEnd w:id="4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 (...)</w:t>
      </w:r>
    </w:p>
    <w:p w:rsidR="00F25983" w:rsidRDefault="00F25983" w:rsidP="00F25983">
      <w:pPr>
        <w:spacing w:beforeAutospacing="1" w:after="240" w:line="3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Diabo – E as peitas dos judeus que vossa mulher levava?</w:t>
      </w:r>
      <w:bookmarkStart w:id="5" w:name="_ftnref5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"_ftn5" \o "" </w:instrText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pt-BR"/>
        </w:rPr>
        <w:t>[5]</w:t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fldChar w:fldCharType="end"/>
      </w:r>
      <w:bookmarkEnd w:id="5"/>
    </w:p>
    <w:p w:rsidR="00F25983" w:rsidRPr="00F25983" w:rsidRDefault="00F25983" w:rsidP="00F25983">
      <w:pPr>
        <w:spacing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 xml:space="preserve">Juiz - Isso eu não no tomava, eram percalços seus, não são </w:t>
      </w:r>
      <w:proofErr w:type="spellStart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peccatus</w:t>
      </w:r>
      <w:proofErr w:type="spellEnd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 xml:space="preserve"> meus, </w:t>
      </w:r>
      <w:proofErr w:type="spellStart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peccavit</w:t>
      </w:r>
      <w:proofErr w:type="spellEnd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 xml:space="preserve"> </w:t>
      </w:r>
      <w:proofErr w:type="spellStart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uxore</w:t>
      </w:r>
      <w:proofErr w:type="spellEnd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 xml:space="preserve"> </w:t>
      </w:r>
      <w:proofErr w:type="spellStart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t>mea</w:t>
      </w:r>
      <w:bookmarkStart w:id="6" w:name="_ftnref6"/>
      <w:proofErr w:type="spellEnd"/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"_ftn6" \o "" </w:instrText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pt-BR"/>
        </w:rPr>
        <w:t>[6]</w:t>
      </w:r>
      <w:r w:rsidRPr="00F25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t-BR"/>
        </w:rPr>
        <w:fldChar w:fldCharType="end"/>
      </w:r>
      <w:bookmarkEnd w:id="6"/>
    </w:p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Em suma, a culpa é sempre do outro!</w:t>
      </w:r>
    </w:p>
    <w:p w:rsidR="00F25983" w:rsidRPr="00F25983" w:rsidRDefault="00F25983" w:rsidP="00F25983">
      <w:pPr>
        <w:spacing w:after="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pict>
          <v:rect id="_x0000_i1025" style="width:140.3pt;height:.75pt" o:hrpct="330" o:hrstd="t" o:hr="t" fillcolor="#a0a0a0" stroked="f"/>
        </w:pict>
      </w:r>
    </w:p>
    <w:bookmarkStart w:id="7" w:name="_ftn1"/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"_ftnref1" \o "" </w:instrTex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t-BR"/>
        </w:rPr>
        <w:t>[1]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end"/>
      </w:r>
      <w:bookmarkEnd w:id="7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Por todos, Ricardo </w:t>
      </w:r>
      <w:proofErr w:type="spellStart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Calderón</w:t>
      </w:r>
      <w:proofErr w:type="spellEnd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, “O princípio da afetividade no Direito de Família”.</w:t>
      </w:r>
    </w:p>
    <w:bookmarkStart w:id="8" w:name="_ftn2"/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"_ftnref2" \o "" </w:instrTex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t-BR"/>
        </w:rPr>
        <w:t>[2]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end"/>
      </w:r>
      <w:bookmarkEnd w:id="8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Por meio dos livros e não de aulas.</w:t>
      </w:r>
    </w:p>
    <w:bookmarkStart w:id="9" w:name="_ftn3"/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"_ftnref3" \o "" </w:instrTex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t-BR"/>
        </w:rPr>
        <w:t>[3]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end"/>
      </w:r>
      <w:bookmarkEnd w:id="9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Há estados em que, por força de regras dos tribunais de Justiça, a certidão do testamento não pode ser dada livremente.</w:t>
      </w:r>
    </w:p>
    <w:bookmarkStart w:id="10" w:name="_ftn4"/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"_ftnref4" \o "" </w:instrTex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t-BR"/>
        </w:rPr>
        <w:t>[4]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end"/>
      </w:r>
      <w:bookmarkEnd w:id="10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“Não é a regra da lei”. O juiz pretende discutir com o Diabo a lei que se aplica ao caso concreto. No fundo, quer regra própria por se juiz. É a casuística.</w:t>
      </w:r>
    </w:p>
    <w:bookmarkStart w:id="11" w:name="_ftn5"/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lastRenderedPageBreak/>
        <w:fldChar w:fldCharType="begin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"_ftnref5" \o "" </w:instrTex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t-BR"/>
        </w:rPr>
        <w:t>[5]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end"/>
      </w:r>
      <w:bookmarkEnd w:id="11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A mulher recebia como intermediária do marido. Era simples receptora do ilícito.</w:t>
      </w:r>
    </w:p>
    <w:bookmarkStart w:id="12" w:name="_ftn6"/>
    <w:p w:rsidR="00F25983" w:rsidRPr="00F25983" w:rsidRDefault="00F25983" w:rsidP="00F25983">
      <w:pPr>
        <w:spacing w:before="100" w:beforeAutospacing="1" w:after="240" w:line="3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begin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instrText xml:space="preserve"> HYPERLINK "http://www.conjur.com.br/2016-jul-24/processo-familiar-merece-aplausos-regra-obriga-juiz-pesquisar-testamento" \l "_ftnref6" \o "" </w:instrTex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separate"/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t-BR"/>
        </w:rPr>
        <w:t>[6]</w:t>
      </w:r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fldChar w:fldCharType="end"/>
      </w:r>
      <w:bookmarkEnd w:id="12"/>
      <w:r w:rsidRPr="00F25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Esses pecados não são meus, diz o juiz, “são pecados da minha mulher”. </w:t>
      </w:r>
    </w:p>
    <w:p w:rsidR="00D3746C" w:rsidRPr="00F25983" w:rsidRDefault="00D3746C" w:rsidP="00F259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746C" w:rsidRPr="00F25983" w:rsidSect="00D37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06C"/>
    <w:multiLevelType w:val="multilevel"/>
    <w:tmpl w:val="34C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F25983"/>
    <w:rsid w:val="00D3746C"/>
    <w:rsid w:val="00F2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6C"/>
  </w:style>
  <w:style w:type="paragraph" w:styleId="Ttulo2">
    <w:name w:val="heading 2"/>
    <w:basedOn w:val="Normal"/>
    <w:link w:val="Ttulo2Char"/>
    <w:uiPriority w:val="9"/>
    <w:qFormat/>
    <w:rsid w:val="00F25983"/>
    <w:pPr>
      <w:spacing w:before="100" w:beforeAutospacing="1" w:after="0" w:line="340" w:lineRule="auto"/>
      <w:outlineLvl w:val="1"/>
    </w:pPr>
    <w:rPr>
      <w:rFonts w:ascii="Exo 2" w:eastAsia="Times New Roman" w:hAnsi="Exo 2" w:cs="Times New Roman"/>
      <w:caps/>
      <w:color w:val="1F589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25983"/>
    <w:rPr>
      <w:rFonts w:ascii="Exo 2" w:eastAsia="Times New Roman" w:hAnsi="Exo 2" w:cs="Times New Roman"/>
      <w:caps/>
      <w:color w:val="1F589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2598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259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2598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hors">
    <w:name w:val="authors"/>
    <w:basedOn w:val="Normal"/>
    <w:rsid w:val="00F2598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598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FF9C1-876F-4B8F-8A7D-42E65FA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1488</Words>
  <Characters>8041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1</cp:revision>
  <dcterms:created xsi:type="dcterms:W3CDTF">2016-07-25T18:30:00Z</dcterms:created>
  <dcterms:modified xsi:type="dcterms:W3CDTF">2016-07-25T18:37:00Z</dcterms:modified>
</cp:coreProperties>
</file>