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84" w:rsidRPr="008F0984" w:rsidRDefault="008F0984" w:rsidP="008F0984">
      <w:pPr>
        <w:shd w:val="clear" w:color="auto" w:fill="FFFFFF"/>
        <w:spacing w:before="120" w:after="120" w:line="360" w:lineRule="auto"/>
        <w:jc w:val="both"/>
        <w:textAlignment w:val="baseline"/>
        <w:outlineLvl w:val="0"/>
        <w:rPr>
          <w:rFonts w:ascii="Times New Roman" w:eastAsia="Times New Roman" w:hAnsi="Times New Roman" w:cs="Times New Roman"/>
          <w:b/>
          <w:caps/>
          <w:color w:val="000000" w:themeColor="text1"/>
          <w:kern w:val="36"/>
          <w:sz w:val="28"/>
          <w:szCs w:val="28"/>
          <w:lang w:eastAsia="pt-BR"/>
        </w:rPr>
      </w:pPr>
      <w:r w:rsidRPr="008F0984">
        <w:rPr>
          <w:rFonts w:ascii="Times New Roman" w:eastAsia="Times New Roman" w:hAnsi="Times New Roman" w:cs="Times New Roman"/>
          <w:b/>
          <w:caps/>
          <w:color w:val="000000" w:themeColor="text1"/>
          <w:kern w:val="36"/>
          <w:sz w:val="28"/>
          <w:szCs w:val="28"/>
          <w:lang w:eastAsia="pt-BR"/>
        </w:rPr>
        <w:t>Alterações da MP 881 ao Código Civil - Parte I</w:t>
      </w:r>
    </w:p>
    <w:p w:rsidR="008F0984" w:rsidRDefault="008F0984" w:rsidP="008F0984">
      <w:pPr>
        <w:shd w:val="clear" w:color="auto" w:fill="FFFFFF"/>
        <w:spacing w:before="120" w:after="120" w:line="360" w:lineRule="auto"/>
        <w:jc w:val="both"/>
        <w:textAlignment w:val="baseline"/>
        <w:rPr>
          <w:rFonts w:ascii="Times New Roman" w:eastAsia="Times New Roman" w:hAnsi="Times New Roman" w:cs="Times New Roman"/>
          <w:iCs/>
          <w:color w:val="000000" w:themeColor="text1"/>
          <w:spacing w:val="12"/>
          <w:sz w:val="28"/>
          <w:szCs w:val="28"/>
          <w:lang w:eastAsia="pt-BR"/>
        </w:rPr>
      </w:pPr>
    </w:p>
    <w:p w:rsidR="008F0984" w:rsidRPr="008F0984" w:rsidRDefault="008F0984" w:rsidP="008F0984">
      <w:pPr>
        <w:shd w:val="clear" w:color="auto" w:fill="FFFFFF"/>
        <w:spacing w:before="120" w:after="120" w:line="360" w:lineRule="auto"/>
        <w:jc w:val="both"/>
        <w:textAlignment w:val="baseline"/>
        <w:rPr>
          <w:rFonts w:ascii="Times New Roman" w:eastAsia="Times New Roman" w:hAnsi="Times New Roman" w:cs="Times New Roman"/>
          <w:i/>
          <w:iCs/>
          <w:color w:val="000000" w:themeColor="text1"/>
          <w:spacing w:val="12"/>
          <w:sz w:val="28"/>
          <w:szCs w:val="28"/>
          <w:lang w:eastAsia="pt-BR"/>
        </w:rPr>
      </w:pPr>
      <w:hyperlink r:id="rId4" w:history="1">
        <w:r w:rsidRPr="008F0984">
          <w:rPr>
            <w:rFonts w:ascii="Times New Roman" w:eastAsia="Times New Roman" w:hAnsi="Times New Roman" w:cs="Times New Roman"/>
            <w:iCs/>
            <w:color w:val="000000" w:themeColor="text1"/>
            <w:spacing w:val="12"/>
            <w:sz w:val="28"/>
            <w:szCs w:val="28"/>
            <w:lang w:eastAsia="pt-BR"/>
          </w:rPr>
          <w:t>Anderson Schreiber</w:t>
        </w:r>
      </w:hyperlink>
      <w:r>
        <w:rPr>
          <w:rFonts w:ascii="Times New Roman" w:eastAsia="Times New Roman" w:hAnsi="Times New Roman" w:cs="Times New Roman"/>
          <w:iCs/>
          <w:color w:val="000000" w:themeColor="text1"/>
          <w:spacing w:val="12"/>
          <w:sz w:val="28"/>
          <w:szCs w:val="28"/>
          <w:lang w:eastAsia="pt-BR"/>
        </w:rPr>
        <w:t xml:space="preserve">. Professor Titular da UERJ. Procurador do Estado do Rio de Janeiro e Advogado. </w:t>
      </w:r>
    </w:p>
    <w:p w:rsidR="008F0984" w:rsidRPr="008F0984" w:rsidRDefault="008F0984" w:rsidP="008F0984">
      <w:pPr>
        <w:spacing w:before="120" w:after="120" w:line="360" w:lineRule="auto"/>
        <w:jc w:val="both"/>
        <w:textAlignment w:val="baseline"/>
        <w:rPr>
          <w:rFonts w:ascii="Times New Roman" w:eastAsia="Times New Roman" w:hAnsi="Times New Roman" w:cs="Times New Roman"/>
          <w:color w:val="000000" w:themeColor="text1"/>
          <w:sz w:val="28"/>
          <w:szCs w:val="28"/>
          <w:lang w:eastAsia="pt-BR"/>
        </w:rPr>
      </w:pPr>
      <w:r w:rsidRPr="008F0984">
        <w:rPr>
          <w:rFonts w:ascii="Times New Roman" w:eastAsia="Times New Roman" w:hAnsi="Times New Roman" w:cs="Times New Roman"/>
          <w:color w:val="000000" w:themeColor="text1"/>
          <w:sz w:val="28"/>
          <w:szCs w:val="28"/>
          <w:lang w:eastAsia="pt-BR"/>
        </w:rPr>
        <w:t> </w:t>
      </w:r>
    </w:p>
    <w:p w:rsid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O Presidente da República editou, em 30 de abril de 2019, a Medida Provisória nº 881, que institui a </w:t>
      </w:r>
      <w:r w:rsidRPr="008F0984">
        <w:rPr>
          <w:rFonts w:ascii="Times New Roman" w:eastAsia="Times New Roman" w:hAnsi="Times New Roman" w:cs="Times New Roman"/>
          <w:i/>
          <w:iCs/>
          <w:color w:val="000000" w:themeColor="text1"/>
          <w:sz w:val="24"/>
          <w:szCs w:val="24"/>
          <w:lang w:eastAsia="pt-BR"/>
        </w:rPr>
        <w:t>Declaração de Direitos de Liberdade Econômica</w:t>
      </w:r>
      <w:r w:rsidRPr="008F0984">
        <w:rPr>
          <w:rFonts w:ascii="Times New Roman" w:eastAsia="Times New Roman" w:hAnsi="Times New Roman" w:cs="Times New Roman"/>
          <w:color w:val="000000" w:themeColor="text1"/>
          <w:sz w:val="24"/>
          <w:szCs w:val="24"/>
          <w:lang w:eastAsia="pt-BR"/>
        </w:rPr>
        <w:t>.</w:t>
      </w:r>
      <w:hyperlink r:id="rId5" w:anchor="_ftn1" w:history="1">
        <w:r w:rsidRPr="008F0984">
          <w:rPr>
            <w:rFonts w:ascii="Times New Roman" w:eastAsia="Times New Roman" w:hAnsi="Times New Roman" w:cs="Times New Roman"/>
            <w:color w:val="000000" w:themeColor="text1"/>
            <w:sz w:val="24"/>
            <w:szCs w:val="24"/>
            <w:u w:val="single"/>
            <w:lang w:eastAsia="pt-BR"/>
          </w:rPr>
          <w:t>[1]</w:t>
        </w:r>
      </w:hyperlink>
      <w:r w:rsidRPr="008F0984">
        <w:rPr>
          <w:rFonts w:ascii="Times New Roman" w:eastAsia="Times New Roman" w:hAnsi="Times New Roman" w:cs="Times New Roman"/>
          <w:color w:val="000000" w:themeColor="text1"/>
          <w:sz w:val="24"/>
          <w:szCs w:val="24"/>
          <w:lang w:eastAsia="pt-BR"/>
        </w:rPr>
        <w:t> Trata-se, segundo o próprio Governo Federal, de tentativa de superação da estagnação econômica e das altas taxas de desemprego, notadamente por meio da redução da burocracia necessária para pequenos e médios empreendedores desenvolverem suas atividades. Segundo o artigo 1ª da MP, “</w:t>
      </w:r>
      <w:r w:rsidRPr="008F0984">
        <w:rPr>
          <w:rFonts w:ascii="Times New Roman" w:eastAsia="Times New Roman" w:hAnsi="Times New Roman" w:cs="Times New Roman"/>
          <w:i/>
          <w:iCs/>
          <w:color w:val="000000" w:themeColor="text1"/>
          <w:sz w:val="24"/>
          <w:szCs w:val="24"/>
          <w:lang w:eastAsia="pt-BR"/>
        </w:rPr>
        <w:t>fica instituída a Declaração de Direitos de Liberdade Econômica, que estabelece normas de proteção à livre iniciativa e ao livre exercício de atividade econômica e disposições sobre a atuação do Estado como agente normativo e regulador</w:t>
      </w:r>
      <w:r w:rsidRPr="008F0984">
        <w:rPr>
          <w:rFonts w:ascii="Times New Roman" w:eastAsia="Times New Roman" w:hAnsi="Times New Roman" w:cs="Times New Roman"/>
          <w:color w:val="000000" w:themeColor="text1"/>
          <w:sz w:val="24"/>
          <w:szCs w:val="24"/>
          <w:lang w:eastAsia="pt-BR"/>
        </w:rPr>
        <w:t>”.  </w:t>
      </w:r>
    </w:p>
    <w:p w:rsid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O §1º do artigo inicial revela a abrangência das modificações pretendidas: “</w:t>
      </w:r>
      <w:r w:rsidRPr="008F0984">
        <w:rPr>
          <w:rFonts w:ascii="Times New Roman" w:eastAsia="Times New Roman" w:hAnsi="Times New Roman" w:cs="Times New Roman"/>
          <w:i/>
          <w:iCs/>
          <w:color w:val="000000" w:themeColor="text1"/>
          <w:sz w:val="24"/>
          <w:szCs w:val="24"/>
          <w:lang w:eastAsia="pt-BR"/>
        </w:rPr>
        <w:t>O disposto nesta Medida Provisória será observado na aplicação e na interpretação de direito civil, empresarial, econômico, urbanístico e do trabalho nas relações jurídicas que se encontrem no seu âmbito de aplicação, e na ordenação pública sobre o exercício das profissões, juntas comerciais, produção e consumo e proteção ao meio ambiente</w:t>
      </w:r>
      <w:r w:rsidRPr="008F0984">
        <w:rPr>
          <w:rFonts w:ascii="Times New Roman" w:eastAsia="Times New Roman" w:hAnsi="Times New Roman" w:cs="Times New Roman"/>
          <w:color w:val="000000" w:themeColor="text1"/>
          <w:sz w:val="24"/>
          <w:szCs w:val="24"/>
          <w:lang w:eastAsia="pt-BR"/>
        </w:rPr>
        <w:t>.” A MP promoveu, ainda, diversas alterações no corpo do Código Civil. Analisarei as principais modificações em dois textos, sendo este o primeiro deles. Começarei pela Parte Geral e pela Teoria Geral dos Contratos.</w:t>
      </w:r>
      <w:r>
        <w:rPr>
          <w:rFonts w:ascii="Times New Roman" w:eastAsia="Times New Roman" w:hAnsi="Times New Roman" w:cs="Times New Roman"/>
          <w:color w:val="000000" w:themeColor="text1"/>
          <w:sz w:val="24"/>
          <w:szCs w:val="24"/>
          <w:lang w:eastAsia="pt-BR"/>
        </w:rPr>
        <w:t xml:space="preserve"> </w:t>
      </w:r>
    </w:p>
    <w:p w:rsid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Na Parte Geral do Código Civil, a MP 881/2019 inseriu expressivas modificações no artigo 50, que trata do instituto da </w:t>
      </w:r>
      <w:r w:rsidRPr="008F0984">
        <w:rPr>
          <w:rFonts w:ascii="Times New Roman" w:eastAsia="Times New Roman" w:hAnsi="Times New Roman" w:cs="Times New Roman"/>
          <w:i/>
          <w:iCs/>
          <w:color w:val="000000" w:themeColor="text1"/>
          <w:sz w:val="24"/>
          <w:szCs w:val="24"/>
          <w:lang w:eastAsia="pt-BR"/>
        </w:rPr>
        <w:t>desconsideração de personalidade jurídica</w:t>
      </w:r>
      <w:r w:rsidRPr="008F0984">
        <w:rPr>
          <w:rFonts w:ascii="Times New Roman" w:eastAsia="Times New Roman" w:hAnsi="Times New Roman" w:cs="Times New Roman"/>
          <w:color w:val="000000" w:themeColor="text1"/>
          <w:sz w:val="24"/>
          <w:szCs w:val="24"/>
          <w:lang w:eastAsia="pt-BR"/>
        </w:rPr>
        <w:t>.</w:t>
      </w:r>
      <w:hyperlink r:id="rId6" w:anchor="_ftn2" w:history="1">
        <w:r w:rsidRPr="008F0984">
          <w:rPr>
            <w:rFonts w:ascii="Times New Roman" w:eastAsia="Times New Roman" w:hAnsi="Times New Roman" w:cs="Times New Roman"/>
            <w:color w:val="000000" w:themeColor="text1"/>
            <w:sz w:val="24"/>
            <w:szCs w:val="24"/>
            <w:u w:val="single"/>
            <w:lang w:eastAsia="pt-BR"/>
          </w:rPr>
          <w:t>[2]</w:t>
        </w:r>
      </w:hyperlink>
      <w:r w:rsidRPr="008F0984">
        <w:rPr>
          <w:rFonts w:ascii="Times New Roman" w:eastAsia="Times New Roman" w:hAnsi="Times New Roman" w:cs="Times New Roman"/>
          <w:color w:val="000000" w:themeColor="text1"/>
          <w:sz w:val="24"/>
          <w:szCs w:val="24"/>
          <w:lang w:eastAsia="pt-BR"/>
        </w:rPr>
        <w:t> O </w:t>
      </w:r>
      <w:r w:rsidRPr="008F0984">
        <w:rPr>
          <w:rFonts w:ascii="Times New Roman" w:eastAsia="Times New Roman" w:hAnsi="Times New Roman" w:cs="Times New Roman"/>
          <w:i/>
          <w:iCs/>
          <w:color w:val="000000" w:themeColor="text1"/>
          <w:sz w:val="24"/>
          <w:szCs w:val="24"/>
          <w:lang w:eastAsia="pt-BR"/>
        </w:rPr>
        <w:t>caput</w:t>
      </w:r>
      <w:r w:rsidRPr="008F0984">
        <w:rPr>
          <w:rFonts w:ascii="Times New Roman" w:eastAsia="Times New Roman" w:hAnsi="Times New Roman" w:cs="Times New Roman"/>
          <w:color w:val="000000" w:themeColor="text1"/>
          <w:sz w:val="24"/>
          <w:szCs w:val="24"/>
          <w:lang w:eastAsia="pt-BR"/>
        </w:rPr>
        <w:t> do artigo foi alterado, explicitando que a desconsideração deverá atingir os bens apenas dos administradores ou sócios </w:t>
      </w:r>
      <w:r w:rsidRPr="008F0984">
        <w:rPr>
          <w:rFonts w:ascii="Times New Roman" w:eastAsia="Times New Roman" w:hAnsi="Times New Roman" w:cs="Times New Roman"/>
          <w:i/>
          <w:iCs/>
          <w:color w:val="000000" w:themeColor="text1"/>
          <w:sz w:val="24"/>
          <w:szCs w:val="24"/>
          <w:lang w:eastAsia="pt-BR"/>
        </w:rPr>
        <w:t>direta ou indiretamente beneficiados pelo abuso da personalidade jurídica</w:t>
      </w:r>
      <w:r w:rsidRPr="008F0984">
        <w:rPr>
          <w:rFonts w:ascii="Times New Roman" w:eastAsia="Times New Roman" w:hAnsi="Times New Roman" w:cs="Times New Roman"/>
          <w:color w:val="000000" w:themeColor="text1"/>
          <w:sz w:val="24"/>
          <w:szCs w:val="24"/>
          <w:lang w:eastAsia="pt-BR"/>
        </w:rPr>
        <w:t>. A alteração evita que a desconsideração venha a se dar em prejuízo de sócios ou administradores que não contribuíram para o abuso, como sócios minoritários que não participam da administração da pessoa jurídica – os quais, de fato, não deveriam ser atingidos pela desconsideração. Todavia, a expressão “</w:t>
      </w:r>
      <w:r w:rsidRPr="008F0984">
        <w:rPr>
          <w:rFonts w:ascii="Times New Roman" w:eastAsia="Times New Roman" w:hAnsi="Times New Roman" w:cs="Times New Roman"/>
          <w:i/>
          <w:iCs/>
          <w:color w:val="000000" w:themeColor="text1"/>
          <w:sz w:val="24"/>
          <w:szCs w:val="24"/>
          <w:lang w:eastAsia="pt-BR"/>
        </w:rPr>
        <w:t>direta ou indiretamente beneficiados</w:t>
      </w:r>
      <w:r w:rsidRPr="008F0984">
        <w:rPr>
          <w:rFonts w:ascii="Times New Roman" w:eastAsia="Times New Roman" w:hAnsi="Times New Roman" w:cs="Times New Roman"/>
          <w:color w:val="000000" w:themeColor="text1"/>
          <w:sz w:val="24"/>
          <w:szCs w:val="24"/>
          <w:lang w:eastAsia="pt-BR"/>
        </w:rPr>
        <w:t xml:space="preserve">” deve ser </w:t>
      </w:r>
      <w:r w:rsidRPr="008F0984">
        <w:rPr>
          <w:rFonts w:ascii="Times New Roman" w:eastAsia="Times New Roman" w:hAnsi="Times New Roman" w:cs="Times New Roman"/>
          <w:color w:val="000000" w:themeColor="text1"/>
          <w:sz w:val="24"/>
          <w:szCs w:val="24"/>
          <w:lang w:eastAsia="pt-BR"/>
        </w:rPr>
        <w:lastRenderedPageBreak/>
        <w:t>interpretada de modo ampliativo: administradores e sócios que participam da administração da pessoa jurídica têm, também eles, o dever de evitar o abuso da personalidade jurídica e, nesse contexto, ainda que não tenham sido diretamente beneficiados pelo abuso, podem ser chamados a responder como beneficiários indiretos, especialmente nos casos em que os sócios e administradores diretamente beneficiados não tenham patrimônio suficiente.</w:t>
      </w:r>
      <w:r>
        <w:rPr>
          <w:rFonts w:ascii="Times New Roman" w:eastAsia="Times New Roman" w:hAnsi="Times New Roman" w:cs="Times New Roman"/>
          <w:color w:val="000000" w:themeColor="text1"/>
          <w:sz w:val="24"/>
          <w:szCs w:val="24"/>
          <w:lang w:eastAsia="pt-BR"/>
        </w:rPr>
        <w:t xml:space="preserve"> </w:t>
      </w:r>
    </w:p>
    <w:p w:rsid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A MP 881/2019 acrescentou, ainda, cinco novos parágrafos ao artigo, buscando estabelecer critérios objetivos para a aplicação do instituto. Nesse particular, a Medida Provisória merece elogios: a desconsideração da personalidade jurídica é instituto cujo impacto sobre sócios e administradores andava a merecer a indicação de parâmetros mais objetivos na codificação civil. Nessa direção, o §1º define o que se deve entender por </w:t>
      </w:r>
      <w:r w:rsidRPr="008F0984">
        <w:rPr>
          <w:rFonts w:ascii="Times New Roman" w:eastAsia="Times New Roman" w:hAnsi="Times New Roman" w:cs="Times New Roman"/>
          <w:i/>
          <w:iCs/>
          <w:color w:val="000000" w:themeColor="text1"/>
          <w:sz w:val="24"/>
          <w:szCs w:val="24"/>
          <w:lang w:eastAsia="pt-BR"/>
        </w:rPr>
        <w:t>desvio de finalidade</w:t>
      </w:r>
      <w:r w:rsidRPr="008F0984">
        <w:rPr>
          <w:rFonts w:ascii="Times New Roman" w:eastAsia="Times New Roman" w:hAnsi="Times New Roman" w:cs="Times New Roman"/>
          <w:color w:val="000000" w:themeColor="text1"/>
          <w:sz w:val="24"/>
          <w:szCs w:val="24"/>
          <w:lang w:eastAsia="pt-BR"/>
        </w:rPr>
        <w:t>, aludindo à utilização dolosa da pessoa jurídica para (a) lesar credores e (b) praticar atos ilícitos de qualquer natureza. Apesar do conectivo “</w:t>
      </w:r>
      <w:r w:rsidRPr="008F0984">
        <w:rPr>
          <w:rFonts w:ascii="Times New Roman" w:eastAsia="Times New Roman" w:hAnsi="Times New Roman" w:cs="Times New Roman"/>
          <w:i/>
          <w:iCs/>
          <w:color w:val="000000" w:themeColor="text1"/>
          <w:sz w:val="24"/>
          <w:szCs w:val="24"/>
          <w:lang w:eastAsia="pt-BR"/>
        </w:rPr>
        <w:t>e</w:t>
      </w:r>
      <w:r w:rsidRPr="008F0984">
        <w:rPr>
          <w:rFonts w:ascii="Times New Roman" w:eastAsia="Times New Roman" w:hAnsi="Times New Roman" w:cs="Times New Roman"/>
          <w:color w:val="000000" w:themeColor="text1"/>
          <w:sz w:val="24"/>
          <w:szCs w:val="24"/>
          <w:lang w:eastAsia="pt-BR"/>
        </w:rPr>
        <w:t>”, não se trata de requisitos cumulativos, bastando o uso da pessoa jurídica em um ou outro sentido para a caracterização do desvio de finalidade. A exigência de dolo, no entanto, é criticável: dificulta excessivamente a aplicação da desconsideração e atrela o artigo 50 a uma perspectiva subjetivista, que enxerga a desconsideração como uma sanção a um mal feito, afastando-se da abordagem contemporânea do abuso do direito como exercício de uma situação jurídica subjetiva em dissonância com a sua finalidade normativa – como parecia ter sido a intenção do legislador na versão original do Código Civil, ao optar pelo emprego da expressão desvio de finalidade. Ainda em relação a essa matéria, a MP 881/2019 estabelece que a mera alteração da atividade originariamente desenvolvida pela pessoa jurídica não implica, </w:t>
      </w:r>
      <w:r w:rsidRPr="008F0984">
        <w:rPr>
          <w:rFonts w:ascii="Times New Roman" w:eastAsia="Times New Roman" w:hAnsi="Times New Roman" w:cs="Times New Roman"/>
          <w:i/>
          <w:iCs/>
          <w:color w:val="000000" w:themeColor="text1"/>
          <w:sz w:val="24"/>
          <w:szCs w:val="24"/>
          <w:lang w:eastAsia="pt-BR"/>
        </w:rPr>
        <w:t>per se</w:t>
      </w:r>
      <w:r w:rsidRPr="008F0984">
        <w:rPr>
          <w:rFonts w:ascii="Times New Roman" w:eastAsia="Times New Roman" w:hAnsi="Times New Roman" w:cs="Times New Roman"/>
          <w:color w:val="000000" w:themeColor="text1"/>
          <w:sz w:val="24"/>
          <w:szCs w:val="24"/>
          <w:lang w:eastAsia="pt-BR"/>
        </w:rPr>
        <w:t>, desvio de finalidade (art. 50, §5º).</w:t>
      </w:r>
      <w:r>
        <w:rPr>
          <w:rFonts w:ascii="Times New Roman" w:eastAsia="Times New Roman" w:hAnsi="Times New Roman" w:cs="Times New Roman"/>
          <w:color w:val="000000" w:themeColor="text1"/>
          <w:sz w:val="24"/>
          <w:szCs w:val="24"/>
          <w:lang w:eastAsia="pt-BR"/>
        </w:rPr>
        <w:t xml:space="preserve"> </w:t>
      </w:r>
    </w:p>
    <w:p w:rsid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A segunda hipótese de abuso da personalidade jurídica, a </w:t>
      </w:r>
      <w:r w:rsidRPr="008F0984">
        <w:rPr>
          <w:rFonts w:ascii="Times New Roman" w:eastAsia="Times New Roman" w:hAnsi="Times New Roman" w:cs="Times New Roman"/>
          <w:i/>
          <w:iCs/>
          <w:color w:val="000000" w:themeColor="text1"/>
          <w:sz w:val="24"/>
          <w:szCs w:val="24"/>
          <w:lang w:eastAsia="pt-BR"/>
        </w:rPr>
        <w:t>confusão patrimonial</w:t>
      </w:r>
      <w:r w:rsidRPr="008F0984">
        <w:rPr>
          <w:rFonts w:ascii="Times New Roman" w:eastAsia="Times New Roman" w:hAnsi="Times New Roman" w:cs="Times New Roman"/>
          <w:color w:val="000000" w:themeColor="text1"/>
          <w:sz w:val="24"/>
          <w:szCs w:val="24"/>
          <w:lang w:eastAsia="pt-BR"/>
        </w:rPr>
        <w:t>, é detalhada no §2</w:t>
      </w:r>
      <w:r w:rsidRPr="008F0984">
        <w:rPr>
          <w:rFonts w:ascii="Times New Roman" w:eastAsia="Times New Roman" w:hAnsi="Times New Roman" w:cs="Times New Roman"/>
          <w:color w:val="000000" w:themeColor="text1"/>
          <w:sz w:val="24"/>
          <w:szCs w:val="24"/>
          <w:bdr w:val="none" w:sz="0" w:space="0" w:color="auto" w:frame="1"/>
          <w:vertAlign w:val="superscript"/>
          <w:lang w:eastAsia="pt-BR"/>
        </w:rPr>
        <w:t>o</w:t>
      </w:r>
      <w:r w:rsidRPr="008F0984">
        <w:rPr>
          <w:rFonts w:ascii="Times New Roman" w:eastAsia="Times New Roman" w:hAnsi="Times New Roman" w:cs="Times New Roman"/>
          <w:color w:val="000000" w:themeColor="text1"/>
          <w:sz w:val="24"/>
          <w:szCs w:val="24"/>
          <w:lang w:eastAsia="pt-BR"/>
        </w:rPr>
        <w:t> do artigo 50 – também introduzido pela MP 881/2019 –, que alude à </w:t>
      </w:r>
      <w:r w:rsidRPr="008F0984">
        <w:rPr>
          <w:rFonts w:ascii="Times New Roman" w:eastAsia="Times New Roman" w:hAnsi="Times New Roman" w:cs="Times New Roman"/>
          <w:i/>
          <w:iCs/>
          <w:color w:val="000000" w:themeColor="text1"/>
          <w:sz w:val="24"/>
          <w:szCs w:val="24"/>
          <w:lang w:eastAsia="pt-BR"/>
        </w:rPr>
        <w:t>ausência de separação de fato entre os patrimônios</w:t>
      </w:r>
      <w:r w:rsidRPr="008F0984">
        <w:rPr>
          <w:rFonts w:ascii="Times New Roman" w:eastAsia="Times New Roman" w:hAnsi="Times New Roman" w:cs="Times New Roman"/>
          <w:color w:val="000000" w:themeColor="text1"/>
          <w:sz w:val="24"/>
          <w:szCs w:val="24"/>
          <w:lang w:eastAsia="pt-BR"/>
        </w:rPr>
        <w:t> dos sócios e da pessoa jurídica. Os dois primeiros incisos deste parágrafo descrevem exemplos corriqueiros de confusão patrimonial, como o cumprimento reiterado de obrigações do sócio ou administrador pela pessoa jurídica, ou vice-versa, e a transferência de ativos sem efetiva contraprestação. O terceiro inciso refere-se genericamente a “</w:t>
      </w:r>
      <w:r w:rsidRPr="008F0984">
        <w:rPr>
          <w:rFonts w:ascii="Times New Roman" w:eastAsia="Times New Roman" w:hAnsi="Times New Roman" w:cs="Times New Roman"/>
          <w:i/>
          <w:iCs/>
          <w:color w:val="000000" w:themeColor="text1"/>
          <w:sz w:val="24"/>
          <w:szCs w:val="24"/>
          <w:lang w:eastAsia="pt-BR"/>
        </w:rPr>
        <w:t>outros atos de descumprimento da autonomia patrimonial</w:t>
      </w:r>
      <w:r w:rsidRPr="008F0984">
        <w:rPr>
          <w:rFonts w:ascii="Times New Roman" w:eastAsia="Times New Roman" w:hAnsi="Times New Roman" w:cs="Times New Roman"/>
          <w:color w:val="000000" w:themeColor="text1"/>
          <w:sz w:val="24"/>
          <w:szCs w:val="24"/>
          <w:lang w:eastAsia="pt-BR"/>
        </w:rPr>
        <w:t xml:space="preserve">”, possibilitando ao intérprete identificar, a partir de elementos do caso concreto, outras modalidades de confusão, como, por </w:t>
      </w:r>
      <w:r w:rsidRPr="008F0984">
        <w:rPr>
          <w:rFonts w:ascii="Times New Roman" w:eastAsia="Times New Roman" w:hAnsi="Times New Roman" w:cs="Times New Roman"/>
          <w:color w:val="000000" w:themeColor="text1"/>
          <w:sz w:val="24"/>
          <w:szCs w:val="24"/>
          <w:lang w:eastAsia="pt-BR"/>
        </w:rPr>
        <w:lastRenderedPageBreak/>
        <w:t>exemplo, a prestação de garantia pela pessoa jurídica em negócio de interesse exclusivo do sócio.</w:t>
      </w:r>
      <w:r>
        <w:rPr>
          <w:rFonts w:ascii="Times New Roman" w:eastAsia="Times New Roman" w:hAnsi="Times New Roman" w:cs="Times New Roman"/>
          <w:color w:val="000000" w:themeColor="text1"/>
          <w:sz w:val="24"/>
          <w:szCs w:val="24"/>
          <w:lang w:eastAsia="pt-BR"/>
        </w:rPr>
        <w:t xml:space="preserve"> </w:t>
      </w:r>
    </w:p>
    <w:p w:rsid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A MP 881/2019 acrescentou ao artigo 50 também o §3º, que consagra a noção de </w:t>
      </w:r>
      <w:r w:rsidRPr="008F0984">
        <w:rPr>
          <w:rFonts w:ascii="Times New Roman" w:eastAsia="Times New Roman" w:hAnsi="Times New Roman" w:cs="Times New Roman"/>
          <w:i/>
          <w:iCs/>
          <w:color w:val="000000" w:themeColor="text1"/>
          <w:sz w:val="24"/>
          <w:szCs w:val="24"/>
          <w:lang w:eastAsia="pt-BR"/>
        </w:rPr>
        <w:t>desconsideração inversa da personalidade jurídica</w:t>
      </w:r>
      <w:r w:rsidRPr="008F0984">
        <w:rPr>
          <w:rFonts w:ascii="Times New Roman" w:eastAsia="Times New Roman" w:hAnsi="Times New Roman" w:cs="Times New Roman"/>
          <w:color w:val="000000" w:themeColor="text1"/>
          <w:sz w:val="24"/>
          <w:szCs w:val="24"/>
          <w:lang w:eastAsia="pt-BR"/>
        </w:rPr>
        <w:t>, há muito admitida por nossa doutrina e jurisprudência. Com efeito, não obstante a desconsideração ter sido con</w:t>
      </w:r>
      <w:r w:rsidRPr="008F0984">
        <w:rPr>
          <w:rFonts w:ascii="Times New Roman" w:eastAsia="Times New Roman" w:hAnsi="Times New Roman" w:cs="Times New Roman"/>
          <w:color w:val="000000" w:themeColor="text1"/>
          <w:sz w:val="24"/>
          <w:szCs w:val="24"/>
          <w:lang w:eastAsia="pt-BR"/>
        </w:rPr>
        <w:softHyphen/>
        <w:t>cebida para permitir que credores da pessoa jurídica alcançassem o patrimônio dos sócios ou adminis</w:t>
      </w:r>
      <w:r w:rsidRPr="008F0984">
        <w:rPr>
          <w:rFonts w:ascii="Times New Roman" w:eastAsia="Times New Roman" w:hAnsi="Times New Roman" w:cs="Times New Roman"/>
          <w:color w:val="000000" w:themeColor="text1"/>
          <w:sz w:val="24"/>
          <w:szCs w:val="24"/>
          <w:lang w:eastAsia="pt-BR"/>
        </w:rPr>
        <w:softHyphen/>
        <w:t>tradores, admite-se hoje a invocação da teoria para justificar o movimento inverso: “</w:t>
      </w:r>
      <w:r w:rsidRPr="008F0984">
        <w:rPr>
          <w:rFonts w:ascii="Times New Roman" w:eastAsia="Times New Roman" w:hAnsi="Times New Roman" w:cs="Times New Roman"/>
          <w:i/>
          <w:iCs/>
          <w:color w:val="000000" w:themeColor="text1"/>
          <w:sz w:val="24"/>
          <w:szCs w:val="24"/>
          <w:lang w:eastAsia="pt-BR"/>
        </w:rPr>
        <w:t>É cabível a descon</w:t>
      </w:r>
      <w:r w:rsidRPr="008F0984">
        <w:rPr>
          <w:rFonts w:ascii="Times New Roman" w:eastAsia="Times New Roman" w:hAnsi="Times New Roman" w:cs="Times New Roman"/>
          <w:i/>
          <w:iCs/>
          <w:color w:val="000000" w:themeColor="text1"/>
          <w:sz w:val="24"/>
          <w:szCs w:val="24"/>
          <w:lang w:eastAsia="pt-BR"/>
        </w:rPr>
        <w:softHyphen/>
        <w:t>sideração da personalidade jurídica denominada ‘inversa’ para alcançar bens de sócio que se valeu da pessoa jurídica para ocultar ou desviar bens pessoais, com prejuízo a terceiros</w:t>
      </w:r>
      <w:r w:rsidRPr="008F0984">
        <w:rPr>
          <w:rFonts w:ascii="Times New Roman" w:eastAsia="Times New Roman" w:hAnsi="Times New Roman" w:cs="Times New Roman"/>
          <w:color w:val="000000" w:themeColor="text1"/>
          <w:sz w:val="24"/>
          <w:szCs w:val="24"/>
          <w:lang w:eastAsia="pt-BR"/>
        </w:rPr>
        <w:t>” (Enunciado n. 283 da </w:t>
      </w:r>
      <w:r w:rsidRPr="008F0984">
        <w:rPr>
          <w:rFonts w:ascii="Times New Roman" w:eastAsia="Times New Roman" w:hAnsi="Times New Roman" w:cs="Times New Roman"/>
          <w:i/>
          <w:iCs/>
          <w:color w:val="000000" w:themeColor="text1"/>
          <w:sz w:val="24"/>
          <w:szCs w:val="24"/>
          <w:lang w:eastAsia="pt-BR"/>
        </w:rPr>
        <w:t>IV Jornada de Direito Civil</w:t>
      </w:r>
      <w:r w:rsidRPr="008F0984">
        <w:rPr>
          <w:rFonts w:ascii="Times New Roman" w:eastAsia="Times New Roman" w:hAnsi="Times New Roman" w:cs="Times New Roman"/>
          <w:color w:val="000000" w:themeColor="text1"/>
          <w:sz w:val="24"/>
          <w:szCs w:val="24"/>
          <w:lang w:eastAsia="pt-BR"/>
        </w:rPr>
        <w:t>). Por fim, a MP 881/2019 – por meio do novo §4º do artigo em comento – afastou a possibilidade de desconsideração da personalidade jurídica a partir da mera identificação de grupo econômico, exigindo, também nesses casos, a presença dos requisitos do desvio de finalidade ou da confusão patrimonial. Também aqui a alteração é elogiável: aplicar a desconsideração da personalidade jurídica a partir da mera configuração de grupo econômico significaria apagar as fronteiras entre as diferentes personalidades jurídicas, subvertendo o instituto.</w:t>
      </w:r>
      <w:r>
        <w:rPr>
          <w:rFonts w:ascii="Times New Roman" w:eastAsia="Times New Roman" w:hAnsi="Times New Roman" w:cs="Times New Roman"/>
          <w:color w:val="000000" w:themeColor="text1"/>
          <w:sz w:val="24"/>
          <w:szCs w:val="24"/>
          <w:lang w:eastAsia="pt-BR"/>
        </w:rPr>
        <w:t xml:space="preserve"> </w:t>
      </w:r>
    </w:p>
    <w:p w:rsid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Já no capítulo do Código Civil dedicado aos contratos em geral, foram diversas as modificações realizadas. Primeiramente, a MP 881/2019 inseriu na parte final do </w:t>
      </w:r>
      <w:r w:rsidRPr="008F0984">
        <w:rPr>
          <w:rFonts w:ascii="Times New Roman" w:eastAsia="Times New Roman" w:hAnsi="Times New Roman" w:cs="Times New Roman"/>
          <w:i/>
          <w:iCs/>
          <w:color w:val="000000" w:themeColor="text1"/>
          <w:sz w:val="24"/>
          <w:szCs w:val="24"/>
          <w:lang w:eastAsia="pt-BR"/>
        </w:rPr>
        <w:t>caput</w:t>
      </w:r>
      <w:r w:rsidRPr="008F0984">
        <w:rPr>
          <w:rFonts w:ascii="Times New Roman" w:eastAsia="Times New Roman" w:hAnsi="Times New Roman" w:cs="Times New Roman"/>
          <w:color w:val="000000" w:themeColor="text1"/>
          <w:sz w:val="24"/>
          <w:szCs w:val="24"/>
          <w:lang w:eastAsia="pt-BR"/>
        </w:rPr>
        <w:t> do artigo 421,</w:t>
      </w:r>
      <w:hyperlink r:id="rId7" w:anchor="_ftn3" w:history="1">
        <w:r w:rsidRPr="008F0984">
          <w:rPr>
            <w:rFonts w:ascii="Times New Roman" w:eastAsia="Times New Roman" w:hAnsi="Times New Roman" w:cs="Times New Roman"/>
            <w:color w:val="000000" w:themeColor="text1"/>
            <w:sz w:val="24"/>
            <w:szCs w:val="24"/>
            <w:u w:val="single"/>
            <w:lang w:eastAsia="pt-BR"/>
          </w:rPr>
          <w:t>[3]</w:t>
        </w:r>
      </w:hyperlink>
      <w:r w:rsidRPr="008F0984">
        <w:rPr>
          <w:rFonts w:ascii="Times New Roman" w:eastAsia="Times New Roman" w:hAnsi="Times New Roman" w:cs="Times New Roman"/>
          <w:color w:val="000000" w:themeColor="text1"/>
          <w:sz w:val="24"/>
          <w:szCs w:val="24"/>
          <w:lang w:eastAsia="pt-BR"/>
        </w:rPr>
        <w:t> que consagra o </w:t>
      </w:r>
      <w:r w:rsidRPr="008F0984">
        <w:rPr>
          <w:rFonts w:ascii="Times New Roman" w:eastAsia="Times New Roman" w:hAnsi="Times New Roman" w:cs="Times New Roman"/>
          <w:i/>
          <w:iCs/>
          <w:color w:val="000000" w:themeColor="text1"/>
          <w:sz w:val="24"/>
          <w:szCs w:val="24"/>
          <w:lang w:eastAsia="pt-BR"/>
        </w:rPr>
        <w:t>princípio da função social do contrato</w:t>
      </w:r>
      <w:r w:rsidRPr="008F0984">
        <w:rPr>
          <w:rFonts w:ascii="Times New Roman" w:eastAsia="Times New Roman" w:hAnsi="Times New Roman" w:cs="Times New Roman"/>
          <w:color w:val="000000" w:themeColor="text1"/>
          <w:sz w:val="24"/>
          <w:szCs w:val="24"/>
          <w:lang w:eastAsia="pt-BR"/>
        </w:rPr>
        <w:t>, a necessidade de observância ao disposto na chamada Declaração de Direitos de Liberdade Econômica. O acréscimo parece ter tentado prestigiar os princípios norteadores daquela Medida Provisória, quais sejam, a “</w:t>
      </w:r>
      <w:r w:rsidRPr="008F0984">
        <w:rPr>
          <w:rFonts w:ascii="Times New Roman" w:eastAsia="Times New Roman" w:hAnsi="Times New Roman" w:cs="Times New Roman"/>
          <w:i/>
          <w:iCs/>
          <w:color w:val="000000" w:themeColor="text1"/>
          <w:sz w:val="24"/>
          <w:szCs w:val="24"/>
          <w:lang w:eastAsia="pt-BR"/>
        </w:rPr>
        <w:t>proteção à livre iniciativa e ao livre exercício de atividade econômica</w:t>
      </w:r>
      <w:r w:rsidRPr="008F0984">
        <w:rPr>
          <w:rFonts w:ascii="Times New Roman" w:eastAsia="Times New Roman" w:hAnsi="Times New Roman" w:cs="Times New Roman"/>
          <w:color w:val="000000" w:themeColor="text1"/>
          <w:sz w:val="24"/>
          <w:szCs w:val="24"/>
          <w:lang w:eastAsia="pt-BR"/>
        </w:rPr>
        <w:t>” (art. 1º). A função social, contudo, exerce justamente o papel de impor juízo de merecimento de tutela sobre o exercício da liberdade contratual, condicionando-a à promoção dos valores constitucionais. Determinar que a aplicação da noção de função social do contrato se dê com observância da liberdade econômica é uma contradição nos seus próprios termos e parece exprimir uma absoluta falta de conhecimento do próprio conceito de função social. O acréscimo somente não merece crítica mais aguda porque é inócuo: afirma, a rigor, que a liberdade de contratar deve ser exercida em razão e nos limites da função social do contrato, observada a própria liberdade de contratar. Embora tautológica, a nova redação do </w:t>
      </w:r>
      <w:r w:rsidRPr="008F0984">
        <w:rPr>
          <w:rFonts w:ascii="Times New Roman" w:eastAsia="Times New Roman" w:hAnsi="Times New Roman" w:cs="Times New Roman"/>
          <w:i/>
          <w:iCs/>
          <w:color w:val="000000" w:themeColor="text1"/>
          <w:sz w:val="24"/>
          <w:szCs w:val="24"/>
          <w:lang w:eastAsia="pt-BR"/>
        </w:rPr>
        <w:t>caput </w:t>
      </w:r>
      <w:r w:rsidRPr="008F0984">
        <w:rPr>
          <w:rFonts w:ascii="Times New Roman" w:eastAsia="Times New Roman" w:hAnsi="Times New Roman" w:cs="Times New Roman"/>
          <w:color w:val="000000" w:themeColor="text1"/>
          <w:sz w:val="24"/>
          <w:szCs w:val="24"/>
          <w:lang w:eastAsia="pt-BR"/>
        </w:rPr>
        <w:t xml:space="preserve">do artigo 421 não promete trazer qualquer transformação </w:t>
      </w:r>
      <w:r w:rsidRPr="008F0984">
        <w:rPr>
          <w:rFonts w:ascii="Times New Roman" w:eastAsia="Times New Roman" w:hAnsi="Times New Roman" w:cs="Times New Roman"/>
          <w:color w:val="000000" w:themeColor="text1"/>
          <w:sz w:val="24"/>
          <w:szCs w:val="24"/>
          <w:lang w:eastAsia="pt-BR"/>
        </w:rPr>
        <w:lastRenderedPageBreak/>
        <w:t>concreta no modo como nossa doutrina e jurisprudência aplicam a noção de função social do contrato – noção que, de resto, derivaria diretamente da Constituição, independentemente de atuação do legislador ordinário, na medida em que a funcionalização dos institutos jurídicos ao atendimento de valores sociais relevantes resulta da própria primazia que o Constituinte atribui a tais valores, mesmo quando tutela a livre iniciativa, não como liberdade vazia, mas em atenção ao seu “</w:t>
      </w:r>
      <w:r w:rsidRPr="008F0984">
        <w:rPr>
          <w:rFonts w:ascii="Times New Roman" w:eastAsia="Times New Roman" w:hAnsi="Times New Roman" w:cs="Times New Roman"/>
          <w:i/>
          <w:iCs/>
          <w:color w:val="000000" w:themeColor="text1"/>
          <w:sz w:val="24"/>
          <w:szCs w:val="24"/>
          <w:lang w:eastAsia="pt-BR"/>
        </w:rPr>
        <w:t>valor social</w:t>
      </w:r>
      <w:r w:rsidRPr="008F0984">
        <w:rPr>
          <w:rFonts w:ascii="Times New Roman" w:eastAsia="Times New Roman" w:hAnsi="Times New Roman" w:cs="Times New Roman"/>
          <w:color w:val="000000" w:themeColor="text1"/>
          <w:sz w:val="24"/>
          <w:szCs w:val="24"/>
          <w:lang w:eastAsia="pt-BR"/>
        </w:rPr>
        <w:t>” (CR, art. 1</w:t>
      </w:r>
      <w:r w:rsidRPr="008F0984">
        <w:rPr>
          <w:rFonts w:ascii="Times New Roman" w:eastAsia="Times New Roman" w:hAnsi="Times New Roman" w:cs="Times New Roman"/>
          <w:color w:val="000000" w:themeColor="text1"/>
          <w:sz w:val="24"/>
          <w:szCs w:val="24"/>
          <w:bdr w:val="none" w:sz="0" w:space="0" w:color="auto" w:frame="1"/>
          <w:vertAlign w:val="superscript"/>
          <w:lang w:eastAsia="pt-BR"/>
        </w:rPr>
        <w:t>o</w:t>
      </w:r>
      <w:r w:rsidRPr="008F0984">
        <w:rPr>
          <w:rFonts w:ascii="Times New Roman" w:eastAsia="Times New Roman" w:hAnsi="Times New Roman" w:cs="Times New Roman"/>
          <w:color w:val="000000" w:themeColor="text1"/>
          <w:sz w:val="24"/>
          <w:szCs w:val="24"/>
          <w:lang w:eastAsia="pt-BR"/>
        </w:rPr>
        <w:t>, IV). </w:t>
      </w:r>
    </w:p>
    <w:p w:rsid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A MP 881/2019 também introduziu no artigo 421 um parágrafo único, que estabelece a prevalência de um assim chamado “</w:t>
      </w:r>
      <w:r w:rsidRPr="008F0984">
        <w:rPr>
          <w:rFonts w:ascii="Times New Roman" w:eastAsia="Times New Roman" w:hAnsi="Times New Roman" w:cs="Times New Roman"/>
          <w:i/>
          <w:iCs/>
          <w:color w:val="000000" w:themeColor="text1"/>
          <w:sz w:val="24"/>
          <w:szCs w:val="24"/>
          <w:lang w:eastAsia="pt-BR"/>
        </w:rPr>
        <w:t>princípio da intervenção mínima do Estado</w:t>
      </w:r>
      <w:r w:rsidRPr="008F0984">
        <w:rPr>
          <w:rFonts w:ascii="Times New Roman" w:eastAsia="Times New Roman" w:hAnsi="Times New Roman" w:cs="Times New Roman"/>
          <w:color w:val="000000" w:themeColor="text1"/>
          <w:sz w:val="24"/>
          <w:szCs w:val="24"/>
          <w:lang w:eastAsia="pt-BR"/>
        </w:rPr>
        <w:t>” e reserva caráter “</w:t>
      </w:r>
      <w:r w:rsidRPr="008F0984">
        <w:rPr>
          <w:rFonts w:ascii="Times New Roman" w:eastAsia="Times New Roman" w:hAnsi="Times New Roman" w:cs="Times New Roman"/>
          <w:i/>
          <w:iCs/>
          <w:color w:val="000000" w:themeColor="text1"/>
          <w:sz w:val="24"/>
          <w:szCs w:val="24"/>
          <w:lang w:eastAsia="pt-BR"/>
        </w:rPr>
        <w:t>excepcional</w:t>
      </w:r>
      <w:r w:rsidRPr="008F0984">
        <w:rPr>
          <w:rFonts w:ascii="Times New Roman" w:eastAsia="Times New Roman" w:hAnsi="Times New Roman" w:cs="Times New Roman"/>
          <w:color w:val="000000" w:themeColor="text1"/>
          <w:sz w:val="24"/>
          <w:szCs w:val="24"/>
          <w:lang w:eastAsia="pt-BR"/>
        </w:rPr>
        <w:t>” à revisão contratual “</w:t>
      </w:r>
      <w:r w:rsidRPr="008F0984">
        <w:rPr>
          <w:rFonts w:ascii="Times New Roman" w:eastAsia="Times New Roman" w:hAnsi="Times New Roman" w:cs="Times New Roman"/>
          <w:i/>
          <w:iCs/>
          <w:color w:val="000000" w:themeColor="text1"/>
          <w:sz w:val="24"/>
          <w:szCs w:val="24"/>
          <w:lang w:eastAsia="pt-BR"/>
        </w:rPr>
        <w:t>determinada de forma externa às partes</w:t>
      </w:r>
      <w:r w:rsidRPr="008F0984">
        <w:rPr>
          <w:rFonts w:ascii="Times New Roman" w:eastAsia="Times New Roman" w:hAnsi="Times New Roman" w:cs="Times New Roman"/>
          <w:color w:val="000000" w:themeColor="text1"/>
          <w:sz w:val="24"/>
          <w:szCs w:val="24"/>
          <w:lang w:eastAsia="pt-BR"/>
        </w:rPr>
        <w:t>”. Mais uma vez, o equívoco salta aos olhos. Não existe um “</w:t>
      </w:r>
      <w:r w:rsidRPr="008F0984">
        <w:rPr>
          <w:rFonts w:ascii="Times New Roman" w:eastAsia="Times New Roman" w:hAnsi="Times New Roman" w:cs="Times New Roman"/>
          <w:i/>
          <w:iCs/>
          <w:color w:val="000000" w:themeColor="text1"/>
          <w:sz w:val="24"/>
          <w:szCs w:val="24"/>
          <w:lang w:eastAsia="pt-BR"/>
        </w:rPr>
        <w:t>princípio da intervenção mínima do Estado</w:t>
      </w:r>
      <w:r w:rsidRPr="008F0984">
        <w:rPr>
          <w:rFonts w:ascii="Times New Roman" w:eastAsia="Times New Roman" w:hAnsi="Times New Roman" w:cs="Times New Roman"/>
          <w:color w:val="000000" w:themeColor="text1"/>
          <w:sz w:val="24"/>
          <w:szCs w:val="24"/>
          <w:lang w:eastAsia="pt-BR"/>
        </w:rPr>
        <w:t>”; a intervenção do Estado nas relações contratuais de natureza privada é imprescindível, quer para assegurar a força vinculante dos contratos, quer para garantir a incidência das normas jurídicas, inclusive das normas constitucionais, de hierarquia superior à referida Medida Provisória. A MP 881/2019 parece ter se deixado levar aqui por uma certa ideologia que enxerga o Estado como inimigo da liberdade de contratar, quando, na verdade, a presença do Estado – e, por conseguinte, o próprio Direito – afigura-se necessária para assegurar o exercício da referida liberdade.</w:t>
      </w:r>
      <w:r>
        <w:rPr>
          <w:rFonts w:ascii="Times New Roman" w:eastAsia="Times New Roman" w:hAnsi="Times New Roman" w:cs="Times New Roman"/>
          <w:color w:val="000000" w:themeColor="text1"/>
          <w:sz w:val="24"/>
          <w:szCs w:val="24"/>
          <w:lang w:eastAsia="pt-BR"/>
        </w:rPr>
        <w:t xml:space="preserve"> </w:t>
      </w:r>
    </w:p>
    <w:p w:rsidR="008F0984" w:rsidRP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 xml:space="preserve">No que tange à revisão contratual, também parece ter incorrido a Medida Provisória nessa falsa dicotomia entre atuação do Estado-juiz e liberdade de contratar, quando, ao contrário, a revisão contratual privilegia o exercício dessa liberdade ao preservar a relação contratual estabelecida livremente entre as partes, ao contrário do que ocorre com a resolução contratual, remédio a que já tem direito todo contratante nas mesmas situações em que a revisão é cabível, em conformidade com o art. 478. Se a intenção da MP foi evitar que revisões judiciais de contratos resultem em alterações excessivas do pacto estabelecido entre as partes, empregou meio inadequado: afirmar que a revisão contratual deve ser excepcional nada diz, porque não altera as hipóteses em que a revisão se aplica, hipóteses que são expressamente delimitadas no próprio Código Civil. O novo parágrafo único acrescentado pela MP tampouco indica parâmetros, critérios ou limites à revisão contratual, o que leva a crer, mais uma vez, que a alteração não produzirá qualquer efeito relevante no modo como a revisão contratual é aplicada na prática jurisprudencial brasileira – aplicação que, de resto, já se </w:t>
      </w:r>
      <w:r w:rsidRPr="008F0984">
        <w:rPr>
          <w:rFonts w:ascii="Times New Roman" w:eastAsia="Times New Roman" w:hAnsi="Times New Roman" w:cs="Times New Roman"/>
          <w:color w:val="000000" w:themeColor="text1"/>
          <w:sz w:val="24"/>
          <w:szCs w:val="24"/>
          <w:lang w:eastAsia="pt-BR"/>
        </w:rPr>
        <w:lastRenderedPageBreak/>
        <w:t>dá com bastante cautela e parcimônia, sem interferências inusitadas no conteúdo contratual.</w:t>
      </w:r>
    </w:p>
    <w:p w:rsidR="008F0984" w:rsidRP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 A referida MP modificou, ainda, o </w:t>
      </w:r>
      <w:r w:rsidRPr="008F0984">
        <w:rPr>
          <w:rFonts w:ascii="Times New Roman" w:eastAsia="Times New Roman" w:hAnsi="Times New Roman" w:cs="Times New Roman"/>
          <w:i/>
          <w:iCs/>
          <w:color w:val="000000" w:themeColor="text1"/>
          <w:sz w:val="24"/>
          <w:szCs w:val="24"/>
          <w:lang w:eastAsia="pt-BR"/>
        </w:rPr>
        <w:t>caput</w:t>
      </w:r>
      <w:r w:rsidRPr="008F0984">
        <w:rPr>
          <w:rFonts w:ascii="Times New Roman" w:eastAsia="Times New Roman" w:hAnsi="Times New Roman" w:cs="Times New Roman"/>
          <w:color w:val="000000" w:themeColor="text1"/>
          <w:sz w:val="24"/>
          <w:szCs w:val="24"/>
          <w:lang w:eastAsia="pt-BR"/>
        </w:rPr>
        <w:t> do artigo 423,</w:t>
      </w:r>
      <w:hyperlink r:id="rId8" w:anchor="_ftn4" w:history="1">
        <w:r w:rsidRPr="008F0984">
          <w:rPr>
            <w:rFonts w:ascii="Times New Roman" w:eastAsia="Times New Roman" w:hAnsi="Times New Roman" w:cs="Times New Roman"/>
            <w:color w:val="000000" w:themeColor="text1"/>
            <w:sz w:val="24"/>
            <w:szCs w:val="24"/>
            <w:u w:val="single"/>
            <w:lang w:eastAsia="pt-BR"/>
          </w:rPr>
          <w:t>[4]</w:t>
        </w:r>
      </w:hyperlink>
      <w:r w:rsidRPr="008F0984">
        <w:rPr>
          <w:rFonts w:ascii="Times New Roman" w:eastAsia="Times New Roman" w:hAnsi="Times New Roman" w:cs="Times New Roman"/>
          <w:color w:val="000000" w:themeColor="text1"/>
          <w:sz w:val="24"/>
          <w:szCs w:val="24"/>
          <w:lang w:eastAsia="pt-BR"/>
        </w:rPr>
        <w:t> que trata da </w:t>
      </w:r>
      <w:proofErr w:type="spellStart"/>
      <w:r w:rsidRPr="008F0984">
        <w:rPr>
          <w:rFonts w:ascii="Times New Roman" w:eastAsia="Times New Roman" w:hAnsi="Times New Roman" w:cs="Times New Roman"/>
          <w:i/>
          <w:iCs/>
          <w:color w:val="000000" w:themeColor="text1"/>
          <w:sz w:val="24"/>
          <w:szCs w:val="24"/>
          <w:lang w:eastAsia="pt-BR"/>
        </w:rPr>
        <w:t>intepretação</w:t>
      </w:r>
      <w:proofErr w:type="spellEnd"/>
      <w:r w:rsidRPr="008F0984">
        <w:rPr>
          <w:rFonts w:ascii="Times New Roman" w:eastAsia="Times New Roman" w:hAnsi="Times New Roman" w:cs="Times New Roman"/>
          <w:i/>
          <w:iCs/>
          <w:color w:val="000000" w:themeColor="text1"/>
          <w:sz w:val="24"/>
          <w:szCs w:val="24"/>
          <w:lang w:eastAsia="pt-BR"/>
        </w:rPr>
        <w:t xml:space="preserve"> pró-aderente</w:t>
      </w:r>
      <w:r w:rsidRPr="008F0984">
        <w:rPr>
          <w:rFonts w:ascii="Times New Roman" w:eastAsia="Times New Roman" w:hAnsi="Times New Roman" w:cs="Times New Roman"/>
          <w:color w:val="000000" w:themeColor="text1"/>
          <w:sz w:val="24"/>
          <w:szCs w:val="24"/>
          <w:lang w:eastAsia="pt-BR"/>
        </w:rPr>
        <w:t>, substituindo a referência a cláusulas “</w:t>
      </w:r>
      <w:r w:rsidRPr="008F0984">
        <w:rPr>
          <w:rFonts w:ascii="Times New Roman" w:eastAsia="Times New Roman" w:hAnsi="Times New Roman" w:cs="Times New Roman"/>
          <w:i/>
          <w:iCs/>
          <w:color w:val="000000" w:themeColor="text1"/>
          <w:sz w:val="24"/>
          <w:szCs w:val="24"/>
          <w:lang w:eastAsia="pt-BR"/>
        </w:rPr>
        <w:t>ambíguas ou contraditórias</w:t>
      </w:r>
      <w:r w:rsidRPr="008F0984">
        <w:rPr>
          <w:rFonts w:ascii="Times New Roman" w:eastAsia="Times New Roman" w:hAnsi="Times New Roman" w:cs="Times New Roman"/>
          <w:color w:val="000000" w:themeColor="text1"/>
          <w:sz w:val="24"/>
          <w:szCs w:val="24"/>
          <w:lang w:eastAsia="pt-BR"/>
        </w:rPr>
        <w:t>” que constava de sua redação original pela alusão a cláusulas “</w:t>
      </w:r>
      <w:r w:rsidRPr="008F0984">
        <w:rPr>
          <w:rFonts w:ascii="Times New Roman" w:eastAsia="Times New Roman" w:hAnsi="Times New Roman" w:cs="Times New Roman"/>
          <w:i/>
          <w:iCs/>
          <w:color w:val="000000" w:themeColor="text1"/>
          <w:sz w:val="24"/>
          <w:szCs w:val="24"/>
          <w:lang w:eastAsia="pt-BR"/>
        </w:rPr>
        <w:t>que gerem dúvida quanto à sua interpretação</w:t>
      </w:r>
      <w:r w:rsidRPr="008F0984">
        <w:rPr>
          <w:rFonts w:ascii="Times New Roman" w:eastAsia="Times New Roman" w:hAnsi="Times New Roman" w:cs="Times New Roman"/>
          <w:color w:val="000000" w:themeColor="text1"/>
          <w:sz w:val="24"/>
          <w:szCs w:val="24"/>
          <w:lang w:eastAsia="pt-BR"/>
        </w:rPr>
        <w:t>”. A modificação é compreensível: não existem, tecnicamente, cláusulas ambíguas ou contraditórias, pois ambiguidade e contradição são constatações a que chega o intérprete após a interpretação das cláusulas, constituindo não um </w:t>
      </w:r>
      <w:proofErr w:type="spellStart"/>
      <w:r w:rsidRPr="008F0984">
        <w:rPr>
          <w:rFonts w:ascii="Times New Roman" w:eastAsia="Times New Roman" w:hAnsi="Times New Roman" w:cs="Times New Roman"/>
          <w:i/>
          <w:iCs/>
          <w:color w:val="000000" w:themeColor="text1"/>
          <w:sz w:val="24"/>
          <w:szCs w:val="24"/>
          <w:lang w:eastAsia="pt-BR"/>
        </w:rPr>
        <w:t>prius</w:t>
      </w:r>
      <w:proofErr w:type="spellEnd"/>
      <w:r w:rsidRPr="008F0984">
        <w:rPr>
          <w:rFonts w:ascii="Times New Roman" w:eastAsia="Times New Roman" w:hAnsi="Times New Roman" w:cs="Times New Roman"/>
          <w:i/>
          <w:iCs/>
          <w:color w:val="000000" w:themeColor="text1"/>
          <w:sz w:val="24"/>
          <w:szCs w:val="24"/>
          <w:lang w:eastAsia="pt-BR"/>
        </w:rPr>
        <w:t>,</w:t>
      </w:r>
      <w:r w:rsidRPr="008F0984">
        <w:rPr>
          <w:rFonts w:ascii="Times New Roman" w:eastAsia="Times New Roman" w:hAnsi="Times New Roman" w:cs="Times New Roman"/>
          <w:color w:val="000000" w:themeColor="text1"/>
          <w:sz w:val="24"/>
          <w:szCs w:val="24"/>
          <w:lang w:eastAsia="pt-BR"/>
        </w:rPr>
        <w:t> mas um </w:t>
      </w:r>
      <w:proofErr w:type="spellStart"/>
      <w:r w:rsidRPr="008F0984">
        <w:rPr>
          <w:rFonts w:ascii="Times New Roman" w:eastAsia="Times New Roman" w:hAnsi="Times New Roman" w:cs="Times New Roman"/>
          <w:i/>
          <w:iCs/>
          <w:color w:val="000000" w:themeColor="text1"/>
          <w:sz w:val="24"/>
          <w:szCs w:val="24"/>
          <w:lang w:eastAsia="pt-BR"/>
        </w:rPr>
        <w:t>posterius</w:t>
      </w:r>
      <w:proofErr w:type="spellEnd"/>
      <w:r w:rsidRPr="008F0984">
        <w:rPr>
          <w:rFonts w:ascii="Times New Roman" w:eastAsia="Times New Roman" w:hAnsi="Times New Roman" w:cs="Times New Roman"/>
          <w:color w:val="000000" w:themeColor="text1"/>
          <w:sz w:val="24"/>
          <w:szCs w:val="24"/>
          <w:lang w:eastAsia="pt-BR"/>
        </w:rPr>
        <w:t> em relação à compreensão do sentido e alcance das disposições contratuais.</w:t>
      </w:r>
    </w:p>
    <w:p w:rsidR="008F0984" w:rsidRP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 A MP 881/2019 acrescentou, ainda, um parágrafo único ao artigo 423, repleto de equívocos redacionais. Alude, em primeiro lugar, a “</w:t>
      </w:r>
      <w:r w:rsidRPr="008F0984">
        <w:rPr>
          <w:rFonts w:ascii="Times New Roman" w:eastAsia="Times New Roman" w:hAnsi="Times New Roman" w:cs="Times New Roman"/>
          <w:i/>
          <w:iCs/>
          <w:color w:val="000000" w:themeColor="text1"/>
          <w:sz w:val="24"/>
          <w:szCs w:val="24"/>
          <w:lang w:eastAsia="pt-BR"/>
        </w:rPr>
        <w:t>contratos não atingidos pelo disposto no caput</w:t>
      </w:r>
      <w:r w:rsidRPr="008F0984">
        <w:rPr>
          <w:rFonts w:ascii="Times New Roman" w:eastAsia="Times New Roman" w:hAnsi="Times New Roman" w:cs="Times New Roman"/>
          <w:color w:val="000000" w:themeColor="text1"/>
          <w:sz w:val="24"/>
          <w:szCs w:val="24"/>
          <w:lang w:eastAsia="pt-BR"/>
        </w:rPr>
        <w:t>”, quando normas jurídicas evidentemente não </w:t>
      </w:r>
      <w:r w:rsidRPr="008F0984">
        <w:rPr>
          <w:rFonts w:ascii="Times New Roman" w:eastAsia="Times New Roman" w:hAnsi="Times New Roman" w:cs="Times New Roman"/>
          <w:i/>
          <w:iCs/>
          <w:color w:val="000000" w:themeColor="text1"/>
          <w:sz w:val="24"/>
          <w:szCs w:val="24"/>
          <w:lang w:eastAsia="pt-BR"/>
        </w:rPr>
        <w:t>atingem</w:t>
      </w:r>
      <w:r w:rsidRPr="008F0984">
        <w:rPr>
          <w:rFonts w:ascii="Times New Roman" w:eastAsia="Times New Roman" w:hAnsi="Times New Roman" w:cs="Times New Roman"/>
          <w:color w:val="000000" w:themeColor="text1"/>
          <w:sz w:val="24"/>
          <w:szCs w:val="24"/>
          <w:lang w:eastAsia="pt-BR"/>
        </w:rPr>
        <w:t> contratos, mas os abrangem ou contemplam. Afirma, ainda, que, em tais casos, “</w:t>
      </w:r>
      <w:r w:rsidRPr="008F0984">
        <w:rPr>
          <w:rFonts w:ascii="Times New Roman" w:eastAsia="Times New Roman" w:hAnsi="Times New Roman" w:cs="Times New Roman"/>
          <w:i/>
          <w:iCs/>
          <w:color w:val="000000" w:themeColor="text1"/>
          <w:sz w:val="24"/>
          <w:szCs w:val="24"/>
          <w:lang w:eastAsia="pt-BR"/>
        </w:rPr>
        <w:t>a dúvida na interpretação beneficia</w:t>
      </w:r>
      <w:r w:rsidRPr="008F0984">
        <w:rPr>
          <w:rFonts w:ascii="Times New Roman" w:eastAsia="Times New Roman" w:hAnsi="Times New Roman" w:cs="Times New Roman"/>
          <w:color w:val="000000" w:themeColor="text1"/>
          <w:sz w:val="24"/>
          <w:szCs w:val="24"/>
          <w:lang w:eastAsia="pt-BR"/>
        </w:rPr>
        <w:t>” a parte que não redigiu a cláusula controvertida, quando dúvidas não beneficiam ninguém: é a interpretação da cláusula que deve ser benéfica a uma ou outra parte. Abstraindo-se as questões linguísticas, o novo dispositivo parece ter pretendido ampliar a incidência da chamada </w:t>
      </w:r>
      <w:proofErr w:type="spellStart"/>
      <w:r w:rsidRPr="008F0984">
        <w:rPr>
          <w:rFonts w:ascii="Times New Roman" w:eastAsia="Times New Roman" w:hAnsi="Times New Roman" w:cs="Times New Roman"/>
          <w:i/>
          <w:iCs/>
          <w:color w:val="000000" w:themeColor="text1"/>
          <w:sz w:val="24"/>
          <w:szCs w:val="24"/>
          <w:lang w:eastAsia="pt-BR"/>
        </w:rPr>
        <w:t>interpretatio</w:t>
      </w:r>
      <w:proofErr w:type="spellEnd"/>
      <w:r w:rsidRPr="008F0984">
        <w:rPr>
          <w:rFonts w:ascii="Times New Roman" w:eastAsia="Times New Roman" w:hAnsi="Times New Roman" w:cs="Times New Roman"/>
          <w:i/>
          <w:iCs/>
          <w:color w:val="000000" w:themeColor="text1"/>
          <w:sz w:val="24"/>
          <w:szCs w:val="24"/>
          <w:lang w:eastAsia="pt-BR"/>
        </w:rPr>
        <w:t xml:space="preserve"> contra </w:t>
      </w:r>
      <w:proofErr w:type="spellStart"/>
      <w:r w:rsidRPr="008F0984">
        <w:rPr>
          <w:rFonts w:ascii="Times New Roman" w:eastAsia="Times New Roman" w:hAnsi="Times New Roman" w:cs="Times New Roman"/>
          <w:i/>
          <w:iCs/>
          <w:color w:val="000000" w:themeColor="text1"/>
          <w:sz w:val="24"/>
          <w:szCs w:val="24"/>
          <w:lang w:eastAsia="pt-BR"/>
        </w:rPr>
        <w:t>proferentem</w:t>
      </w:r>
      <w:proofErr w:type="spellEnd"/>
      <w:r w:rsidRPr="008F0984">
        <w:rPr>
          <w:rFonts w:ascii="Times New Roman" w:eastAsia="Times New Roman" w:hAnsi="Times New Roman" w:cs="Times New Roman"/>
          <w:color w:val="000000" w:themeColor="text1"/>
          <w:sz w:val="24"/>
          <w:szCs w:val="24"/>
          <w:lang w:eastAsia="pt-BR"/>
        </w:rPr>
        <w:t> ou </w:t>
      </w:r>
      <w:r w:rsidRPr="008F0984">
        <w:rPr>
          <w:rFonts w:ascii="Times New Roman" w:eastAsia="Times New Roman" w:hAnsi="Times New Roman" w:cs="Times New Roman"/>
          <w:i/>
          <w:iCs/>
          <w:color w:val="000000" w:themeColor="text1"/>
          <w:sz w:val="24"/>
          <w:szCs w:val="24"/>
          <w:lang w:eastAsia="pt-BR"/>
        </w:rPr>
        <w:t xml:space="preserve">contra </w:t>
      </w:r>
      <w:proofErr w:type="spellStart"/>
      <w:r w:rsidRPr="008F0984">
        <w:rPr>
          <w:rFonts w:ascii="Times New Roman" w:eastAsia="Times New Roman" w:hAnsi="Times New Roman" w:cs="Times New Roman"/>
          <w:i/>
          <w:iCs/>
          <w:color w:val="000000" w:themeColor="text1"/>
          <w:sz w:val="24"/>
          <w:szCs w:val="24"/>
          <w:lang w:eastAsia="pt-BR"/>
        </w:rPr>
        <w:t>stipulatorem</w:t>
      </w:r>
      <w:proofErr w:type="spellEnd"/>
      <w:r w:rsidRPr="008F0984">
        <w:rPr>
          <w:rFonts w:ascii="Times New Roman" w:eastAsia="Times New Roman" w:hAnsi="Times New Roman" w:cs="Times New Roman"/>
          <w:color w:val="000000" w:themeColor="text1"/>
          <w:sz w:val="24"/>
          <w:szCs w:val="24"/>
          <w:lang w:eastAsia="pt-BR"/>
        </w:rPr>
        <w:t>: quem redige a cláusula não pode se beneficiar da sua falta de clareza, devendo tal cláusula ser interpretada em favor da contraparte. Não se pode, contudo, generalizar demasiadamente a referida orientação hermenêutica. Em relações paritárias, nem sempre é fácil identificar quem redigiu a cláusula: um contratante pode não ter elaborado a redação de uma certa cláusula, mas pode ter tido a oportunidade de modificá-la, optando por não fazê-lo. Em tais hipóteses, lançar sobre o redator todo o ônus interpretativo pode se revelar desproporcional. Daí ter o Código Civil, em sua redação original, limitado a regra às relações contratuais de adesão. A extensão promovida pela MP 881/2019 deve ser, portanto, aplicada com cautela.</w:t>
      </w:r>
    </w:p>
    <w:p w:rsidR="008F0984" w:rsidRP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 Além das modificações implementadas em dispositivos já existentes, a MP 881/2019 acrescentou dois artigos ao Código Civil, aplicáveis às chamadas </w:t>
      </w:r>
      <w:r w:rsidRPr="008F0984">
        <w:rPr>
          <w:rFonts w:ascii="Times New Roman" w:eastAsia="Times New Roman" w:hAnsi="Times New Roman" w:cs="Times New Roman"/>
          <w:i/>
          <w:iCs/>
          <w:color w:val="000000" w:themeColor="text1"/>
          <w:sz w:val="24"/>
          <w:szCs w:val="24"/>
          <w:lang w:eastAsia="pt-BR"/>
        </w:rPr>
        <w:t>relações interempresariais</w:t>
      </w:r>
      <w:r w:rsidRPr="008F0984">
        <w:rPr>
          <w:rFonts w:ascii="Times New Roman" w:eastAsia="Times New Roman" w:hAnsi="Times New Roman" w:cs="Times New Roman"/>
          <w:color w:val="000000" w:themeColor="text1"/>
          <w:sz w:val="24"/>
          <w:szCs w:val="24"/>
          <w:lang w:eastAsia="pt-BR"/>
        </w:rPr>
        <w:t>. Dispõe o novo art. 480-A: “</w:t>
      </w:r>
      <w:r w:rsidRPr="008F0984">
        <w:rPr>
          <w:rFonts w:ascii="Times New Roman" w:eastAsia="Times New Roman" w:hAnsi="Times New Roman" w:cs="Times New Roman"/>
          <w:i/>
          <w:iCs/>
          <w:color w:val="000000" w:themeColor="text1"/>
          <w:sz w:val="24"/>
          <w:szCs w:val="24"/>
          <w:lang w:eastAsia="pt-BR"/>
        </w:rPr>
        <w:t>Nas relações interempresariais, é lícito às partes contratantes estabelecer parâmetros objetivos para a interpretação de requisitos de revisão ou de resolução do pacto contratual</w:t>
      </w:r>
      <w:r w:rsidRPr="008F0984">
        <w:rPr>
          <w:rFonts w:ascii="Times New Roman" w:eastAsia="Times New Roman" w:hAnsi="Times New Roman" w:cs="Times New Roman"/>
          <w:color w:val="000000" w:themeColor="text1"/>
          <w:sz w:val="24"/>
          <w:szCs w:val="24"/>
          <w:lang w:eastAsia="pt-BR"/>
        </w:rPr>
        <w:t xml:space="preserve">.” A norma, como alguns outros acréscimos promovidos pela MP, representa inovação de pouca ou nenhuma </w:t>
      </w:r>
      <w:r w:rsidRPr="008F0984">
        <w:rPr>
          <w:rFonts w:ascii="Times New Roman" w:eastAsia="Times New Roman" w:hAnsi="Times New Roman" w:cs="Times New Roman"/>
          <w:color w:val="000000" w:themeColor="text1"/>
          <w:sz w:val="24"/>
          <w:szCs w:val="24"/>
          <w:lang w:eastAsia="pt-BR"/>
        </w:rPr>
        <w:lastRenderedPageBreak/>
        <w:t>utilidade prática: os contratantes sempre puderam, no exercício de sua autonomia privada, estabelecer parâmetros objetivos (ou subjetivos) para a interpretação dos requisitos de revisão ou resolução do contrato, nas relações interempresariais ou de qualquer outra natureza. Tal faculdade, já há muito reconhecida pela doutrina, não exclui a necessidade de um juízo concreto de merecimento de tutela para determinar, em cada caso, a compatibilidade dos parâmetros contratualmente estabelecidos com a ordem jurídica brasileira, atentando especialmente para a impossibilidade de afastamento do princípio do equilíbrio contratual. A fixação convencional de parâmetros para a interpretação dos requisitos instituídos em lei não pode, a toda evidência, conduzir à supressão dos referidos requisitos.</w:t>
      </w:r>
    </w:p>
    <w:p w:rsidR="008F0984" w:rsidRP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 Já o art. 480-B prevê que “</w:t>
      </w:r>
      <w:r w:rsidRPr="008F0984">
        <w:rPr>
          <w:rFonts w:ascii="Times New Roman" w:eastAsia="Times New Roman" w:hAnsi="Times New Roman" w:cs="Times New Roman"/>
          <w:i/>
          <w:iCs/>
          <w:color w:val="000000" w:themeColor="text1"/>
          <w:sz w:val="24"/>
          <w:szCs w:val="24"/>
          <w:lang w:eastAsia="pt-BR"/>
        </w:rPr>
        <w:t>nas relações interempresariais, deve-se presumir a simetria dos contratantes e observar a alocação de riscos por eles definida</w:t>
      </w:r>
      <w:r w:rsidRPr="008F0984">
        <w:rPr>
          <w:rFonts w:ascii="Times New Roman" w:eastAsia="Times New Roman" w:hAnsi="Times New Roman" w:cs="Times New Roman"/>
          <w:color w:val="000000" w:themeColor="text1"/>
          <w:sz w:val="24"/>
          <w:szCs w:val="24"/>
          <w:lang w:eastAsia="pt-BR"/>
        </w:rPr>
        <w:t>.” A norma é insólita. A simetria entre os contratantes é presumida em qualquer relação contratual, e não apenas em relações interempresariais. A caracterização da vulnerabilidade de um dos contratantes é que afasta tal presunção, sempre relativa. Também a parte final do dispositivo que determina seja observada a alocação de risco estabelecida pelos contratantes parece fora de lugar: tal alocação deve ser observada em qualquer espécie de relação contratual, e não apenas nas relações interempresariais. O novo artigo 480-B é ruim, pois, se interpretado </w:t>
      </w:r>
      <w:r w:rsidRPr="008F0984">
        <w:rPr>
          <w:rFonts w:ascii="Times New Roman" w:eastAsia="Times New Roman" w:hAnsi="Times New Roman" w:cs="Times New Roman"/>
          <w:i/>
          <w:iCs/>
          <w:color w:val="000000" w:themeColor="text1"/>
          <w:sz w:val="24"/>
          <w:szCs w:val="24"/>
          <w:lang w:eastAsia="pt-BR"/>
        </w:rPr>
        <w:t>a contrario sensu</w:t>
      </w:r>
      <w:r w:rsidRPr="008F0984">
        <w:rPr>
          <w:rFonts w:ascii="Times New Roman" w:eastAsia="Times New Roman" w:hAnsi="Times New Roman" w:cs="Times New Roman"/>
          <w:color w:val="000000" w:themeColor="text1"/>
          <w:sz w:val="24"/>
          <w:szCs w:val="24"/>
          <w:lang w:eastAsia="pt-BR"/>
        </w:rPr>
        <w:t>, poderia levar à conclusão de que, fora das relações interempresariais, a simetria não se presume e a alocação convencional de riscos deve ser ignorada, bem ao contrário do que deveria pretender uma assim chamada </w:t>
      </w:r>
      <w:r w:rsidRPr="008F0984">
        <w:rPr>
          <w:rFonts w:ascii="Times New Roman" w:eastAsia="Times New Roman" w:hAnsi="Times New Roman" w:cs="Times New Roman"/>
          <w:i/>
          <w:iCs/>
          <w:color w:val="000000" w:themeColor="text1"/>
          <w:sz w:val="24"/>
          <w:szCs w:val="24"/>
          <w:lang w:eastAsia="pt-BR"/>
        </w:rPr>
        <w:t>Declaração de Direitos de Liberdade Econômica. </w:t>
      </w:r>
      <w:r w:rsidRPr="008F0984">
        <w:rPr>
          <w:rFonts w:ascii="Times New Roman" w:eastAsia="Times New Roman" w:hAnsi="Times New Roman" w:cs="Times New Roman"/>
          <w:color w:val="000000" w:themeColor="text1"/>
          <w:sz w:val="24"/>
          <w:szCs w:val="24"/>
          <w:lang w:eastAsia="pt-BR"/>
        </w:rPr>
        <w:t>Merece crítica, ademais, a tentativa de estabelecer, pela introdução de normas não constantes da redação original da codificação civil, uma espécie de microssistema das relações interempresariais, incompatível com um código que, ao revés, unificou as relações civis e empresariais, contemplando expressamente o direito de empresa.</w:t>
      </w:r>
    </w:p>
    <w:p w:rsidR="008F0984" w:rsidRPr="008F0984" w:rsidRDefault="008F0984" w:rsidP="008F0984">
      <w:pPr>
        <w:spacing w:before="120" w:after="120" w:line="360" w:lineRule="auto"/>
        <w:ind w:firstLine="1134"/>
        <w:jc w:val="both"/>
        <w:textAlignment w:val="baseline"/>
        <w:rPr>
          <w:rFonts w:ascii="Times New Roman" w:eastAsia="Times New Roman" w:hAnsi="Times New Roman" w:cs="Times New Roman"/>
          <w:color w:val="000000" w:themeColor="text1"/>
          <w:sz w:val="24"/>
          <w:szCs w:val="24"/>
          <w:lang w:eastAsia="pt-BR"/>
        </w:rPr>
      </w:pPr>
      <w:r w:rsidRPr="008F0984">
        <w:rPr>
          <w:rFonts w:ascii="Times New Roman" w:eastAsia="Times New Roman" w:hAnsi="Times New Roman" w:cs="Times New Roman"/>
          <w:color w:val="000000" w:themeColor="text1"/>
          <w:sz w:val="24"/>
          <w:szCs w:val="24"/>
          <w:lang w:eastAsia="pt-BR"/>
        </w:rPr>
        <w:t> Encerramos, assim, a análise das alterações realizadas pela MP 881/2019 na Parte Geral e na Teoria Geral dos Contratos. Na próxima coluna, seguiremos no estudo das modificações implementadas no Direito das Coisas e no Direito Empresarial.</w:t>
      </w:r>
      <w:r w:rsidRPr="008F0984">
        <w:rPr>
          <w:rFonts w:ascii="Times New Roman" w:eastAsia="Times New Roman" w:hAnsi="Times New Roman" w:cs="Times New Roman"/>
          <w:color w:val="000000" w:themeColor="text1"/>
          <w:sz w:val="24"/>
          <w:szCs w:val="24"/>
          <w:lang w:eastAsia="pt-BR"/>
        </w:rPr>
        <w:pict>
          <v:rect id="_x0000_i1025" style="width:0;height:.75pt" o:hralign="center" o:hrstd="t" o:hr="t" fillcolor="#a0a0a0" stroked="f"/>
        </w:pict>
      </w:r>
    </w:p>
    <w:p w:rsidR="008F0984" w:rsidRPr="008F0984" w:rsidRDefault="008F0984" w:rsidP="008F0984">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9" w:anchor="_ftnref1" w:history="1">
        <w:r w:rsidRPr="008F0984">
          <w:rPr>
            <w:rFonts w:ascii="Times New Roman" w:eastAsia="Times New Roman" w:hAnsi="Times New Roman" w:cs="Times New Roman"/>
            <w:color w:val="000000" w:themeColor="text1"/>
            <w:sz w:val="24"/>
            <w:szCs w:val="24"/>
            <w:u w:val="single"/>
            <w:lang w:eastAsia="pt-BR"/>
          </w:rPr>
          <w:t>[1]</w:t>
        </w:r>
      </w:hyperlink>
      <w:r w:rsidRPr="008F0984">
        <w:rPr>
          <w:rFonts w:ascii="Times New Roman" w:eastAsia="Times New Roman" w:hAnsi="Times New Roman" w:cs="Times New Roman"/>
          <w:color w:val="000000" w:themeColor="text1"/>
          <w:sz w:val="24"/>
          <w:szCs w:val="24"/>
          <w:lang w:eastAsia="pt-BR"/>
        </w:rPr>
        <w:t> A íntegra do texto pode ser acessada em: </w:t>
      </w:r>
      <w:hyperlink r:id="rId10" w:history="1">
        <w:r w:rsidRPr="008F0984">
          <w:rPr>
            <w:rFonts w:ascii="Times New Roman" w:eastAsia="Times New Roman" w:hAnsi="Times New Roman" w:cs="Times New Roman"/>
            <w:color w:val="000000" w:themeColor="text1"/>
            <w:sz w:val="24"/>
            <w:szCs w:val="24"/>
            <w:u w:val="single"/>
            <w:lang w:eastAsia="pt-BR"/>
          </w:rPr>
          <w:t>http://www.planalto.gov.br/ccivil_03/_ato2019-2022/2019/Mpv/mpv881.htm</w:t>
        </w:r>
      </w:hyperlink>
    </w:p>
    <w:p w:rsidR="008F0984" w:rsidRDefault="008F0984" w:rsidP="008F0984">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11" w:anchor="_ftnref2" w:history="1">
        <w:r w:rsidRPr="008F0984">
          <w:rPr>
            <w:rFonts w:ascii="Times New Roman" w:eastAsia="Times New Roman" w:hAnsi="Times New Roman" w:cs="Times New Roman"/>
            <w:color w:val="000000" w:themeColor="text1"/>
            <w:sz w:val="24"/>
            <w:szCs w:val="24"/>
            <w:u w:val="single"/>
            <w:lang w:eastAsia="pt-BR"/>
          </w:rPr>
          <w:t>[2]</w:t>
        </w:r>
      </w:hyperlink>
      <w:r w:rsidRPr="008F0984">
        <w:rPr>
          <w:rFonts w:ascii="Times New Roman" w:eastAsia="Times New Roman" w:hAnsi="Times New Roman" w:cs="Times New Roman"/>
          <w:color w:val="000000" w:themeColor="text1"/>
          <w:sz w:val="24"/>
          <w:szCs w:val="24"/>
          <w:lang w:eastAsia="pt-BR"/>
        </w:rPr>
        <w:t> Redação originária do artigo: “Art. 50. Em caso de abuso da personalidade jurídica, caracterizado pelo desvio de finalidade, ou pela confusão patrimonial, pode o juiz decidir, a requerimento da parte, ou do Ministério Público quando lhe couber intervir no processo, que os efeitos de certas e determinadas relações de obrigações sejam estendidos aos bens particulares dos administradores ou sócios da pessoa jurídica.”</w:t>
      </w:r>
      <w:r>
        <w:rPr>
          <w:rFonts w:ascii="Times New Roman" w:eastAsia="Times New Roman" w:hAnsi="Times New Roman" w:cs="Times New Roman"/>
          <w:color w:val="000000" w:themeColor="text1"/>
          <w:sz w:val="24"/>
          <w:szCs w:val="24"/>
          <w:lang w:eastAsia="pt-BR"/>
        </w:rPr>
        <w:t xml:space="preserve"> </w:t>
      </w:r>
      <w:r w:rsidRPr="008F0984">
        <w:rPr>
          <w:rFonts w:ascii="Times New Roman" w:eastAsia="Times New Roman" w:hAnsi="Times New Roman" w:cs="Times New Roman"/>
          <w:color w:val="000000" w:themeColor="text1"/>
          <w:sz w:val="24"/>
          <w:szCs w:val="24"/>
          <w:lang w:eastAsia="pt-BR"/>
        </w:rPr>
        <w:t>Redação modificada pela MP 881/2019: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r>
        <w:rPr>
          <w:rFonts w:ascii="Times New Roman" w:eastAsia="Times New Roman" w:hAnsi="Times New Roman" w:cs="Times New Roman"/>
          <w:color w:val="000000" w:themeColor="text1"/>
          <w:sz w:val="24"/>
          <w:szCs w:val="24"/>
          <w:lang w:eastAsia="pt-BR"/>
        </w:rPr>
        <w:t xml:space="preserve"> </w:t>
      </w:r>
      <w:r w:rsidRPr="008F0984">
        <w:rPr>
          <w:rFonts w:ascii="Times New Roman" w:eastAsia="Times New Roman" w:hAnsi="Times New Roman" w:cs="Times New Roman"/>
          <w:color w:val="000000" w:themeColor="text1"/>
          <w:sz w:val="24"/>
          <w:szCs w:val="24"/>
          <w:lang w:eastAsia="pt-BR"/>
        </w:rPr>
        <w:t>§ 1º Para fins do disposto neste artigo, desvio de finalidade é a utilização dolosa da pessoa jurídica com o propósito de lesar credores e para a prática de atos ilícitos de qualquer natureza.</w:t>
      </w:r>
      <w:r>
        <w:rPr>
          <w:rFonts w:ascii="Times New Roman" w:eastAsia="Times New Roman" w:hAnsi="Times New Roman" w:cs="Times New Roman"/>
          <w:color w:val="000000" w:themeColor="text1"/>
          <w:sz w:val="24"/>
          <w:szCs w:val="24"/>
          <w:lang w:eastAsia="pt-BR"/>
        </w:rPr>
        <w:t xml:space="preserve"> </w:t>
      </w:r>
      <w:r w:rsidRPr="008F0984">
        <w:rPr>
          <w:rFonts w:ascii="Times New Roman" w:eastAsia="Times New Roman" w:hAnsi="Times New Roman" w:cs="Times New Roman"/>
          <w:color w:val="000000" w:themeColor="text1"/>
          <w:sz w:val="24"/>
          <w:szCs w:val="24"/>
          <w:lang w:eastAsia="pt-BR"/>
        </w:rPr>
        <w:t>§ 2º Entende-se por confusão patrimonial a ausência de separação de fato entre os patrimônios, caracterizada por:</w:t>
      </w:r>
      <w:r>
        <w:rPr>
          <w:rFonts w:ascii="Times New Roman" w:eastAsia="Times New Roman" w:hAnsi="Times New Roman" w:cs="Times New Roman"/>
          <w:color w:val="000000" w:themeColor="text1"/>
          <w:sz w:val="24"/>
          <w:szCs w:val="24"/>
          <w:lang w:eastAsia="pt-BR"/>
        </w:rPr>
        <w:t xml:space="preserve"> </w:t>
      </w:r>
      <w:r w:rsidRPr="008F0984">
        <w:rPr>
          <w:rFonts w:ascii="Times New Roman" w:eastAsia="Times New Roman" w:hAnsi="Times New Roman" w:cs="Times New Roman"/>
          <w:color w:val="000000" w:themeColor="text1"/>
          <w:sz w:val="24"/>
          <w:szCs w:val="24"/>
          <w:lang w:eastAsia="pt-BR"/>
        </w:rPr>
        <w:t>I - cumprimento repetitivo pela sociedade de obrigações do sócio ou do administrador ou vice-versa;</w:t>
      </w:r>
      <w:r>
        <w:rPr>
          <w:rFonts w:ascii="Times New Roman" w:eastAsia="Times New Roman" w:hAnsi="Times New Roman" w:cs="Times New Roman"/>
          <w:color w:val="000000" w:themeColor="text1"/>
          <w:sz w:val="24"/>
          <w:szCs w:val="24"/>
          <w:lang w:eastAsia="pt-BR"/>
        </w:rPr>
        <w:t xml:space="preserve"> </w:t>
      </w:r>
      <w:r w:rsidRPr="008F0984">
        <w:rPr>
          <w:rFonts w:ascii="Times New Roman" w:eastAsia="Times New Roman" w:hAnsi="Times New Roman" w:cs="Times New Roman"/>
          <w:color w:val="000000" w:themeColor="text1"/>
          <w:sz w:val="24"/>
          <w:szCs w:val="24"/>
          <w:lang w:eastAsia="pt-BR"/>
        </w:rPr>
        <w:t>II - transferência de ativos ou de passivos sem efetivas contraprestações, exceto o de valor proporcionalmente insignificante; e</w:t>
      </w:r>
      <w:r>
        <w:rPr>
          <w:rFonts w:ascii="Times New Roman" w:eastAsia="Times New Roman" w:hAnsi="Times New Roman" w:cs="Times New Roman"/>
          <w:color w:val="000000" w:themeColor="text1"/>
          <w:sz w:val="24"/>
          <w:szCs w:val="24"/>
          <w:lang w:eastAsia="pt-BR"/>
        </w:rPr>
        <w:t xml:space="preserve"> </w:t>
      </w:r>
      <w:r w:rsidRPr="008F0984">
        <w:rPr>
          <w:rFonts w:ascii="Times New Roman" w:eastAsia="Times New Roman" w:hAnsi="Times New Roman" w:cs="Times New Roman"/>
          <w:color w:val="000000" w:themeColor="text1"/>
          <w:sz w:val="24"/>
          <w:szCs w:val="24"/>
          <w:lang w:eastAsia="pt-BR"/>
        </w:rPr>
        <w:t>III - outros atos de descumprimento da autonomia patrimonial.</w:t>
      </w:r>
      <w:r>
        <w:rPr>
          <w:rFonts w:ascii="Times New Roman" w:eastAsia="Times New Roman" w:hAnsi="Times New Roman" w:cs="Times New Roman"/>
          <w:color w:val="000000" w:themeColor="text1"/>
          <w:sz w:val="24"/>
          <w:szCs w:val="24"/>
          <w:lang w:eastAsia="pt-BR"/>
        </w:rPr>
        <w:t xml:space="preserve"> </w:t>
      </w:r>
      <w:r w:rsidRPr="008F0984">
        <w:rPr>
          <w:rFonts w:ascii="Times New Roman" w:eastAsia="Times New Roman" w:hAnsi="Times New Roman" w:cs="Times New Roman"/>
          <w:color w:val="000000" w:themeColor="text1"/>
          <w:sz w:val="24"/>
          <w:szCs w:val="24"/>
          <w:lang w:eastAsia="pt-BR"/>
        </w:rPr>
        <w:t>§ 3º O disposto no caput e nos § 1º e § 2º também se aplica à extensão das obrigações de sócios ou de administradores à pessoa jurídica.</w:t>
      </w:r>
      <w:r>
        <w:rPr>
          <w:rFonts w:ascii="Times New Roman" w:eastAsia="Times New Roman" w:hAnsi="Times New Roman" w:cs="Times New Roman"/>
          <w:color w:val="000000" w:themeColor="text1"/>
          <w:sz w:val="24"/>
          <w:szCs w:val="24"/>
          <w:lang w:eastAsia="pt-BR"/>
        </w:rPr>
        <w:t xml:space="preserve"> </w:t>
      </w:r>
      <w:r w:rsidRPr="008F0984">
        <w:rPr>
          <w:rFonts w:ascii="Times New Roman" w:eastAsia="Times New Roman" w:hAnsi="Times New Roman" w:cs="Times New Roman"/>
          <w:color w:val="000000" w:themeColor="text1"/>
          <w:sz w:val="24"/>
          <w:szCs w:val="24"/>
          <w:lang w:eastAsia="pt-BR"/>
        </w:rPr>
        <w:t>§ 4º A mera existência de grupo econômico sem a presença dos requisitos de que trata o caput não autoriza a desconsideração da personalidade da pessoa jurídica.</w:t>
      </w:r>
      <w:r>
        <w:rPr>
          <w:rFonts w:ascii="Times New Roman" w:eastAsia="Times New Roman" w:hAnsi="Times New Roman" w:cs="Times New Roman"/>
          <w:color w:val="000000" w:themeColor="text1"/>
          <w:sz w:val="24"/>
          <w:szCs w:val="24"/>
          <w:lang w:eastAsia="pt-BR"/>
        </w:rPr>
        <w:t xml:space="preserve"> </w:t>
      </w:r>
      <w:r w:rsidRPr="008F0984">
        <w:rPr>
          <w:rFonts w:ascii="Times New Roman" w:eastAsia="Times New Roman" w:hAnsi="Times New Roman" w:cs="Times New Roman"/>
          <w:color w:val="000000" w:themeColor="text1"/>
          <w:sz w:val="24"/>
          <w:szCs w:val="24"/>
          <w:lang w:eastAsia="pt-BR"/>
        </w:rPr>
        <w:t>§ 5º Não constitui desvio de finalidade a mera expansão ou a alteração da finalidade original da atividade econômica específica da pessoa jurídica.”</w:t>
      </w:r>
      <w:r>
        <w:rPr>
          <w:rFonts w:ascii="Times New Roman" w:eastAsia="Times New Roman" w:hAnsi="Times New Roman" w:cs="Times New Roman"/>
          <w:color w:val="000000" w:themeColor="text1"/>
          <w:sz w:val="24"/>
          <w:szCs w:val="24"/>
          <w:lang w:eastAsia="pt-BR"/>
        </w:rPr>
        <w:t xml:space="preserve"> </w:t>
      </w:r>
    </w:p>
    <w:p w:rsidR="008F0984" w:rsidRDefault="008F0984" w:rsidP="008F0984">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12" w:anchor="_ftnref3" w:history="1">
        <w:r w:rsidRPr="008F0984">
          <w:rPr>
            <w:rFonts w:ascii="Times New Roman" w:eastAsia="Times New Roman" w:hAnsi="Times New Roman" w:cs="Times New Roman"/>
            <w:color w:val="000000" w:themeColor="text1"/>
            <w:sz w:val="24"/>
            <w:szCs w:val="24"/>
            <w:u w:val="single"/>
            <w:lang w:eastAsia="pt-BR"/>
          </w:rPr>
          <w:t>[3]</w:t>
        </w:r>
      </w:hyperlink>
      <w:r w:rsidRPr="008F0984">
        <w:rPr>
          <w:rFonts w:ascii="Times New Roman" w:eastAsia="Times New Roman" w:hAnsi="Times New Roman" w:cs="Times New Roman"/>
          <w:color w:val="000000" w:themeColor="text1"/>
          <w:sz w:val="24"/>
          <w:szCs w:val="24"/>
          <w:lang w:eastAsia="pt-BR"/>
        </w:rPr>
        <w:t> Redação originária do artigo: “Art. 421. A liberdade de contratar será exercida em razão e nos limites da função social do contrato.” Redação modificada pela MP 881/2019: “Art. 421. A liberdade de contratar será exercida em razão e nos limites da função social do contrato, observado o disposto na Declaração de Direitos de Liberdade Econômica. Parágrafo único. Nas relações contratuais privadas, prevalecerá o princípio da intervenção mínima do Estado, por qualquer dos seus poderes, e a revisão contratual determinada de forma externa às partes será excepcional.”</w:t>
      </w:r>
      <w:r>
        <w:rPr>
          <w:rFonts w:ascii="Times New Roman" w:eastAsia="Times New Roman" w:hAnsi="Times New Roman" w:cs="Times New Roman"/>
          <w:color w:val="000000" w:themeColor="text1"/>
          <w:sz w:val="24"/>
          <w:szCs w:val="24"/>
          <w:lang w:eastAsia="pt-BR"/>
        </w:rPr>
        <w:t xml:space="preserve"> </w:t>
      </w:r>
    </w:p>
    <w:p w:rsidR="008F0984" w:rsidRPr="008F0984" w:rsidRDefault="008F0984" w:rsidP="008F0984">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13" w:anchor="_ftnref4" w:history="1">
        <w:r w:rsidRPr="008F0984">
          <w:rPr>
            <w:rFonts w:ascii="Times New Roman" w:eastAsia="Times New Roman" w:hAnsi="Times New Roman" w:cs="Times New Roman"/>
            <w:color w:val="000000" w:themeColor="text1"/>
            <w:sz w:val="24"/>
            <w:szCs w:val="24"/>
            <w:u w:val="single"/>
            <w:lang w:eastAsia="pt-BR"/>
          </w:rPr>
          <w:t>[4]</w:t>
        </w:r>
      </w:hyperlink>
      <w:r w:rsidRPr="008F0984">
        <w:rPr>
          <w:rFonts w:ascii="Times New Roman" w:eastAsia="Times New Roman" w:hAnsi="Times New Roman" w:cs="Times New Roman"/>
          <w:color w:val="000000" w:themeColor="text1"/>
          <w:sz w:val="24"/>
          <w:szCs w:val="24"/>
          <w:lang w:eastAsia="pt-BR"/>
        </w:rPr>
        <w:t xml:space="preserve"> Redação originária do artigo: “Art. 423. Quando houver no contrato de adesão cláusulas ambíguas ou contraditórias, dever-se-á adotar a interpretação mais favorável </w:t>
      </w:r>
      <w:r w:rsidRPr="008F0984">
        <w:rPr>
          <w:rFonts w:ascii="Times New Roman" w:eastAsia="Times New Roman" w:hAnsi="Times New Roman" w:cs="Times New Roman"/>
          <w:color w:val="000000" w:themeColor="text1"/>
          <w:sz w:val="24"/>
          <w:szCs w:val="24"/>
          <w:lang w:eastAsia="pt-BR"/>
        </w:rPr>
        <w:lastRenderedPageBreak/>
        <w:t>ao aderente.” Redação modificada pela MP 881/2019: “Art. 423. Quando houver no contrato de adesão cláusulas que gerem dúvida quanto à sua interpretação, será adotada a mais favorável ao aderente. Parágrafo único. Nos contratos não atingidos pelo disposto no caput, exceto se houver disposição específica em lei, a dúvida na interpretação beneficia a parte que não redigiu a cláusula controvertida.”</w:t>
      </w:r>
    </w:p>
    <w:p w:rsidR="00E76FCB" w:rsidRPr="008F0984" w:rsidRDefault="00E76FCB" w:rsidP="008F0984">
      <w:pPr>
        <w:spacing w:before="120" w:after="120" w:line="360" w:lineRule="auto"/>
        <w:ind w:firstLine="1134"/>
        <w:jc w:val="both"/>
        <w:rPr>
          <w:rFonts w:ascii="Times New Roman" w:hAnsi="Times New Roman" w:cs="Times New Roman"/>
          <w:color w:val="000000" w:themeColor="text1"/>
          <w:sz w:val="24"/>
          <w:szCs w:val="24"/>
        </w:rPr>
      </w:pPr>
    </w:p>
    <w:sectPr w:rsidR="00E76FCB" w:rsidRPr="008F0984" w:rsidSect="00E76F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F0984"/>
    <w:rsid w:val="008F0984"/>
    <w:rsid w:val="00E76F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CB"/>
  </w:style>
  <w:style w:type="paragraph" w:styleId="Ttulo1">
    <w:name w:val="heading 1"/>
    <w:basedOn w:val="Normal"/>
    <w:link w:val="Ttulo1Char"/>
    <w:uiPriority w:val="9"/>
    <w:qFormat/>
    <w:rsid w:val="008F0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0984"/>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8F0984"/>
    <w:rPr>
      <w:color w:val="0000FF"/>
      <w:u w:val="single"/>
    </w:rPr>
  </w:style>
  <w:style w:type="paragraph" w:styleId="NormalWeb">
    <w:name w:val="Normal (Web)"/>
    <w:basedOn w:val="Normal"/>
    <w:uiPriority w:val="99"/>
    <w:semiHidden/>
    <w:unhideWhenUsed/>
    <w:rsid w:val="008F09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F0984"/>
    <w:rPr>
      <w:i/>
      <w:iCs/>
    </w:rPr>
  </w:style>
</w:styles>
</file>

<file path=word/webSettings.xml><?xml version="1.0" encoding="utf-8"?>
<w:webSettings xmlns:r="http://schemas.openxmlformats.org/officeDocument/2006/relationships" xmlns:w="http://schemas.openxmlformats.org/wordprocessingml/2006/main">
  <w:divs>
    <w:div w:id="538736824">
      <w:bodyDiv w:val="1"/>
      <w:marLeft w:val="0"/>
      <w:marRight w:val="0"/>
      <w:marTop w:val="0"/>
      <w:marBottom w:val="0"/>
      <w:divBdr>
        <w:top w:val="none" w:sz="0" w:space="0" w:color="auto"/>
        <w:left w:val="none" w:sz="0" w:space="0" w:color="auto"/>
        <w:bottom w:val="none" w:sz="0" w:space="0" w:color="auto"/>
        <w:right w:val="none" w:sz="0" w:space="0" w:color="auto"/>
      </w:divBdr>
      <w:divsChild>
        <w:div w:id="834029371">
          <w:marLeft w:val="0"/>
          <w:marRight w:val="0"/>
          <w:marTop w:val="58"/>
          <w:marBottom w:val="0"/>
          <w:divBdr>
            <w:top w:val="none" w:sz="0" w:space="0" w:color="auto"/>
            <w:left w:val="none" w:sz="0" w:space="0" w:color="auto"/>
            <w:bottom w:val="none" w:sz="0" w:space="0" w:color="auto"/>
            <w:right w:val="none" w:sz="0" w:space="0" w:color="auto"/>
          </w:divBdr>
        </w:div>
        <w:div w:id="1238244388">
          <w:marLeft w:val="0"/>
          <w:marRight w:val="0"/>
          <w:marTop w:val="253"/>
          <w:marBottom w:val="0"/>
          <w:divBdr>
            <w:top w:val="none" w:sz="0" w:space="0" w:color="auto"/>
            <w:left w:val="none" w:sz="0" w:space="0" w:color="auto"/>
            <w:bottom w:val="none" w:sz="0" w:space="0" w:color="auto"/>
            <w:right w:val="none" w:sz="0" w:space="0" w:color="auto"/>
          </w:divBdr>
          <w:divsChild>
            <w:div w:id="1181505407">
              <w:marLeft w:val="0"/>
              <w:marRight w:val="0"/>
              <w:marTop w:val="0"/>
              <w:marBottom w:val="0"/>
              <w:divBdr>
                <w:top w:val="none" w:sz="0" w:space="0" w:color="auto"/>
                <w:left w:val="none" w:sz="0" w:space="0" w:color="auto"/>
                <w:bottom w:val="none" w:sz="0" w:space="0" w:color="auto"/>
                <w:right w:val="none" w:sz="0" w:space="0" w:color="auto"/>
              </w:divBdr>
              <w:divsChild>
                <w:div w:id="1263949161">
                  <w:marLeft w:val="0"/>
                  <w:marRight w:val="0"/>
                  <w:marTop w:val="0"/>
                  <w:marBottom w:val="0"/>
                  <w:divBdr>
                    <w:top w:val="none" w:sz="0" w:space="0" w:color="auto"/>
                    <w:left w:val="none" w:sz="0" w:space="0" w:color="auto"/>
                    <w:bottom w:val="none" w:sz="0" w:space="0" w:color="auto"/>
                    <w:right w:val="none" w:sz="0" w:space="0" w:color="auto"/>
                  </w:divBdr>
                </w:div>
                <w:div w:id="877396983">
                  <w:marLeft w:val="0"/>
                  <w:marRight w:val="0"/>
                  <w:marTop w:val="0"/>
                  <w:marBottom w:val="0"/>
                  <w:divBdr>
                    <w:top w:val="none" w:sz="0" w:space="0" w:color="auto"/>
                    <w:left w:val="none" w:sz="0" w:space="0" w:color="auto"/>
                    <w:bottom w:val="none" w:sz="0" w:space="0" w:color="auto"/>
                    <w:right w:val="none" w:sz="0" w:space="0" w:color="auto"/>
                  </w:divBdr>
                </w:div>
                <w:div w:id="360321536">
                  <w:marLeft w:val="0"/>
                  <w:marRight w:val="0"/>
                  <w:marTop w:val="0"/>
                  <w:marBottom w:val="0"/>
                  <w:divBdr>
                    <w:top w:val="none" w:sz="0" w:space="0" w:color="auto"/>
                    <w:left w:val="none" w:sz="0" w:space="0" w:color="auto"/>
                    <w:bottom w:val="none" w:sz="0" w:space="0" w:color="auto"/>
                    <w:right w:val="none" w:sz="0" w:space="0" w:color="auto"/>
                  </w:divBdr>
                </w:div>
                <w:div w:id="1267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taforense.com.br/conteudo/colunas/alteracoes-da-mp-881-ao-codigo-civil---parte-i/18342" TargetMode="External"/><Relationship Id="rId13" Type="http://schemas.openxmlformats.org/officeDocument/2006/relationships/hyperlink" Target="http://www.cartaforense.com.br/conteudo/colunas/alteracoes-da-mp-881-ao-codigo-civil---parte-i/18342" TargetMode="External"/><Relationship Id="rId3" Type="http://schemas.openxmlformats.org/officeDocument/2006/relationships/webSettings" Target="webSettings.xml"/><Relationship Id="rId7" Type="http://schemas.openxmlformats.org/officeDocument/2006/relationships/hyperlink" Target="http://www.cartaforense.com.br/conteudo/colunas/alteracoes-da-mp-881-ao-codigo-civil---parte-i/18342" TargetMode="External"/><Relationship Id="rId12" Type="http://schemas.openxmlformats.org/officeDocument/2006/relationships/hyperlink" Target="http://www.cartaforense.com.br/conteudo/colunas/alteracoes-da-mp-881-ao-codigo-civil---parte-i/183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taforense.com.br/conteudo/colunas/alteracoes-da-mp-881-ao-codigo-civil---parte-i/18342" TargetMode="External"/><Relationship Id="rId11" Type="http://schemas.openxmlformats.org/officeDocument/2006/relationships/hyperlink" Target="http://www.cartaforense.com.br/conteudo/colunas/alteracoes-da-mp-881-ao-codigo-civil---parte-i/18342" TargetMode="External"/><Relationship Id="rId5" Type="http://schemas.openxmlformats.org/officeDocument/2006/relationships/hyperlink" Target="http://www.cartaforense.com.br/conteudo/colunas/alteracoes-da-mp-881-ao-codigo-civil---parte-i/18342" TargetMode="External"/><Relationship Id="rId15" Type="http://schemas.openxmlformats.org/officeDocument/2006/relationships/theme" Target="theme/theme1.xml"/><Relationship Id="rId10" Type="http://schemas.openxmlformats.org/officeDocument/2006/relationships/hyperlink" Target="http://www.planalto.gov.br/ccivil_03/_ato2019-2022/2019/Mpv/mpv881.htm" TargetMode="External"/><Relationship Id="rId4" Type="http://schemas.openxmlformats.org/officeDocument/2006/relationships/hyperlink" Target="http://www.cartaforense.com.br/autor/anderson-schreiber/722" TargetMode="External"/><Relationship Id="rId9" Type="http://schemas.openxmlformats.org/officeDocument/2006/relationships/hyperlink" Target="http://www.cartaforense.com.br/conteudo/colunas/alteracoes-da-mp-881-ao-codigo-civil---parte-i/18342"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3029</Words>
  <Characters>16358</Characters>
  <Application>Microsoft Office Word</Application>
  <DocSecurity>0</DocSecurity>
  <Lines>136</Lines>
  <Paragraphs>38</Paragraphs>
  <ScaleCrop>false</ScaleCrop>
  <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Flavio</cp:lastModifiedBy>
  <cp:revision>1</cp:revision>
  <dcterms:created xsi:type="dcterms:W3CDTF">2019-05-02T15:14:00Z</dcterms:created>
  <dcterms:modified xsi:type="dcterms:W3CDTF">2019-05-02T15:18:00Z</dcterms:modified>
</cp:coreProperties>
</file>