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8A" w:rsidRPr="00677B24" w:rsidRDefault="0037228A" w:rsidP="00677B2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  </w:t>
      </w:r>
      <w:r w:rsidR="006247F1" w:rsidRPr="00677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Termo inicial da prescrição da ação de petição de herança: uma necessidade de readequação da orientação da 3ª Turma do STJ</w:t>
      </w:r>
    </w:p>
    <w:p w:rsidR="0037228A" w:rsidRPr="00677B24" w:rsidRDefault="0037228A" w:rsidP="00677B2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37228A" w:rsidRPr="00677B24" w:rsidRDefault="0037228A" w:rsidP="00677B2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t-BR"/>
        </w:rPr>
        <w:t>Carlos Eduardo Elias de Oliveira</w:t>
      </w:r>
    </w:p>
    <w:p w:rsidR="0037228A" w:rsidRPr="00677B24" w:rsidRDefault="0037228A" w:rsidP="00677B2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t-BR"/>
        </w:rPr>
        <w:t>Doutorando, mestre e bacharel em Direito pela Universidade de Brasília (UnB). Consultor Legislativo do Senado Federal em Direito Civil, Processo Civil e Direito Agrário (único aprovado no concurso de 2012).</w:t>
      </w:r>
      <w:r w:rsidR="00A376C6" w:rsidRPr="00677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t-BR"/>
        </w:rPr>
        <w:t xml:space="preserve"> Advogado. </w:t>
      </w:r>
      <w:r w:rsidRPr="00677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t-BR"/>
        </w:rPr>
        <w:t>Ex-Advogado</w:t>
      </w:r>
      <w:proofErr w:type="spellEnd"/>
      <w:r w:rsidRPr="00677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t-BR"/>
        </w:rPr>
        <w:t xml:space="preserve"> da União. Ex-Assessor de Ministro do STJ. Professor de Direito Civil e Direito Notarial e de Registros Públicos.</w:t>
      </w:r>
    </w:p>
    <w:p w:rsidR="00E90D9F" w:rsidRPr="00677B24" w:rsidRDefault="00E90D9F" w:rsidP="00677B2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t-BR"/>
        </w:rPr>
      </w:pPr>
    </w:p>
    <w:p w:rsidR="00E90D9F" w:rsidRPr="00677B24" w:rsidRDefault="00E90D9F" w:rsidP="00677B2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t-BR"/>
        </w:rPr>
        <w:t xml:space="preserve">Data de elaboração: </w:t>
      </w:r>
      <w:r w:rsidR="00EB2A85" w:rsidRPr="00677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t-BR"/>
        </w:rPr>
        <w:t>31</w:t>
      </w:r>
      <w:r w:rsidRPr="00677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t-BR"/>
        </w:rPr>
        <w:t xml:space="preserve"> de janeiro de 2019</w:t>
      </w:r>
    </w:p>
    <w:p w:rsidR="0037228A" w:rsidRPr="00677B24" w:rsidRDefault="0037228A" w:rsidP="00677B2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37228A" w:rsidRPr="00677B24" w:rsidRDefault="0037228A" w:rsidP="00677B2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37228A" w:rsidRPr="00677B24" w:rsidRDefault="0037228A" w:rsidP="00677B2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517484" w:rsidRPr="00677B24" w:rsidRDefault="006247F1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jurisprudência sempre foi pouco didática acerca do prazo prescricional da ação de petição de h</w:t>
      </w:r>
      <w:bookmarkStart w:id="0" w:name="_GoBack"/>
      <w:bookmarkEnd w:id="0"/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erança quando a condição de herdeiro dependia de um prévio reconhecimento judicial (ex.: uma ação de investigação de paternidade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post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mortem</w:t>
      </w:r>
      <w:proofErr w:type="spellEnd"/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ou uma ação de reconhecimento de união estável). </w:t>
      </w:r>
    </w:p>
    <w:p w:rsidR="006247F1" w:rsidRPr="00677B24" w:rsidRDefault="00517484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Para ilustrar, suponha que alguém tenha dois filhos reconhecidos e um filho desconhecido que foi fruto de um relacionamento extraconjugal. Ao falecer esse pai, é comum os filhos reconhecidos partilharem o patrimônio deixado pelo pai entre si por meio de um procedimento de inventário e partilha sem a participação do seu desconhecido irmão. Muitos anos depois, esse filho desprezado decide buscar o seu quinhão hereditário e, para tanto, ele precisará, em primeiro lugar, do reconhecimento da sua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 xml:space="preserve">condição de filho por meio de uma ação de investigação de paternidade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post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mortem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(após a morte do suposto pai) para, em seguida, buscar o seu quinhão hereditário das mãos dos seus irmãos por meio de uma ação de petição de herança. </w:t>
      </w:r>
      <w:r w:rsidR="00EA17C7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Estamos aqui a discutir qual seria o prazo para esse filho desconhecido adotar todas essas medidas.</w:t>
      </w:r>
      <w:r w:rsidR="000D65AB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Poderia ele demorar 60 anos para desfazer a partilha que os seus irmãos já haviam promovido? </w:t>
      </w:r>
    </w:p>
    <w:p w:rsidR="006247F1" w:rsidRPr="00677B24" w:rsidRDefault="006247F1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 3ª Turma do Superior Tribunal de Justiça (STJ) vem enfrentando a matéria com a louvável preocupação de não punir, com a prescrição, o indivíduo que </w:t>
      </w:r>
      <w:r w:rsidR="000D65AB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escolhe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para propor uma ação de petição de herança após </w:t>
      </w:r>
      <w:r w:rsidR="000D65AB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obtenção d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o reconhecimento oficial da sua condição de herdeiro. A preocupação </w:t>
      </w:r>
      <w:r w:rsidR="000D65AB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do Tribunal da Cidadania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é inquestionável, mas o caminho 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adotado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– com as devidas vênias – precisa ser realinhado.</w:t>
      </w:r>
    </w:p>
    <w:p w:rsidR="006247F1" w:rsidRPr="00677B24" w:rsidRDefault="006247F1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Explica-se.</w:t>
      </w:r>
    </w:p>
    <w:p w:rsidR="006247F1" w:rsidRPr="00677B24" w:rsidRDefault="006247F1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 ação de petição de herança é a aquela proposta pelo herdeiro que não participou de um inventário e de uma partilha em busca de receber o seu quinhão hereditário das mãos dos demais herdeiros (art. 1.824 e </w:t>
      </w:r>
      <w:proofErr w:type="spellStart"/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ss</w:t>
      </w:r>
      <w:proofErr w:type="spellEnd"/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Código Civil – CC). Seu prazo prescricional é de 10 anos por força da regra geral do art. 205 do CC.</w:t>
      </w:r>
    </w:p>
    <w:p w:rsidR="006247F1" w:rsidRPr="00677B24" w:rsidRDefault="006247F1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problema é definir o termo inicial desse decênio prescricional na hipótese de a condição de herdeiro depender de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um reconhecimento oficial por meio de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uma prévia ação, como no caso de um filho não reconhecido ou de uma companheira cuja união estável ainda não foi reconhecida.</w:t>
      </w:r>
    </w:p>
    <w:p w:rsidR="006247F1" w:rsidRPr="00677B24" w:rsidRDefault="006247F1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De um lado, se a condição de herdeiro 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não depender de uma ação prévia por já estar reconhecida oficialmente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(ex.: o filho já foi reconhecido), há controvérsia se o termo inicial deve ser a data da abertura da sucessão ou a data da partilha dos bens. Entendemos que deve ser a data da partilha, pois, somente a partir desse momento, o herdeiro efetivamente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>pode ser considerado preterido e, assim, só a partir daí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ele pode valer-se da ação da petição de herança para cobrar o seu quinhão hereditário. Antes da partilha, o herdeiro não poderia propor ação de petição de herança, pois a via adequada para ele pleitear seu quinhão 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é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habilitar-se no inventário na forma do art. 628 do CPC.</w:t>
      </w:r>
    </w:p>
    <w:p w:rsidR="00C07FE4" w:rsidRPr="00677B24" w:rsidRDefault="006247F1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De outro lado, se a condição de herdeiro 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depender de uma prévia ação por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ainda não est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definida (ex.: ação de investigação de paternidade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post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mortem</w:t>
      </w:r>
      <w:proofErr w:type="spellEnd"/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), </w:t>
      </w:r>
      <w:r w:rsidR="00DB7F48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3ª Turma do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STJ decidiu que o termo inicial da</w:t>
      </w:r>
      <w:r w:rsidR="00DB7F48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prescrição da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ação de petição de herança será apenas o trânsito em julgado daquela </w:t>
      </w:r>
      <w:r w:rsidR="00DB7F48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anterior ação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C07FE4" w:rsidRPr="00677B24" w:rsidRDefault="006247F1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É que, somente após a definição da condição de herdeiro com o trânsito em julgado da ação pertinente, nasce</w:t>
      </w:r>
      <w:r w:rsidR="00DB7F48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ria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a pretensão de o herdeiro preterido pleitear o seu quinhão hereditário por meio da ação de petição de herança. Antes disso, a parte desconhec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eri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 </w:t>
      </w:r>
      <w:r w:rsidR="00DB7F48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sua condição de herdeiro e, por isso, não pod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eria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ser punida com a prescrição em relação à possível ação de petição de herança. A teoria da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actio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nata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– que vincula o termo inicial da prescrição ao momento do nascimento da pretensão – justifica</w:t>
      </w:r>
      <w:r w:rsidR="007963C5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ria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esse entendimento. Trata-se da velha máxima romana: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actioni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nondum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natae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non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praescribitur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pt-BR"/>
        </w:rPr>
        <w:footnoteReference w:id="1"/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. </w:t>
      </w:r>
    </w:p>
    <w:p w:rsidR="006247F1" w:rsidRPr="00677B24" w:rsidRDefault="006247F1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Portanto, </w:t>
      </w:r>
      <w:r w:rsidR="007963C5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à luz d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 3ª Turma do </w:t>
      </w:r>
      <w:r w:rsidR="007963C5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STJ,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 caso de filho ainda não formalmente reconhecido, o prazo prescricional de 10 anos da ação de petição de herança só começa a correr a partir do trânsito em julgado da ação de investigação de paternidade.</w:t>
      </w:r>
      <w:r w:rsidR="007963C5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Esse é o entendimento mais recente d</w:t>
      </w:r>
      <w:r w:rsidR="007963C5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3ª Turma do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STJ, que superou anterior entendimento que </w:t>
      </w:r>
      <w:r w:rsidR="007963C5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se inclinava a fincar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o termo inicial do decênio prescricional da ação de petição de herança na data da abertura da sucessão (STJ, REsp 1368677/MG, 3ª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 xml:space="preserve">Turma, Rel. Ministro Paulo de Tarso Sanseverino, DJe 15/02/2018; REsp 1.475.759/DF, 3ª Turma, Rel. Min. João Otávio de Noronha, DJe de 20/5/2016; REsp 1392314/SC, 3ª Turma, Rel. Ministro Marco Aurélio </w:t>
      </w:r>
      <w:proofErr w:type="spellStart"/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Belizze</w:t>
      </w:r>
      <w:proofErr w:type="spellEnd"/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DJe 20/10/2016).</w:t>
      </w:r>
    </w:p>
    <w:p w:rsidR="0010333A" w:rsidRPr="00677B24" w:rsidRDefault="00C07FE4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Temos </w:t>
      </w:r>
      <w:r w:rsidR="006247F1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que o recente entendimento d</w:t>
      </w:r>
      <w:r w:rsidR="007963C5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3ª Turma d</w:t>
      </w:r>
      <w:r w:rsidR="006247F1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STJ, embora esteja adequado com a sua intenção de não punir o indivíduo que não teve o reconhecimento de condição de herdeiro, chega a uma solução inoportuna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por </w:t>
      </w:r>
      <w:r w:rsidR="006247F1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perpetua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</w:t>
      </w:r>
      <w:r w:rsidR="006247F1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discussões de índole patrimonial. </w:t>
      </w:r>
    </w:p>
    <w:p w:rsidR="0010333A" w:rsidRPr="00677B24" w:rsidRDefault="0010333A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É preciso recordar que, </w:t>
      </w:r>
      <w:r w:rsidR="006247F1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embora a ação de petição de herança seja prescritível, a ação de investigação de paternidade não o é, conforme a ainda válida Súmula nº 149/STF</w:t>
      </w:r>
      <w:r w:rsidR="006247F1" w:rsidRPr="00677B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pt-BR"/>
        </w:rPr>
        <w:footnoteReference w:id="2"/>
      </w:r>
      <w:r w:rsidR="006247F1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fato, a ação de investigação de paternidade representa o exercício de um direito potestativo (formativo), que não está sujeito a prazos prescricionais, e sim a prazos decadenciais. Como inexiste 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um prazo decadencial para essa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ação de estado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,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ela pode ser proposta a qualquer tempo. Daí falar-se que a ação de investigação de paternidade é imprescritível, embora tecnicamente o mais adequado seria 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afirmar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que ela não é sujeita a prazo de decadência.</w:t>
      </w:r>
    </w:p>
    <w:p w:rsidR="006247F1" w:rsidRPr="00677B24" w:rsidRDefault="00C07FE4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Ora,</w:t>
      </w:r>
      <w:r w:rsidR="006247F1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como</w:t>
      </w:r>
      <w:r w:rsidR="007963C5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à luz da 3ª Turma do STJ,</w:t>
      </w:r>
      <w:r w:rsidR="006247F1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o termo inicial da ação de petição de herança seria o trânsito em julgado da ação de investigação da paternidade, </w:t>
      </w:r>
      <w:r w:rsidR="007963C5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há o risco potencial de </w:t>
      </w:r>
      <w:proofErr w:type="spellStart"/>
      <w:r w:rsidR="006247F1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eternização</w:t>
      </w:r>
      <w:proofErr w:type="spellEnd"/>
      <w:r w:rsidR="006247F1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discussões patrimoniais. Imagine, por exemplo, que um indivíduo proponha uma ação de investigação de paternidade </w:t>
      </w:r>
      <w:proofErr w:type="spellStart"/>
      <w:r w:rsidR="006247F1"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post</w:t>
      </w:r>
      <w:proofErr w:type="spellEnd"/>
      <w:r w:rsidR="006247F1"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="006247F1"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mortem</w:t>
      </w:r>
      <w:proofErr w:type="spellEnd"/>
      <w:r w:rsidR="006247F1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depois de 50 anos da partilha de bens do suposto pai. Em vencendo a ação, ele ainda terá 10 anos para ajuizar a ação de petição de herança, o que, na prática, exporia os herdeiros que fizeram a partilha a terem de pagar o quinhão do filho preterido após 60 anos. Não nos parece adequada essa imortalidade de discussões patrimoniais.</w:t>
      </w:r>
    </w:p>
    <w:p w:rsidR="006247F1" w:rsidRPr="00677B24" w:rsidRDefault="006247F1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>Preferimos entender que o termo inicial do prazo prescricional de 10 anos da ação de petição de herança é a data da conclusão da partilha</w:t>
      </w:r>
      <w:r w:rsidR="007963C5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, pois, a partir daí, passa a ser cabível a ação de petição de herança. Todavia,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ao ser proposta a ação destinada ao reconhecimento da condição de herdeiro (ex.: ação de reconhecimento de paternidade</w:t>
      </w:r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post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mortem</w:t>
      </w:r>
      <w:proofErr w:type="spellEnd"/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ou ação de reconhecimento de união estável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post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mortem</w:t>
      </w:r>
      <w:proofErr w:type="spellEnd"/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), o prazo prescricional deverá ficar suspenso e só voltará a fluir com o trânsito em julgado dessa ação. O fundamento dessa suspensão é o princípio do </w:t>
      </w:r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contra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non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valentem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agere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non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currit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praescriptio</w:t>
      </w:r>
      <w:proofErr w:type="spellEnd"/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(em vernáculo, contra quem não pode agir, não corre a prescrição): enquanto a condição de herdeiro não está reconhecida definitivamente, 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não é razoável exigir que a propositura da ação de petição de herança. Com essa solução que ora propomos</w:t>
      </w:r>
      <w:r w:rsidR="0075792E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, o herdeiro não reconhecido oficialmente não 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será </w:t>
      </w:r>
      <w:r w:rsidR="0075792E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injustamente punido com a prescrição nem 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haverá uma </w:t>
      </w:r>
      <w:proofErr w:type="spellStart"/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eternização</w:t>
      </w:r>
      <w:proofErr w:type="spellEnd"/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</w:t>
      </w:r>
      <w:r w:rsidR="0075792E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discussões patrimoniais.</w:t>
      </w:r>
      <w:r w:rsidR="00C07FE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</w:p>
    <w:p w:rsidR="00F25AAD" w:rsidRPr="00677B24" w:rsidRDefault="0010333A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Em suma, sustentamos que o decênio prescricional da ação de petição de herança se inicia com a data da conclusão da partilha, admitida, porém, a suspensão da prescrição durante o curso de ação destinada ao reconhecimento oficial da condição de herdeiro (como a ação de investigação de paternidade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post</w:t>
      </w:r>
      <w:proofErr w:type="spellEnd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 </w:t>
      </w:r>
      <w:proofErr w:type="spellStart"/>
      <w:r w:rsidRPr="00677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mortem</w:t>
      </w:r>
      <w:proofErr w:type="spellEnd"/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). </w:t>
      </w:r>
    </w:p>
    <w:p w:rsidR="00A376C6" w:rsidRPr="00677B24" w:rsidRDefault="00A376C6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O tema, porém, não é pacífico na doutrina. Civilistas brasileiros do mais alta expressão, como o Professor Flávio Tartuce, defende a </w:t>
      </w:r>
      <w:proofErr w:type="spellStart"/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imprescritilidade</w:t>
      </w:r>
      <w:proofErr w:type="spellEnd"/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da ação de petição de herança. No volume 6 do seu Manual de Direito Civil, o Doutor pelas Arcadas, em ressonância com a Professora Gis</w:t>
      </w:r>
      <w:r w:rsidR="00677B24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lda Hironaka – outra timoneira dos estudos de Direito Civil no Brasil – assenta o seguinte: “este autor entende que a ação de petição de herança deve ser reconhecida como imprescritível, ou seja, não sujeita à prescrição ou à decadência, na linha do que defende Giselda Maria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>Fernandes Hironaka”</w:t>
      </w:r>
      <w:r w:rsidR="00AE2306" w:rsidRPr="00677B24">
        <w:rPr>
          <w:rStyle w:val="Refdenotaderodap"/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footnoteReference w:id="3"/>
      </w:r>
      <w:r w:rsidR="00AE2306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 Ousamos, com a devida reverência a esses nossos preceptores, caminha para um caminho intermediário para não eternizar discussões de índole patrimonial, preferindo reconhecer a prescrição decenal com a possibilidade de suspensão do prazo durante a ação destinada ao reconhecimento oficial da condição de herdeiro.</w:t>
      </w:r>
    </w:p>
    <w:p w:rsidR="00AE2306" w:rsidRPr="00677B24" w:rsidRDefault="00AE2306" w:rsidP="00677B24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 jurisprudência ainda haverá de fazer a poeira </w:t>
      </w:r>
      <w:r w:rsidR="00EB2A85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de controvérsias 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que ronda o tema repousar </w:t>
      </w:r>
      <w:r w:rsidR="00EB2A85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em</w:t>
      </w:r>
      <w:r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solo</w:t>
      </w:r>
      <w:r w:rsidR="00EB2A85" w:rsidRPr="00677B2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firme.</w:t>
      </w:r>
    </w:p>
    <w:sectPr w:rsidR="00AE2306" w:rsidRPr="00677B24" w:rsidSect="00667A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5B" w:rsidRDefault="00C23F5B" w:rsidP="006247F1">
      <w:r>
        <w:separator/>
      </w:r>
    </w:p>
  </w:endnote>
  <w:endnote w:type="continuationSeparator" w:id="0">
    <w:p w:rsidR="00C23F5B" w:rsidRDefault="00C23F5B" w:rsidP="0062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5B" w:rsidRDefault="00C23F5B" w:rsidP="006247F1">
      <w:r>
        <w:separator/>
      </w:r>
    </w:p>
  </w:footnote>
  <w:footnote w:type="continuationSeparator" w:id="0">
    <w:p w:rsidR="00C23F5B" w:rsidRDefault="00C23F5B" w:rsidP="006247F1">
      <w:r>
        <w:continuationSeparator/>
      </w:r>
    </w:p>
  </w:footnote>
  <w:footnote w:id="1">
    <w:p w:rsidR="006247F1" w:rsidRPr="00982ED3" w:rsidRDefault="006247F1" w:rsidP="006247F1">
      <w:pPr>
        <w:pStyle w:val="Textodenotaderodap"/>
      </w:pPr>
      <w:r>
        <w:rPr>
          <w:rStyle w:val="Refdenotaderodap"/>
        </w:rPr>
        <w:footnoteRef/>
      </w:r>
      <w:r>
        <w:t xml:space="preserve"> E</w:t>
      </w:r>
      <w:r w:rsidRPr="00982ED3">
        <w:t>m tradução livre, ação que ainda não nasceu não prescreve</w:t>
      </w:r>
      <w:r>
        <w:t xml:space="preserve">. Com o mesmo sentido, também é recorrente falar no </w:t>
      </w:r>
      <w:r w:rsidRPr="00982ED3">
        <w:t xml:space="preserve">princípio da </w:t>
      </w:r>
      <w:proofErr w:type="spellStart"/>
      <w:r w:rsidRPr="00982ED3">
        <w:rPr>
          <w:i/>
        </w:rPr>
        <w:t>actio</w:t>
      </w:r>
      <w:proofErr w:type="spellEnd"/>
      <w:r w:rsidRPr="00982ED3">
        <w:rPr>
          <w:i/>
        </w:rPr>
        <w:t xml:space="preserve"> </w:t>
      </w:r>
      <w:proofErr w:type="spellStart"/>
      <w:r w:rsidRPr="00982ED3">
        <w:rPr>
          <w:i/>
        </w:rPr>
        <w:t>non</w:t>
      </w:r>
      <w:proofErr w:type="spellEnd"/>
      <w:r w:rsidRPr="00982ED3">
        <w:rPr>
          <w:i/>
        </w:rPr>
        <w:t xml:space="preserve"> nata </w:t>
      </w:r>
      <w:proofErr w:type="spellStart"/>
      <w:r w:rsidRPr="00982ED3">
        <w:rPr>
          <w:i/>
        </w:rPr>
        <w:t>non</w:t>
      </w:r>
      <w:proofErr w:type="spellEnd"/>
      <w:r w:rsidRPr="00982ED3">
        <w:rPr>
          <w:i/>
        </w:rPr>
        <w:t xml:space="preserve"> </w:t>
      </w:r>
      <w:proofErr w:type="spellStart"/>
      <w:r w:rsidRPr="00982ED3">
        <w:rPr>
          <w:i/>
        </w:rPr>
        <w:t>praescribitur</w:t>
      </w:r>
      <w:proofErr w:type="spellEnd"/>
      <w:r w:rsidRPr="00982ED3">
        <w:rPr>
          <w:i/>
        </w:rPr>
        <w:t xml:space="preserve"> </w:t>
      </w:r>
      <w:r>
        <w:t>(mesma tradução livre).</w:t>
      </w:r>
    </w:p>
  </w:footnote>
  <w:footnote w:id="2">
    <w:p w:rsidR="006247F1" w:rsidRPr="009D1B0E" w:rsidRDefault="006247F1" w:rsidP="006247F1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9D1B0E">
        <w:rPr>
          <w:rFonts w:ascii="Times New Roman" w:hAnsi="Times New Roman" w:cs="Times New Roman"/>
        </w:rPr>
        <w:t>Súmula nº 149/STF: “</w:t>
      </w:r>
      <w:r w:rsidRPr="009D1B0E">
        <w:rPr>
          <w:rFonts w:ascii="Times New Roman" w:eastAsia="Times New Roman" w:hAnsi="Times New Roman" w:cs="Times New Roman"/>
          <w:lang/>
        </w:rPr>
        <w:t>É imprescritível a ação de investigação de paternidade, mas não o é a de petição de herança</w:t>
      </w:r>
      <w:r w:rsidRPr="009D1B0E">
        <w:rPr>
          <w:rFonts w:ascii="Times New Roman" w:hAnsi="Times New Roman" w:cs="Times New Roman"/>
        </w:rPr>
        <w:t>”.</w:t>
      </w:r>
    </w:p>
  </w:footnote>
  <w:footnote w:id="3">
    <w:p w:rsidR="00AE2306" w:rsidRPr="00AE2306" w:rsidRDefault="00AE2306">
      <w:pPr>
        <w:pStyle w:val="Textodenotaderodap"/>
      </w:pPr>
      <w:r>
        <w:rPr>
          <w:rStyle w:val="Refdenotaderodap"/>
        </w:rPr>
        <w:footnoteRef/>
      </w:r>
      <w:r>
        <w:t xml:space="preserve"> TARTUCE, Flávio. </w:t>
      </w:r>
      <w:r>
        <w:rPr>
          <w:b/>
        </w:rPr>
        <w:t>Direito Civil, v. 6</w:t>
      </w:r>
      <w:r>
        <w:t>. Rio de Janeiro: Forense, 2018, p. 128.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28A"/>
    <w:rsid w:val="000B500E"/>
    <w:rsid w:val="000D65AB"/>
    <w:rsid w:val="0010333A"/>
    <w:rsid w:val="0037228A"/>
    <w:rsid w:val="003B009A"/>
    <w:rsid w:val="004D24B0"/>
    <w:rsid w:val="00517484"/>
    <w:rsid w:val="006247F1"/>
    <w:rsid w:val="006641B3"/>
    <w:rsid w:val="00667A04"/>
    <w:rsid w:val="00677B24"/>
    <w:rsid w:val="0075792E"/>
    <w:rsid w:val="007963C5"/>
    <w:rsid w:val="007A4EB1"/>
    <w:rsid w:val="00815830"/>
    <w:rsid w:val="00966A17"/>
    <w:rsid w:val="009703EC"/>
    <w:rsid w:val="009D1B0E"/>
    <w:rsid w:val="00A376C6"/>
    <w:rsid w:val="00A5381B"/>
    <w:rsid w:val="00AE2306"/>
    <w:rsid w:val="00B720F0"/>
    <w:rsid w:val="00BC2B60"/>
    <w:rsid w:val="00BF5EF2"/>
    <w:rsid w:val="00C07FE4"/>
    <w:rsid w:val="00C23F5B"/>
    <w:rsid w:val="00DB7F48"/>
    <w:rsid w:val="00DF5A2A"/>
    <w:rsid w:val="00E90D9F"/>
    <w:rsid w:val="00EA17C7"/>
    <w:rsid w:val="00EB2A85"/>
    <w:rsid w:val="00F2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2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47F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47F1"/>
    <w:rPr>
      <w:sz w:val="20"/>
      <w:szCs w:val="20"/>
    </w:rPr>
  </w:style>
  <w:style w:type="character" w:styleId="Refdenotaderodap">
    <w:name w:val="footnote reference"/>
    <w:rsid w:val="00624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1390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Oliveira</dc:creator>
  <cp:lastModifiedBy>Flavio</cp:lastModifiedBy>
  <cp:revision>2</cp:revision>
  <dcterms:created xsi:type="dcterms:W3CDTF">2019-02-02T13:55:00Z</dcterms:created>
  <dcterms:modified xsi:type="dcterms:W3CDTF">2019-02-02T13:55:00Z</dcterms:modified>
</cp:coreProperties>
</file>