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DC" w:rsidRPr="00093E6B" w:rsidRDefault="00C252DF" w:rsidP="00D038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1D2129"/>
          <w:sz w:val="24"/>
          <w:szCs w:val="24"/>
        </w:rPr>
      </w:pPr>
      <w:r>
        <w:rPr>
          <w:rFonts w:ascii="Times New Roman" w:hAnsi="Times New Roman"/>
          <w:b/>
          <w:color w:val="1D2129"/>
          <w:sz w:val="24"/>
          <w:szCs w:val="24"/>
        </w:rPr>
        <w:t>Furto ou roubo de bem objeto de leasing: cautelas na leitura do recente precedente do STJ</w:t>
      </w:r>
    </w:p>
    <w:p w:rsidR="00D0389D" w:rsidRPr="00093E6B" w:rsidRDefault="00D0389D" w:rsidP="00D0389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1D2129"/>
          <w:sz w:val="24"/>
          <w:szCs w:val="24"/>
        </w:rPr>
      </w:pPr>
    </w:p>
    <w:p w:rsidR="008A06DC" w:rsidRPr="00093E6B" w:rsidRDefault="00D0389D" w:rsidP="00CB3237">
      <w:pPr>
        <w:pStyle w:val="NormalWeb"/>
        <w:shd w:val="clear" w:color="auto" w:fill="FFFFFF"/>
        <w:spacing w:before="0" w:beforeAutospacing="0" w:after="0" w:afterAutospacing="0"/>
        <w:ind w:left="3402"/>
        <w:jc w:val="right"/>
        <w:rPr>
          <w:rFonts w:ascii="Times New Roman" w:hAnsi="Times New Roman"/>
          <w:color w:val="1D2129"/>
          <w:sz w:val="24"/>
          <w:szCs w:val="24"/>
        </w:rPr>
      </w:pPr>
      <w:r w:rsidRPr="00093E6B">
        <w:rPr>
          <w:rFonts w:ascii="Times New Roman" w:hAnsi="Times New Roman"/>
          <w:color w:val="1D2129"/>
          <w:sz w:val="24"/>
          <w:szCs w:val="24"/>
        </w:rPr>
        <w:t xml:space="preserve">Carlos </w:t>
      </w:r>
      <w:r w:rsidR="00CB3237" w:rsidRPr="00093E6B">
        <w:rPr>
          <w:rFonts w:ascii="Times New Roman" w:hAnsi="Times New Roman"/>
          <w:color w:val="1D2129"/>
          <w:sz w:val="24"/>
          <w:szCs w:val="24"/>
        </w:rPr>
        <w:t>E</w:t>
      </w:r>
      <w:r w:rsidR="00306B39">
        <w:rPr>
          <w:rFonts w:ascii="Times New Roman" w:hAnsi="Times New Roman"/>
          <w:color w:val="1D2129"/>
          <w:sz w:val="24"/>
          <w:szCs w:val="24"/>
        </w:rPr>
        <w:t xml:space="preserve">duardo </w:t>
      </w:r>
      <w:r w:rsidRPr="00093E6B">
        <w:rPr>
          <w:rFonts w:ascii="Times New Roman" w:hAnsi="Times New Roman"/>
          <w:color w:val="1D2129"/>
          <w:sz w:val="24"/>
          <w:szCs w:val="24"/>
        </w:rPr>
        <w:t>Elias de Oliveira</w:t>
      </w:r>
    </w:p>
    <w:p w:rsidR="00CB3237" w:rsidRDefault="00CB3237" w:rsidP="00CB3237">
      <w:pPr>
        <w:pStyle w:val="NormalWeb"/>
        <w:shd w:val="clear" w:color="auto" w:fill="FFFFFF"/>
        <w:spacing w:before="0" w:beforeAutospacing="0" w:after="0" w:afterAutospacing="0"/>
        <w:ind w:left="3402"/>
        <w:jc w:val="right"/>
        <w:rPr>
          <w:rFonts w:ascii="Times New Roman" w:hAnsi="Times New Roman"/>
          <w:color w:val="1D2129"/>
          <w:sz w:val="24"/>
          <w:szCs w:val="24"/>
        </w:rPr>
      </w:pPr>
      <w:r w:rsidRPr="00093E6B">
        <w:rPr>
          <w:rFonts w:ascii="Times New Roman" w:hAnsi="Times New Roman"/>
          <w:color w:val="1D2129"/>
          <w:sz w:val="24"/>
          <w:szCs w:val="24"/>
        </w:rPr>
        <w:t>(</w:t>
      </w:r>
      <w:r w:rsidR="006A29EA">
        <w:rPr>
          <w:rFonts w:ascii="Times New Roman" w:hAnsi="Times New Roman"/>
          <w:color w:val="1D2129"/>
          <w:sz w:val="24"/>
          <w:szCs w:val="24"/>
        </w:rPr>
        <w:t xml:space="preserve">Doutorando, mestre e bacharel </w:t>
      </w:r>
      <w:r w:rsidR="00475621" w:rsidRPr="00093E6B">
        <w:rPr>
          <w:rFonts w:ascii="Times New Roman" w:hAnsi="Times New Roman"/>
          <w:color w:val="1D2129"/>
          <w:sz w:val="24"/>
          <w:szCs w:val="24"/>
        </w:rPr>
        <w:t>em Direito na Universidade de Brasília</w:t>
      </w:r>
      <w:r w:rsidR="00475621">
        <w:rPr>
          <w:rFonts w:ascii="Times New Roman" w:hAnsi="Times New Roman"/>
          <w:color w:val="1D2129"/>
          <w:sz w:val="24"/>
          <w:szCs w:val="24"/>
        </w:rPr>
        <w:t xml:space="preserve">, Professor de Direito Civil e de Direito Notarial e de Registro, </w:t>
      </w:r>
      <w:r w:rsidRPr="00093E6B">
        <w:rPr>
          <w:rFonts w:ascii="Times New Roman" w:hAnsi="Times New Roman"/>
          <w:color w:val="1D2129"/>
          <w:sz w:val="24"/>
          <w:szCs w:val="24"/>
        </w:rPr>
        <w:t>Consultor Legislativo do Senado Fed</w:t>
      </w:r>
      <w:r w:rsidR="00475621">
        <w:rPr>
          <w:rFonts w:ascii="Times New Roman" w:hAnsi="Times New Roman"/>
          <w:color w:val="1D2129"/>
          <w:sz w:val="24"/>
          <w:szCs w:val="24"/>
        </w:rPr>
        <w:t>e</w:t>
      </w:r>
      <w:r w:rsidR="00235DE9">
        <w:rPr>
          <w:rFonts w:ascii="Times New Roman" w:hAnsi="Times New Roman"/>
          <w:color w:val="1D2129"/>
          <w:sz w:val="24"/>
          <w:szCs w:val="24"/>
        </w:rPr>
        <w:t>ral em Direito Civil, Advogado,</w:t>
      </w:r>
      <w:r w:rsidRPr="00093E6B">
        <w:rPr>
          <w:rFonts w:ascii="Times New Roman" w:hAnsi="Times New Roman"/>
          <w:color w:val="1D2129"/>
          <w:sz w:val="24"/>
          <w:szCs w:val="24"/>
        </w:rPr>
        <w:t xml:space="preserve"> </w:t>
      </w:r>
      <w:proofErr w:type="spellStart"/>
      <w:r w:rsidRPr="00093E6B">
        <w:rPr>
          <w:rFonts w:ascii="Times New Roman" w:hAnsi="Times New Roman"/>
          <w:color w:val="1D2129"/>
          <w:sz w:val="24"/>
          <w:szCs w:val="24"/>
        </w:rPr>
        <w:t>ex-Advogado</w:t>
      </w:r>
      <w:proofErr w:type="spellEnd"/>
      <w:r w:rsidRPr="00093E6B">
        <w:rPr>
          <w:rFonts w:ascii="Times New Roman" w:hAnsi="Times New Roman"/>
          <w:color w:val="1D2129"/>
          <w:sz w:val="24"/>
          <w:szCs w:val="24"/>
        </w:rPr>
        <w:t xml:space="preserve"> da </w:t>
      </w:r>
      <w:r w:rsidR="00475621">
        <w:rPr>
          <w:rFonts w:ascii="Times New Roman" w:hAnsi="Times New Roman"/>
          <w:color w:val="1D2129"/>
          <w:sz w:val="24"/>
          <w:szCs w:val="24"/>
        </w:rPr>
        <w:t>União</w:t>
      </w:r>
      <w:r w:rsidR="00235DE9">
        <w:rPr>
          <w:rFonts w:ascii="Times New Roman" w:hAnsi="Times New Roman"/>
          <w:color w:val="1D2129"/>
          <w:sz w:val="24"/>
          <w:szCs w:val="24"/>
        </w:rPr>
        <w:t xml:space="preserve"> e ex-assessor de ministro STJ</w:t>
      </w:r>
      <w:r w:rsidRPr="00093E6B">
        <w:rPr>
          <w:rFonts w:ascii="Times New Roman" w:hAnsi="Times New Roman"/>
          <w:color w:val="1D2129"/>
          <w:sz w:val="24"/>
          <w:szCs w:val="24"/>
        </w:rPr>
        <w:t>)</w:t>
      </w:r>
    </w:p>
    <w:p w:rsidR="008A69DE" w:rsidRDefault="00DA2EDC" w:rsidP="00CB3237">
      <w:pPr>
        <w:pStyle w:val="NormalWeb"/>
        <w:shd w:val="clear" w:color="auto" w:fill="FFFFFF"/>
        <w:spacing w:before="0" w:beforeAutospacing="0" w:after="0" w:afterAutospacing="0"/>
        <w:ind w:left="3402"/>
        <w:jc w:val="right"/>
        <w:rPr>
          <w:rFonts w:ascii="Times New Roman" w:hAnsi="Times New Roman"/>
          <w:color w:val="1D2129"/>
          <w:sz w:val="24"/>
          <w:szCs w:val="24"/>
        </w:rPr>
      </w:pPr>
      <w:r w:rsidRPr="00DA2EDC">
        <w:rPr>
          <w:rFonts w:ascii="Times New Roman" w:hAnsi="Times New Roman"/>
          <w:color w:val="1D2129"/>
          <w:sz w:val="24"/>
          <w:szCs w:val="24"/>
        </w:rPr>
        <w:t xml:space="preserve">Brasília/DF, </w:t>
      </w:r>
      <w:r w:rsidR="00254A0D">
        <w:rPr>
          <w:rFonts w:ascii="Times New Roman" w:hAnsi="Times New Roman"/>
          <w:color w:val="1D2129"/>
          <w:sz w:val="24"/>
          <w:szCs w:val="24"/>
        </w:rPr>
        <w:t>14</w:t>
      </w:r>
      <w:r w:rsidRPr="00DA2EDC">
        <w:rPr>
          <w:rFonts w:ascii="Times New Roman" w:hAnsi="Times New Roman"/>
          <w:color w:val="1D2129"/>
          <w:sz w:val="24"/>
          <w:szCs w:val="24"/>
        </w:rPr>
        <w:t xml:space="preserve"> de </w:t>
      </w:r>
      <w:r w:rsidR="00254A0D">
        <w:rPr>
          <w:rFonts w:ascii="Times New Roman" w:hAnsi="Times New Roman"/>
          <w:color w:val="1D2129"/>
          <w:sz w:val="24"/>
          <w:szCs w:val="24"/>
        </w:rPr>
        <w:t>novembro</w:t>
      </w:r>
      <w:r w:rsidRPr="00DA2EDC">
        <w:rPr>
          <w:rFonts w:ascii="Times New Roman" w:hAnsi="Times New Roman"/>
          <w:color w:val="1D2129"/>
          <w:sz w:val="24"/>
          <w:szCs w:val="24"/>
        </w:rPr>
        <w:t xml:space="preserve"> de 2018</w:t>
      </w:r>
    </w:p>
    <w:p w:rsidR="00DA2EDC" w:rsidRPr="00DA2EDC" w:rsidRDefault="00DA2EDC" w:rsidP="00CB3237">
      <w:pPr>
        <w:pStyle w:val="NormalWeb"/>
        <w:shd w:val="clear" w:color="auto" w:fill="FFFFFF"/>
        <w:spacing w:before="0" w:beforeAutospacing="0" w:after="0" w:afterAutospacing="0"/>
        <w:ind w:left="3402"/>
        <w:jc w:val="right"/>
        <w:rPr>
          <w:rFonts w:ascii="Times New Roman" w:hAnsi="Times New Roman"/>
          <w:color w:val="1D2129"/>
          <w:sz w:val="24"/>
          <w:szCs w:val="24"/>
        </w:rPr>
      </w:pPr>
    </w:p>
    <w:p w:rsidR="00D0389D" w:rsidRPr="00093E6B" w:rsidRDefault="00D0389D" w:rsidP="00CB3237">
      <w:pPr>
        <w:pStyle w:val="NormalWeb"/>
        <w:shd w:val="clear" w:color="auto" w:fill="FFFFFF"/>
        <w:spacing w:before="0" w:beforeAutospacing="0" w:after="0" w:afterAutospacing="0"/>
        <w:ind w:left="3402"/>
        <w:rPr>
          <w:rFonts w:ascii="Times New Roman" w:hAnsi="Times New Roman"/>
          <w:color w:val="1D2129"/>
          <w:sz w:val="24"/>
          <w:szCs w:val="24"/>
        </w:rPr>
      </w:pPr>
    </w:p>
    <w:p w:rsidR="00D0389D" w:rsidRPr="00093E6B" w:rsidRDefault="00D0389D" w:rsidP="003F6F1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D2129"/>
          <w:sz w:val="24"/>
          <w:szCs w:val="24"/>
        </w:rPr>
      </w:pPr>
    </w:p>
    <w:p w:rsidR="00C252DF" w:rsidRDefault="00C252DF" w:rsidP="00B03497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Nesta semana, </w:t>
      </w:r>
      <w:r w:rsidR="00054596">
        <w:rPr>
          <w:rFonts w:ascii="Times New Roman" w:hAnsi="Times New Roman"/>
          <w:szCs w:val="24"/>
        </w:rPr>
        <w:t>ao julgar o REsp 1.658.568</w:t>
      </w:r>
      <w:r w:rsidR="00054596">
        <w:rPr>
          <w:rStyle w:val="Refdenotaderodap"/>
          <w:rFonts w:ascii="Times New Roman" w:hAnsi="Times New Roman"/>
          <w:szCs w:val="24"/>
        </w:rPr>
        <w:footnoteReference w:id="1"/>
      </w:r>
      <w:r w:rsidR="0005459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3ª Turma do Superior Tribunal de Justiça (STJ) entendeu que, havendo seguro, o arrendante não poderá mais cobrar do arrendatário prestações que vencerem após o furto ou o roubo da coisa</w:t>
      </w:r>
      <w:r w:rsidR="001E520D">
        <w:rPr>
          <w:rFonts w:ascii="Times New Roman" w:hAnsi="Times New Roman"/>
          <w:szCs w:val="24"/>
        </w:rPr>
        <w:t>, pois</w:t>
      </w:r>
      <w:r w:rsidR="00AB411A">
        <w:rPr>
          <w:rFonts w:ascii="Times New Roman" w:hAnsi="Times New Roman"/>
          <w:szCs w:val="24"/>
        </w:rPr>
        <w:t>, além de o arrendante ter recebido a indenização securitária,</w:t>
      </w:r>
      <w:r w:rsidR="00CA5B68">
        <w:rPr>
          <w:rFonts w:ascii="Times New Roman" w:hAnsi="Times New Roman"/>
          <w:szCs w:val="24"/>
        </w:rPr>
        <w:t xml:space="preserve"> </w:t>
      </w:r>
      <w:r w:rsidR="00AB411A">
        <w:rPr>
          <w:rFonts w:ascii="Times New Roman" w:hAnsi="Times New Roman"/>
          <w:szCs w:val="24"/>
        </w:rPr>
        <w:t>o arrendante é o proprietário da coisa no arrendamento mercantil (</w:t>
      </w:r>
      <w:r w:rsidR="00AB411A">
        <w:rPr>
          <w:rFonts w:ascii="Times New Roman" w:hAnsi="Times New Roman"/>
          <w:i/>
          <w:szCs w:val="24"/>
        </w:rPr>
        <w:t>leasing</w:t>
      </w:r>
      <w:r w:rsidR="00AB411A">
        <w:rPr>
          <w:rFonts w:ascii="Times New Roman" w:hAnsi="Times New Roman"/>
          <w:szCs w:val="24"/>
        </w:rPr>
        <w:t>) e, por isso, à luz d</w:t>
      </w:r>
      <w:r w:rsidR="00CA5B68">
        <w:rPr>
          <w:rFonts w:ascii="Times New Roman" w:hAnsi="Times New Roman"/>
          <w:szCs w:val="24"/>
        </w:rPr>
        <w:t>a teoria do risco</w:t>
      </w:r>
      <w:r w:rsidR="00AB411A">
        <w:rPr>
          <w:rFonts w:ascii="Times New Roman" w:hAnsi="Times New Roman"/>
          <w:szCs w:val="24"/>
        </w:rPr>
        <w:t>, é dele o prejuízo pelo perecimento fortuito da coisa (</w:t>
      </w:r>
      <w:proofErr w:type="spellStart"/>
      <w:r w:rsidR="00AB411A">
        <w:rPr>
          <w:rFonts w:ascii="Times New Roman" w:hAnsi="Times New Roman"/>
          <w:i/>
          <w:szCs w:val="24"/>
        </w:rPr>
        <w:t>res</w:t>
      </w:r>
      <w:proofErr w:type="spellEnd"/>
      <w:r w:rsidR="00AB411A">
        <w:rPr>
          <w:rFonts w:ascii="Times New Roman" w:hAnsi="Times New Roman"/>
          <w:i/>
          <w:szCs w:val="24"/>
        </w:rPr>
        <w:t xml:space="preserve"> </w:t>
      </w:r>
      <w:proofErr w:type="spellStart"/>
      <w:r w:rsidR="00AB411A">
        <w:rPr>
          <w:rFonts w:ascii="Times New Roman" w:hAnsi="Times New Roman"/>
          <w:i/>
          <w:szCs w:val="24"/>
        </w:rPr>
        <w:t>perit</w:t>
      </w:r>
      <w:proofErr w:type="spellEnd"/>
      <w:r w:rsidR="00AB411A">
        <w:rPr>
          <w:rFonts w:ascii="Times New Roman" w:hAnsi="Times New Roman"/>
          <w:i/>
          <w:szCs w:val="24"/>
        </w:rPr>
        <w:t xml:space="preserve"> domino</w:t>
      </w:r>
      <w:r w:rsidR="00AB411A">
        <w:rPr>
          <w:rFonts w:ascii="Times New Roman" w:hAnsi="Times New Roman"/>
          <w:szCs w:val="24"/>
        </w:rPr>
        <w:t>).</w:t>
      </w:r>
    </w:p>
    <w:p w:rsidR="00AB411A" w:rsidRDefault="00AB411A" w:rsidP="00B03497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 preciso</w:t>
      </w:r>
      <w:r w:rsidR="007A4808">
        <w:rPr>
          <w:rFonts w:ascii="Times New Roman" w:hAnsi="Times New Roman"/>
          <w:szCs w:val="24"/>
        </w:rPr>
        <w:t xml:space="preserve"> ter duas cautelas na leitura desse importante</w:t>
      </w:r>
      <w:r>
        <w:rPr>
          <w:rFonts w:ascii="Times New Roman" w:hAnsi="Times New Roman"/>
          <w:szCs w:val="24"/>
        </w:rPr>
        <w:t xml:space="preserve"> julgado.</w:t>
      </w:r>
    </w:p>
    <w:p w:rsidR="00AB411A" w:rsidRDefault="00AB411A" w:rsidP="00B03497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primeira é a de que o julgado acima aplica-se apenas aos casos em que a coisa arrendada </w:t>
      </w:r>
      <w:r w:rsidR="00FE0183">
        <w:rPr>
          <w:rFonts w:ascii="Times New Roman" w:hAnsi="Times New Roman"/>
          <w:szCs w:val="24"/>
        </w:rPr>
        <w:t>estiver</w:t>
      </w:r>
      <w:r>
        <w:rPr>
          <w:rFonts w:ascii="Times New Roman" w:hAnsi="Times New Roman"/>
          <w:szCs w:val="24"/>
        </w:rPr>
        <w:t xml:space="preserve"> protegida por um contrato de seguro, de modo que, no caso de perecimento fortuito da coisa, o arrendante receberá o valor da indenização securitária no lugar da coisa.</w:t>
      </w:r>
      <w:r w:rsidR="005E3635">
        <w:rPr>
          <w:rFonts w:ascii="Times New Roman" w:hAnsi="Times New Roman"/>
          <w:szCs w:val="24"/>
        </w:rPr>
        <w:t xml:space="preserve"> Se, porém, a coisa não estiver segurada, nada foi </w:t>
      </w:r>
      <w:r w:rsidR="00E1745B">
        <w:rPr>
          <w:rFonts w:ascii="Times New Roman" w:hAnsi="Times New Roman"/>
          <w:szCs w:val="24"/>
        </w:rPr>
        <w:t xml:space="preserve">ainda </w:t>
      </w:r>
      <w:r w:rsidR="005E3635">
        <w:rPr>
          <w:rFonts w:ascii="Times New Roman" w:hAnsi="Times New Roman"/>
          <w:szCs w:val="24"/>
        </w:rPr>
        <w:t>decidido pelo STJ</w:t>
      </w:r>
      <w:r w:rsidR="00E1745B">
        <w:rPr>
          <w:rFonts w:ascii="Times New Roman" w:hAnsi="Times New Roman"/>
          <w:szCs w:val="24"/>
        </w:rPr>
        <w:t>.</w:t>
      </w:r>
    </w:p>
    <w:p w:rsidR="005E3635" w:rsidRDefault="005E3635" w:rsidP="00B03497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segunda é a de que o julgado nada falou acerca da possível existência de dever de o arrendante ter de devolver ao arrendatário algum valor, tendo em vista que, a depender do momento do perecimento fortuito da coisa, o arrendante já pode ter pago valores substanciais a título de prestações mensais do contrato de </w:t>
      </w:r>
      <w:r>
        <w:rPr>
          <w:rFonts w:ascii="Times New Roman" w:hAnsi="Times New Roman"/>
          <w:i/>
          <w:szCs w:val="24"/>
        </w:rPr>
        <w:t>leasing</w:t>
      </w:r>
      <w:r>
        <w:rPr>
          <w:rFonts w:ascii="Times New Roman" w:hAnsi="Times New Roman"/>
          <w:szCs w:val="24"/>
        </w:rPr>
        <w:t>.</w:t>
      </w:r>
    </w:p>
    <w:p w:rsidR="005E3635" w:rsidRDefault="00E25D8D" w:rsidP="00B03497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 suma, esses dois aspectos (</w:t>
      </w:r>
      <w:r>
        <w:rPr>
          <w:rFonts w:ascii="Times New Roman" w:hAnsi="Times New Roman"/>
          <w:i/>
          <w:szCs w:val="24"/>
        </w:rPr>
        <w:t xml:space="preserve">leasing </w:t>
      </w:r>
      <w:r>
        <w:rPr>
          <w:rFonts w:ascii="Times New Roman" w:hAnsi="Times New Roman"/>
          <w:szCs w:val="24"/>
        </w:rPr>
        <w:t>sem seguro e restituição de valores ao arrendatário</w:t>
      </w:r>
      <w:r w:rsidR="00E1745B">
        <w:rPr>
          <w:rFonts w:ascii="Times New Roman" w:hAnsi="Times New Roman"/>
          <w:szCs w:val="24"/>
        </w:rPr>
        <w:t>) não foram analisado</w:t>
      </w:r>
      <w:r>
        <w:rPr>
          <w:rFonts w:ascii="Times New Roman" w:hAnsi="Times New Roman"/>
          <w:szCs w:val="24"/>
        </w:rPr>
        <w:t>s.</w:t>
      </w:r>
    </w:p>
    <w:p w:rsidR="000864A9" w:rsidRDefault="000864A9" w:rsidP="00B03497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 esses dois pontos, entendemos que o STJ, quando</w:t>
      </w:r>
      <w:r w:rsidR="00E1745B">
        <w:rPr>
          <w:rFonts w:ascii="Times New Roman" w:hAnsi="Times New Roman"/>
          <w:szCs w:val="24"/>
        </w:rPr>
        <w:t xml:space="preserve"> futuramente vier a analisá-los</w:t>
      </w:r>
      <w:r>
        <w:rPr>
          <w:rFonts w:ascii="Times New Roman" w:hAnsi="Times New Roman"/>
          <w:szCs w:val="24"/>
        </w:rPr>
        <w:t>, haverá de guardar coerência com o que ele julgou neste REsp repetitivo:</w:t>
      </w:r>
    </w:p>
    <w:p w:rsidR="000864A9" w:rsidRDefault="000864A9" w:rsidP="00B03497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</w:p>
    <w:p w:rsidR="000864A9" w:rsidRPr="000864A9" w:rsidRDefault="000864A9" w:rsidP="000864A9">
      <w:pPr>
        <w:pStyle w:val="Nota-Textocorrente"/>
        <w:spacing w:after="0" w:line="240" w:lineRule="auto"/>
        <w:ind w:left="1418" w:firstLine="0"/>
        <w:rPr>
          <w:rFonts w:ascii="Times New Roman" w:hAnsi="Times New Roman"/>
        </w:rPr>
      </w:pPr>
      <w:r w:rsidRPr="000864A9">
        <w:rPr>
          <w:rFonts w:ascii="Times New Roman" w:hAnsi="Times New Roman"/>
        </w:rPr>
        <w:t>RECURSO ESPECIAL. REPETITIVO. RITO DO ARTIGO 543-C DO CPC.</w:t>
      </w:r>
      <w:r>
        <w:rPr>
          <w:rFonts w:ascii="Times New Roman" w:hAnsi="Times New Roman"/>
        </w:rPr>
        <w:t xml:space="preserve"> </w:t>
      </w:r>
      <w:r w:rsidRPr="000864A9">
        <w:rPr>
          <w:rFonts w:ascii="Times New Roman" w:hAnsi="Times New Roman"/>
        </w:rPr>
        <w:t>ARRENDAMENTO MERCANTIL. LEASING. INADIMPLEMENTO. REINTEGRAÇÃO DE POSSE. VALOR RESIDUAL GARANTIDOR (VRG). FORMA DE DEVOLUÇÃO.</w:t>
      </w:r>
    </w:p>
    <w:p w:rsidR="000864A9" w:rsidRPr="000864A9" w:rsidRDefault="000864A9" w:rsidP="000864A9">
      <w:pPr>
        <w:pStyle w:val="Nota-Textocorrente"/>
        <w:spacing w:after="0" w:line="240" w:lineRule="auto"/>
        <w:ind w:left="1418" w:firstLine="0"/>
        <w:rPr>
          <w:rFonts w:ascii="Times New Roman" w:hAnsi="Times New Roman"/>
        </w:rPr>
      </w:pPr>
      <w:r w:rsidRPr="000864A9">
        <w:rPr>
          <w:rFonts w:ascii="Times New Roman" w:hAnsi="Times New Roman"/>
        </w:rPr>
        <w:t xml:space="preserve">1. Para os efeitos do artigo 543-C do CPC: "Nas ações de reintegração de posse motivadas por inadimplemento de arrendamento mercantil financeiro, quando o produto da soma do VRG quitado com o valor da venda do bem for maior que o total pactuado como VRG na contratação, será direito do arrendatário receber a diferença, cabendo, </w:t>
      </w:r>
      <w:r w:rsidRPr="000864A9">
        <w:rPr>
          <w:rFonts w:ascii="Times New Roman" w:hAnsi="Times New Roman"/>
        </w:rPr>
        <w:lastRenderedPageBreak/>
        <w:t>porém, se estipulado no contrato, o prévio desconto de outras despesas ou encargos contratuais".</w:t>
      </w:r>
    </w:p>
    <w:p w:rsidR="000864A9" w:rsidRPr="000864A9" w:rsidRDefault="000864A9" w:rsidP="000864A9">
      <w:pPr>
        <w:pStyle w:val="Nota-Textocorrente"/>
        <w:spacing w:after="0" w:line="240" w:lineRule="auto"/>
        <w:ind w:left="1418" w:firstLine="0"/>
        <w:rPr>
          <w:rFonts w:ascii="Times New Roman" w:hAnsi="Times New Roman"/>
        </w:rPr>
      </w:pPr>
      <w:r w:rsidRPr="000864A9">
        <w:rPr>
          <w:rFonts w:ascii="Times New Roman" w:hAnsi="Times New Roman"/>
        </w:rPr>
        <w:t>2. Aplicação ao caso concreto: recurso especial parcialmente conhecido e, nessa parte, não provido.</w:t>
      </w:r>
    </w:p>
    <w:p w:rsidR="000864A9" w:rsidRPr="000864A9" w:rsidRDefault="000864A9" w:rsidP="000864A9">
      <w:pPr>
        <w:pStyle w:val="Nota-Textocorrente"/>
        <w:spacing w:after="0" w:line="240" w:lineRule="auto"/>
        <w:ind w:left="1418" w:firstLine="0"/>
        <w:rPr>
          <w:rFonts w:ascii="Times New Roman" w:hAnsi="Times New Roman"/>
        </w:rPr>
      </w:pPr>
      <w:r w:rsidRPr="000864A9">
        <w:rPr>
          <w:rFonts w:ascii="Times New Roman" w:hAnsi="Times New Roman"/>
        </w:rPr>
        <w:t>(REsp 1099212/RJ, Rel. Ministro MASSAMI UYEDA, Rel. p/ Acórdão Ministro RICARDO VILLAS BÔAS CUEVA, SEGUNDA SEÇÃO, julgado em 27/02/2013, DJe 04/04/2013)</w:t>
      </w:r>
    </w:p>
    <w:p w:rsidR="000864A9" w:rsidRDefault="000864A9" w:rsidP="00B03497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</w:p>
    <w:p w:rsidR="00B726FD" w:rsidRDefault="00F654D6" w:rsidP="0029226E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 suma, por esse recurso repetitivo, o STJ firmou que, no </w:t>
      </w:r>
      <w:r>
        <w:rPr>
          <w:rFonts w:ascii="Times New Roman" w:hAnsi="Times New Roman"/>
          <w:i/>
          <w:szCs w:val="24"/>
        </w:rPr>
        <w:t xml:space="preserve">leasing </w:t>
      </w:r>
      <w:r>
        <w:rPr>
          <w:rFonts w:ascii="Times New Roman" w:hAnsi="Times New Roman"/>
          <w:szCs w:val="24"/>
        </w:rPr>
        <w:t xml:space="preserve">financeiro, em havendo resolução do contrato por culpa do arrendatário (ex.: inadimplemento do arrendante ou resilição unilateral por parte deste), o banco arrendante tem direito a, no mínimo, receber o Valor Residual Garantido (VRG), valor esse que </w:t>
      </w:r>
      <w:r w:rsidR="001F7F42">
        <w:rPr>
          <w:rFonts w:ascii="Times New Roman" w:hAnsi="Times New Roman"/>
          <w:szCs w:val="24"/>
        </w:rPr>
        <w:t>costuma ser pago de modo fracionado como um dos componentes das prestações mensais.</w:t>
      </w:r>
      <w:r w:rsidR="00B953E2">
        <w:rPr>
          <w:rFonts w:ascii="Times New Roman" w:hAnsi="Times New Roman"/>
          <w:szCs w:val="24"/>
        </w:rPr>
        <w:t xml:space="preserve"> Nas prestações mensais, há</w:t>
      </w:r>
      <w:r w:rsidR="00AD7328">
        <w:rPr>
          <w:rFonts w:ascii="Times New Roman" w:hAnsi="Times New Roman"/>
          <w:szCs w:val="24"/>
        </w:rPr>
        <w:t>, no mínimo,</w:t>
      </w:r>
      <w:r w:rsidR="00B953E2">
        <w:rPr>
          <w:rFonts w:ascii="Times New Roman" w:hAnsi="Times New Roman"/>
          <w:szCs w:val="24"/>
        </w:rPr>
        <w:t xml:space="preserve"> dois valores que são cobrados: </w:t>
      </w:r>
      <w:r w:rsidR="00AD7328">
        <w:rPr>
          <w:rFonts w:ascii="Times New Roman" w:hAnsi="Times New Roman"/>
          <w:szCs w:val="24"/>
        </w:rPr>
        <w:t>(1) uma parcela relativa ao aluguel e (2) uma relativa ao VRG parcelado.</w:t>
      </w:r>
      <w:r w:rsidR="001F7F42">
        <w:rPr>
          <w:rFonts w:ascii="Times New Roman" w:hAnsi="Times New Roman"/>
          <w:szCs w:val="24"/>
        </w:rPr>
        <w:t xml:space="preserve"> </w:t>
      </w:r>
      <w:r w:rsidR="000C51AA">
        <w:rPr>
          <w:rFonts w:ascii="Times New Roman" w:hAnsi="Times New Roman"/>
          <w:szCs w:val="24"/>
        </w:rPr>
        <w:t xml:space="preserve">Se, por exemplo, o </w:t>
      </w:r>
      <w:r w:rsidR="000C51AA" w:rsidRPr="000C51AA">
        <w:rPr>
          <w:rFonts w:ascii="Times New Roman" w:hAnsi="Times New Roman"/>
          <w:i/>
          <w:szCs w:val="24"/>
        </w:rPr>
        <w:t>leasing</w:t>
      </w:r>
      <w:r w:rsidR="000C51AA">
        <w:rPr>
          <w:rFonts w:ascii="Times New Roman" w:hAnsi="Times New Roman"/>
          <w:szCs w:val="24"/>
        </w:rPr>
        <w:t xml:space="preserve"> financeiro foi feito por um consumidor que queria adquirir um veículo de R$ 80.000,00 e se tiver sido estipulado o valor de R$ 70.000,00 como VRG, o banco arrendante, no mínimo, teria direito a receber, no caso de extinção do contrato por culpa do consumidor, o valor de R$ 70.000,00 por meio do somatório da</w:t>
      </w:r>
      <w:r w:rsidR="00EF6AA7">
        <w:rPr>
          <w:rFonts w:ascii="Times New Roman" w:hAnsi="Times New Roman"/>
          <w:szCs w:val="24"/>
        </w:rPr>
        <w:t>s</w:t>
      </w:r>
      <w:r w:rsidR="00F51F7D">
        <w:rPr>
          <w:rFonts w:ascii="Times New Roman" w:hAnsi="Times New Roman"/>
          <w:szCs w:val="24"/>
        </w:rPr>
        <w:t xml:space="preserve"> frações</w:t>
      </w:r>
      <w:r w:rsidR="00B726FD">
        <w:rPr>
          <w:rFonts w:ascii="Times New Roman" w:hAnsi="Times New Roman"/>
          <w:szCs w:val="24"/>
        </w:rPr>
        <w:t xml:space="preserve"> de VRG embutidas nas parcelas mensais já pagas com o preço obtido no leilão do bem.</w:t>
      </w:r>
    </w:p>
    <w:p w:rsidR="0029226E" w:rsidRDefault="0029226E" w:rsidP="0029226E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motivo dessa orientação vinculante é o fato de que, no </w:t>
      </w:r>
      <w:r>
        <w:rPr>
          <w:rFonts w:ascii="Times New Roman" w:hAnsi="Times New Roman"/>
          <w:i/>
          <w:szCs w:val="24"/>
        </w:rPr>
        <w:t xml:space="preserve">leasing </w:t>
      </w:r>
      <w:r>
        <w:rPr>
          <w:rFonts w:ascii="Times New Roman" w:hAnsi="Times New Roman"/>
          <w:szCs w:val="24"/>
        </w:rPr>
        <w:t xml:space="preserve">financeiro, o objetivo das partes é viabilizar uma verdadeira aquisição de um bem por meio de uma espécie de financiamento. </w:t>
      </w:r>
      <w:r w:rsidR="006769FE">
        <w:rPr>
          <w:rFonts w:ascii="Times New Roman" w:hAnsi="Times New Roman"/>
          <w:szCs w:val="24"/>
        </w:rPr>
        <w:t xml:space="preserve">O banco só tem interesse no </w:t>
      </w:r>
      <w:r w:rsidR="00F67185">
        <w:rPr>
          <w:rFonts w:ascii="Times New Roman" w:hAnsi="Times New Roman"/>
          <w:szCs w:val="24"/>
        </w:rPr>
        <w:t xml:space="preserve">lucro a ser obtido com os valores cobrados a título de “aluguel”. </w:t>
      </w:r>
      <w:r w:rsidR="00723F05">
        <w:rPr>
          <w:rFonts w:ascii="Times New Roman" w:hAnsi="Times New Roman"/>
          <w:szCs w:val="24"/>
        </w:rPr>
        <w:t>Ele não tem interesse em ficar com a propriedade do carro para arrendá-lo futuramente a terceiros.</w:t>
      </w:r>
    </w:p>
    <w:p w:rsidR="00EB6D02" w:rsidRDefault="00EB6D02" w:rsidP="0029226E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Diante disso, entendemos que, para guardar coerência com esse julgado, </w:t>
      </w:r>
      <w:r w:rsidR="007D5252">
        <w:rPr>
          <w:rFonts w:ascii="Times New Roman" w:hAnsi="Times New Roman"/>
          <w:szCs w:val="24"/>
        </w:rPr>
        <w:t>os dois pontos não enfrentados pela 3ª Turma do STJ no recentíssimo precedente deverá ser resolvido da seguinte maneira.</w:t>
      </w:r>
    </w:p>
    <w:p w:rsidR="00F76E36" w:rsidRDefault="00BE6D14" w:rsidP="0029226E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</w:t>
      </w:r>
      <w:r w:rsidR="00DE7453">
        <w:rPr>
          <w:rFonts w:ascii="Times New Roman" w:hAnsi="Times New Roman"/>
          <w:szCs w:val="24"/>
        </w:rPr>
        <w:t xml:space="preserve"> relação ao primeiro aspecto – que trata do</w:t>
      </w:r>
      <w:r w:rsidR="00700139">
        <w:rPr>
          <w:rFonts w:ascii="Times New Roman" w:hAnsi="Times New Roman"/>
          <w:szCs w:val="24"/>
        </w:rPr>
        <w:t xml:space="preserve"> caso de inexistir seguro</w:t>
      </w:r>
      <w:r w:rsidR="00DE7453">
        <w:rPr>
          <w:rFonts w:ascii="Times New Roman" w:hAnsi="Times New Roman"/>
          <w:szCs w:val="24"/>
        </w:rPr>
        <w:t xml:space="preserve"> –</w:t>
      </w:r>
      <w:r w:rsidR="00700139">
        <w:rPr>
          <w:rFonts w:ascii="Times New Roman" w:hAnsi="Times New Roman"/>
          <w:szCs w:val="24"/>
        </w:rPr>
        <w:t>, se a coisa arrendada perecer fortuitamente (ex.: roubo ou furto), o banco arrendante terá direito a, no mínimo, exigir que o consumidor pague o VRG</w:t>
      </w:r>
      <w:r w:rsidR="00F76E36">
        <w:rPr>
          <w:rFonts w:ascii="Times New Roman" w:hAnsi="Times New Roman"/>
          <w:szCs w:val="24"/>
        </w:rPr>
        <w:t xml:space="preserve">. Se, até o momento do perecimento, o somatório da fração de antecipação de VRG embutida nas prestações mensais já pagas não completar totalmente o VRG, caberá ao consumidor </w:t>
      </w:r>
      <w:r w:rsidR="00DE7453">
        <w:rPr>
          <w:rFonts w:ascii="Times New Roman" w:hAnsi="Times New Roman"/>
          <w:szCs w:val="24"/>
        </w:rPr>
        <w:t>complementar</w:t>
      </w:r>
      <w:r w:rsidR="00F76E36">
        <w:rPr>
          <w:rFonts w:ascii="Times New Roman" w:hAnsi="Times New Roman"/>
          <w:szCs w:val="24"/>
        </w:rPr>
        <w:t xml:space="preserve"> a diferença. </w:t>
      </w:r>
      <w:r w:rsidR="0038093F">
        <w:rPr>
          <w:rFonts w:ascii="Times New Roman" w:hAnsi="Times New Roman"/>
          <w:szCs w:val="24"/>
        </w:rPr>
        <w:t xml:space="preserve">E entendemos que essa diferença deverá ser paga integralmente logo após notificação a ser feita pelo banco arrendante, pois, com o perecimento fortuito da coisa, o banco arrendante ficou sem garantia, o que ocasionaria o vencimento antecipado da dívida, salvo se o </w:t>
      </w:r>
      <w:r w:rsidR="008E008A">
        <w:rPr>
          <w:rFonts w:ascii="Times New Roman" w:hAnsi="Times New Roman"/>
          <w:szCs w:val="24"/>
        </w:rPr>
        <w:t xml:space="preserve">arrendante </w:t>
      </w:r>
      <w:r w:rsidR="00C115A4">
        <w:rPr>
          <w:rFonts w:ascii="Times New Roman" w:hAnsi="Times New Roman"/>
          <w:szCs w:val="24"/>
        </w:rPr>
        <w:t xml:space="preserve">vier a </w:t>
      </w:r>
      <w:r w:rsidR="008E008A">
        <w:rPr>
          <w:rFonts w:ascii="Times New Roman" w:hAnsi="Times New Roman"/>
          <w:szCs w:val="24"/>
        </w:rPr>
        <w:t>oferecer um outro bem idôneo como garantia.</w:t>
      </w:r>
    </w:p>
    <w:p w:rsidR="0052714A" w:rsidRDefault="008E008A" w:rsidP="0029226E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Quanto ao segundo ponto, entendemos que o banco arrendante </w:t>
      </w:r>
      <w:r w:rsidR="0050157C">
        <w:rPr>
          <w:rFonts w:ascii="Times New Roman" w:hAnsi="Times New Roman"/>
          <w:szCs w:val="24"/>
        </w:rPr>
        <w:t xml:space="preserve">terá direito a receber, no mínimo, o VRG e, por isso, poderá reter consigo </w:t>
      </w:r>
      <w:r w:rsidR="0052714A">
        <w:rPr>
          <w:rFonts w:ascii="Times New Roman" w:hAnsi="Times New Roman"/>
          <w:szCs w:val="24"/>
        </w:rPr>
        <w:t xml:space="preserve">as antecipações de </w:t>
      </w:r>
      <w:r w:rsidR="0052714A" w:rsidRPr="0052714A">
        <w:rPr>
          <w:rFonts w:ascii="Times New Roman" w:hAnsi="Times New Roman"/>
          <w:szCs w:val="24"/>
        </w:rPr>
        <w:t>VRG (a parte da</w:t>
      </w:r>
      <w:r w:rsidR="0052714A">
        <w:rPr>
          <w:rFonts w:ascii="Times New Roman" w:hAnsi="Times New Roman"/>
          <w:szCs w:val="24"/>
        </w:rPr>
        <w:t>s prestações já</w:t>
      </w:r>
      <w:r w:rsidR="0052714A" w:rsidRPr="0052714A">
        <w:rPr>
          <w:rFonts w:ascii="Times New Roman" w:hAnsi="Times New Roman"/>
          <w:szCs w:val="24"/>
        </w:rPr>
        <w:t xml:space="preserve"> paga</w:t>
      </w:r>
      <w:r w:rsidR="0052714A">
        <w:rPr>
          <w:rFonts w:ascii="Times New Roman" w:hAnsi="Times New Roman"/>
          <w:szCs w:val="24"/>
        </w:rPr>
        <w:t>s</w:t>
      </w:r>
      <w:r w:rsidR="0052714A" w:rsidRPr="0052714A">
        <w:rPr>
          <w:rFonts w:ascii="Times New Roman" w:hAnsi="Times New Roman"/>
          <w:szCs w:val="24"/>
        </w:rPr>
        <w:t xml:space="preserve"> correspondente</w:t>
      </w:r>
      <w:r w:rsidR="0052714A">
        <w:rPr>
          <w:rFonts w:ascii="Times New Roman" w:hAnsi="Times New Roman"/>
          <w:szCs w:val="24"/>
        </w:rPr>
        <w:t xml:space="preserve">s ao VRG) </w:t>
      </w:r>
      <w:r w:rsidR="0050157C">
        <w:rPr>
          <w:rFonts w:ascii="Times New Roman" w:hAnsi="Times New Roman"/>
          <w:szCs w:val="24"/>
        </w:rPr>
        <w:t>e também</w:t>
      </w:r>
      <w:r w:rsidR="0052714A">
        <w:rPr>
          <w:rFonts w:ascii="Times New Roman" w:hAnsi="Times New Roman"/>
          <w:szCs w:val="24"/>
        </w:rPr>
        <w:t xml:space="preserve"> a eventual</w:t>
      </w:r>
      <w:r w:rsidR="0052714A" w:rsidRPr="0052714A">
        <w:rPr>
          <w:rFonts w:ascii="Times New Roman" w:hAnsi="Times New Roman"/>
          <w:szCs w:val="24"/>
        </w:rPr>
        <w:t xml:space="preserve"> </w:t>
      </w:r>
      <w:r w:rsidR="0050157C">
        <w:rPr>
          <w:rFonts w:ascii="Times New Roman" w:hAnsi="Times New Roman"/>
          <w:szCs w:val="24"/>
        </w:rPr>
        <w:t xml:space="preserve">indenização securitária, que servirá para abater a dívida a título de VRG. </w:t>
      </w:r>
      <w:r w:rsidR="00F97BF0">
        <w:rPr>
          <w:rFonts w:ascii="Times New Roman" w:hAnsi="Times New Roman"/>
          <w:szCs w:val="24"/>
        </w:rPr>
        <w:t>Todavia, o que exceder a isso deverá ser restituído ao arrendatário.</w:t>
      </w:r>
      <w:r w:rsidR="00CA5CF5">
        <w:rPr>
          <w:rFonts w:ascii="Times New Roman" w:hAnsi="Times New Roman"/>
          <w:szCs w:val="24"/>
        </w:rPr>
        <w:t xml:space="preserve"> Assim, por exemplo, se o VRG corresponder a R$ 70.000,00 e se o arrendante já tiver recebido R$ 90.000,00 com as antecipações de VRG e com a indenização securitária, caber-lhe-á restituir ao arrendatário a quantia de R$ 20.000,00. </w:t>
      </w:r>
      <w:r w:rsidR="00326B41">
        <w:rPr>
          <w:rFonts w:ascii="Times New Roman" w:hAnsi="Times New Roman"/>
          <w:szCs w:val="24"/>
        </w:rPr>
        <w:t xml:space="preserve">Se, </w:t>
      </w:r>
      <w:bookmarkStart w:id="0" w:name="_GoBack"/>
      <w:r w:rsidR="00326B41">
        <w:rPr>
          <w:rFonts w:ascii="Times New Roman" w:hAnsi="Times New Roman"/>
          <w:szCs w:val="24"/>
        </w:rPr>
        <w:t>porém, não tiver havido a contratação</w:t>
      </w:r>
      <w:r w:rsidR="001B7C04">
        <w:rPr>
          <w:rFonts w:ascii="Times New Roman" w:hAnsi="Times New Roman"/>
          <w:szCs w:val="24"/>
        </w:rPr>
        <w:t xml:space="preserve"> de seguro nesse exemplo, o banco arrendante nada terá de restituir; ao contrário, ele terá direito de cobrar do arr</w:t>
      </w:r>
      <w:r w:rsidR="00AF3DF4">
        <w:rPr>
          <w:rFonts w:ascii="Times New Roman" w:hAnsi="Times New Roman"/>
          <w:szCs w:val="24"/>
        </w:rPr>
        <w:t xml:space="preserve">endatário o valor faltante </w:t>
      </w:r>
      <w:bookmarkEnd w:id="0"/>
      <w:r w:rsidR="00AF3DF4">
        <w:rPr>
          <w:rFonts w:ascii="Times New Roman" w:hAnsi="Times New Roman"/>
          <w:szCs w:val="24"/>
        </w:rPr>
        <w:t>para, com o somatório das antecipações de VGR, completar o valor final do VGR.</w:t>
      </w:r>
    </w:p>
    <w:p w:rsidR="00825B47" w:rsidRDefault="00825B47" w:rsidP="0029226E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Portanto, é preciso ler com cautela o recentíssimo julgado do STJ.</w:t>
      </w:r>
    </w:p>
    <w:p w:rsidR="00825B47" w:rsidRDefault="00825B47" w:rsidP="0029226E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</w:p>
    <w:p w:rsidR="008E008A" w:rsidRDefault="008E008A" w:rsidP="0029226E">
      <w:pPr>
        <w:pStyle w:val="Nota-Textocorrente"/>
        <w:spacing w:after="0" w:line="240" w:lineRule="auto"/>
        <w:rPr>
          <w:rFonts w:ascii="Times New Roman" w:hAnsi="Times New Roman"/>
          <w:szCs w:val="24"/>
        </w:rPr>
      </w:pPr>
    </w:p>
    <w:p w:rsidR="00E573C5" w:rsidRPr="00367D09" w:rsidRDefault="00471E16" w:rsidP="00367D09">
      <w:pPr>
        <w:pStyle w:val="Nota-Textocorrente"/>
        <w:spacing w:after="0" w:line="240" w:lineRule="auto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</w:rPr>
        <w:t xml:space="preserve"> </w:t>
      </w:r>
    </w:p>
    <w:sectPr w:rsidR="00E573C5" w:rsidRPr="00367D09" w:rsidSect="00E573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5B" w:rsidRDefault="009F495B" w:rsidP="00B03497">
      <w:r>
        <w:separator/>
      </w:r>
    </w:p>
  </w:endnote>
  <w:endnote w:type="continuationSeparator" w:id="0">
    <w:p w:rsidR="009F495B" w:rsidRDefault="009F495B" w:rsidP="00B0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5B" w:rsidRDefault="009F495B" w:rsidP="00B03497">
      <w:r>
        <w:separator/>
      </w:r>
    </w:p>
  </w:footnote>
  <w:footnote w:type="continuationSeparator" w:id="0">
    <w:p w:rsidR="009F495B" w:rsidRDefault="009F495B" w:rsidP="00B03497">
      <w:r>
        <w:continuationSeparator/>
      </w:r>
    </w:p>
  </w:footnote>
  <w:footnote w:id="1">
    <w:p w:rsidR="00BE6D14" w:rsidRPr="00054596" w:rsidRDefault="00BE6D1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316C9C">
          <w:rPr>
            <w:rStyle w:val="Hyperlink"/>
          </w:rPr>
          <w:t>http://www.stj.jus.br/sites/STJ/default/pt_BR/Comunica%C3%A7%C3%A3o/noticias/Not%C3%ADcias/Terceira-Turma-mant%C3%A9m-veda%C3%A7%C3%A3o-%C3%A0-cobran%C3%A7a-de-presta%C3%A7%C3%B5es-de-leasing-ap%C3%B3s-furto-ou-roubo-do-bem-garantido-por-seguro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6033"/>
    <w:multiLevelType w:val="multilevel"/>
    <w:tmpl w:val="42A2A6D8"/>
    <w:lvl w:ilvl="0">
      <w:start w:val="1"/>
      <w:numFmt w:val="decimal"/>
      <w:pStyle w:val="Nota-ttulos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6DC"/>
    <w:rsid w:val="00054596"/>
    <w:rsid w:val="000864A9"/>
    <w:rsid w:val="00093E6B"/>
    <w:rsid w:val="000C51AA"/>
    <w:rsid w:val="001749C7"/>
    <w:rsid w:val="001B7C04"/>
    <w:rsid w:val="001E520D"/>
    <w:rsid w:val="001F7F42"/>
    <w:rsid w:val="00210E9A"/>
    <w:rsid w:val="00235DE9"/>
    <w:rsid w:val="00254A0D"/>
    <w:rsid w:val="0029226E"/>
    <w:rsid w:val="002D540E"/>
    <w:rsid w:val="002F3C8A"/>
    <w:rsid w:val="00306B39"/>
    <w:rsid w:val="00326B41"/>
    <w:rsid w:val="00336E15"/>
    <w:rsid w:val="00367D09"/>
    <w:rsid w:val="0038093F"/>
    <w:rsid w:val="003C3D6A"/>
    <w:rsid w:val="003F2946"/>
    <w:rsid w:val="003F6F12"/>
    <w:rsid w:val="00427DE7"/>
    <w:rsid w:val="00435701"/>
    <w:rsid w:val="00471E16"/>
    <w:rsid w:val="00475621"/>
    <w:rsid w:val="00485B78"/>
    <w:rsid w:val="004F2A88"/>
    <w:rsid w:val="0050157C"/>
    <w:rsid w:val="00523B4F"/>
    <w:rsid w:val="0052714A"/>
    <w:rsid w:val="00532DAC"/>
    <w:rsid w:val="00596155"/>
    <w:rsid w:val="005E3635"/>
    <w:rsid w:val="00656603"/>
    <w:rsid w:val="006769FE"/>
    <w:rsid w:val="006A29EA"/>
    <w:rsid w:val="006F26C8"/>
    <w:rsid w:val="00700139"/>
    <w:rsid w:val="00723F05"/>
    <w:rsid w:val="007A4808"/>
    <w:rsid w:val="007D5252"/>
    <w:rsid w:val="00825B47"/>
    <w:rsid w:val="008605B9"/>
    <w:rsid w:val="00865B91"/>
    <w:rsid w:val="008A06DC"/>
    <w:rsid w:val="008A69DE"/>
    <w:rsid w:val="008D2BF1"/>
    <w:rsid w:val="008E008A"/>
    <w:rsid w:val="008F10DA"/>
    <w:rsid w:val="008F4E62"/>
    <w:rsid w:val="00904522"/>
    <w:rsid w:val="00934BC9"/>
    <w:rsid w:val="009B1847"/>
    <w:rsid w:val="009C2B3A"/>
    <w:rsid w:val="009F495B"/>
    <w:rsid w:val="009F652E"/>
    <w:rsid w:val="00AB411A"/>
    <w:rsid w:val="00AB7867"/>
    <w:rsid w:val="00AC2907"/>
    <w:rsid w:val="00AD7328"/>
    <w:rsid w:val="00AE599A"/>
    <w:rsid w:val="00AF3DF4"/>
    <w:rsid w:val="00B03497"/>
    <w:rsid w:val="00B726FD"/>
    <w:rsid w:val="00B953E2"/>
    <w:rsid w:val="00BE6D14"/>
    <w:rsid w:val="00C115A4"/>
    <w:rsid w:val="00C252DF"/>
    <w:rsid w:val="00CA5B68"/>
    <w:rsid w:val="00CA5CF5"/>
    <w:rsid w:val="00CB3237"/>
    <w:rsid w:val="00CD4723"/>
    <w:rsid w:val="00D0389D"/>
    <w:rsid w:val="00D12DF0"/>
    <w:rsid w:val="00D76B2B"/>
    <w:rsid w:val="00DA1D86"/>
    <w:rsid w:val="00DA2EDC"/>
    <w:rsid w:val="00DE7453"/>
    <w:rsid w:val="00E1745B"/>
    <w:rsid w:val="00E25D8D"/>
    <w:rsid w:val="00E573C5"/>
    <w:rsid w:val="00EB6D02"/>
    <w:rsid w:val="00EF6AA7"/>
    <w:rsid w:val="00F51F7D"/>
    <w:rsid w:val="00F654D6"/>
    <w:rsid w:val="00F65992"/>
    <w:rsid w:val="00F67185"/>
    <w:rsid w:val="00F76E36"/>
    <w:rsid w:val="00F97BF0"/>
    <w:rsid w:val="00FA5F44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C8"/>
  </w:style>
  <w:style w:type="paragraph" w:styleId="Ttulo2">
    <w:name w:val="heading 2"/>
    <w:basedOn w:val="Normal"/>
    <w:next w:val="Normal"/>
    <w:link w:val="Ttulo2Char"/>
    <w:uiPriority w:val="9"/>
    <w:qFormat/>
    <w:rsid w:val="00B03497"/>
    <w:pPr>
      <w:numPr>
        <w:ilvl w:val="1"/>
        <w:numId w:val="1"/>
      </w:numPr>
      <w:spacing w:after="120" w:line="360" w:lineRule="auto"/>
      <w:jc w:val="both"/>
      <w:outlineLvl w:val="1"/>
    </w:pPr>
    <w:rPr>
      <w:rFonts w:ascii="Arial" w:eastAsia="Times New Roman" w:hAnsi="Arial" w:cs="Times New Roman"/>
      <w:b/>
      <w:szCs w:val="20"/>
      <w:lang/>
    </w:rPr>
  </w:style>
  <w:style w:type="paragraph" w:styleId="Ttulo3">
    <w:name w:val="heading 3"/>
    <w:basedOn w:val="Normal"/>
    <w:next w:val="Normal"/>
    <w:link w:val="Ttulo3Char"/>
    <w:uiPriority w:val="9"/>
    <w:qFormat/>
    <w:rsid w:val="00B03497"/>
    <w:pPr>
      <w:keepNext/>
      <w:numPr>
        <w:ilvl w:val="2"/>
        <w:numId w:val="1"/>
      </w:numPr>
      <w:spacing w:after="120" w:line="360" w:lineRule="auto"/>
      <w:outlineLvl w:val="2"/>
    </w:pPr>
    <w:rPr>
      <w:rFonts w:ascii="Arial" w:eastAsia="Times New Roman" w:hAnsi="Arial" w:cs="Times New Roman"/>
      <w:b/>
      <w:bCs/>
      <w:lang/>
    </w:rPr>
  </w:style>
  <w:style w:type="paragraph" w:styleId="Ttulo4">
    <w:name w:val="heading 4"/>
    <w:basedOn w:val="Normal"/>
    <w:next w:val="Normal"/>
    <w:link w:val="Ttulo4Char"/>
    <w:uiPriority w:val="9"/>
    <w:qFormat/>
    <w:rsid w:val="00B03497"/>
    <w:pPr>
      <w:keepNext/>
      <w:numPr>
        <w:ilvl w:val="3"/>
        <w:numId w:val="1"/>
      </w:numPr>
      <w:spacing w:after="120" w:line="360" w:lineRule="auto"/>
      <w:outlineLvl w:val="3"/>
    </w:pPr>
    <w:rPr>
      <w:rFonts w:ascii="Arial" w:eastAsia="MS Mincho" w:hAnsi="Arial" w:cs="Times New Roman"/>
      <w:b/>
      <w:bCs/>
      <w:lang/>
    </w:rPr>
  </w:style>
  <w:style w:type="paragraph" w:styleId="Ttulo5">
    <w:name w:val="heading 5"/>
    <w:basedOn w:val="Normal"/>
    <w:next w:val="Normal"/>
    <w:link w:val="Ttulo5Char"/>
    <w:uiPriority w:val="9"/>
    <w:qFormat/>
    <w:rsid w:val="00B03497"/>
    <w:pPr>
      <w:numPr>
        <w:ilvl w:val="4"/>
        <w:numId w:val="1"/>
      </w:numPr>
      <w:spacing w:after="120"/>
      <w:outlineLvl w:val="4"/>
    </w:pPr>
    <w:rPr>
      <w:rFonts w:ascii="Arial" w:eastAsia="MS Mincho" w:hAnsi="Arial" w:cs="Arial"/>
      <w:b/>
      <w:bCs/>
      <w:i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6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A06D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03497"/>
    <w:rPr>
      <w:rFonts w:ascii="Arial" w:eastAsia="Times New Roman" w:hAnsi="Arial" w:cs="Times New Roman"/>
      <w:b/>
      <w:szCs w:val="20"/>
      <w:lang/>
    </w:rPr>
  </w:style>
  <w:style w:type="character" w:customStyle="1" w:styleId="Ttulo3Char">
    <w:name w:val="Título 3 Char"/>
    <w:basedOn w:val="Fontepargpadro"/>
    <w:link w:val="Ttulo3"/>
    <w:uiPriority w:val="9"/>
    <w:rsid w:val="00B03497"/>
    <w:rPr>
      <w:rFonts w:ascii="Arial" w:eastAsia="Times New Roman" w:hAnsi="Arial" w:cs="Times New Roman"/>
      <w:b/>
      <w:bCs/>
      <w:lang/>
    </w:rPr>
  </w:style>
  <w:style w:type="character" w:customStyle="1" w:styleId="Ttulo4Char">
    <w:name w:val="Título 4 Char"/>
    <w:basedOn w:val="Fontepargpadro"/>
    <w:link w:val="Ttulo4"/>
    <w:uiPriority w:val="9"/>
    <w:rsid w:val="00B03497"/>
    <w:rPr>
      <w:rFonts w:ascii="Arial" w:eastAsia="MS Mincho" w:hAnsi="Arial" w:cs="Times New Roman"/>
      <w:b/>
      <w:bCs/>
      <w:lang/>
    </w:rPr>
  </w:style>
  <w:style w:type="character" w:customStyle="1" w:styleId="Ttulo5Char">
    <w:name w:val="Título 5 Char"/>
    <w:basedOn w:val="Fontepargpadro"/>
    <w:link w:val="Ttulo5"/>
    <w:uiPriority w:val="9"/>
    <w:rsid w:val="00B03497"/>
    <w:rPr>
      <w:rFonts w:ascii="Arial" w:eastAsia="MS Mincho" w:hAnsi="Arial" w:cs="Arial"/>
      <w:b/>
      <w:bCs/>
      <w:iCs/>
      <w:lang/>
    </w:rPr>
  </w:style>
  <w:style w:type="paragraph" w:styleId="Textodenotaderodap">
    <w:name w:val="footnote text"/>
    <w:aliases w:val=" Char,Char"/>
    <w:basedOn w:val="Normal"/>
    <w:link w:val="TextodenotaderodapChar"/>
    <w:qFormat/>
    <w:rsid w:val="00B03497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FootnoteTextChar">
    <w:name w:val="Footnote Text Char"/>
    <w:basedOn w:val="Fontepargpadro"/>
    <w:uiPriority w:val="99"/>
    <w:semiHidden/>
    <w:rsid w:val="00B03497"/>
  </w:style>
  <w:style w:type="character" w:customStyle="1" w:styleId="TextodenotaderodapChar">
    <w:name w:val="Texto de nota de rodapé Char"/>
    <w:aliases w:val=" Char Char,Char Char"/>
    <w:link w:val="Textodenotaderodap"/>
    <w:rsid w:val="00B03497"/>
    <w:rPr>
      <w:rFonts w:ascii="Times New Roman" w:eastAsia="Times New Roman" w:hAnsi="Times New Roman" w:cs="Times New Roman"/>
      <w:sz w:val="20"/>
      <w:szCs w:val="20"/>
      <w:lang/>
    </w:rPr>
  </w:style>
  <w:style w:type="character" w:styleId="Refdenotaderodap">
    <w:name w:val="footnote reference"/>
    <w:rsid w:val="00B03497"/>
    <w:rPr>
      <w:vertAlign w:val="superscript"/>
    </w:rPr>
  </w:style>
  <w:style w:type="paragraph" w:customStyle="1" w:styleId="Nota-ttulos">
    <w:name w:val="Nota - títulos"/>
    <w:basedOn w:val="Normal"/>
    <w:qFormat/>
    <w:rsid w:val="00B03497"/>
    <w:pPr>
      <w:numPr>
        <w:numId w:val="1"/>
      </w:numPr>
      <w:spacing w:after="360" w:line="360" w:lineRule="auto"/>
      <w:ind w:left="0" w:firstLine="0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ta-Textocorrente">
    <w:name w:val="Nota - Texto corrente"/>
    <w:basedOn w:val="Normal"/>
    <w:link w:val="Nota-TextocorrenteChar"/>
    <w:qFormat/>
    <w:rsid w:val="00B03497"/>
    <w:pPr>
      <w:spacing w:after="120" w:line="36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Nota-TextocorrenteChar">
    <w:name w:val="Nota - Texto corrente Char"/>
    <w:link w:val="Nota-Textocorrente"/>
    <w:rsid w:val="00B03497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03497"/>
    <w:pPr>
      <w:numPr>
        <w:ilvl w:val="1"/>
        <w:numId w:val="1"/>
      </w:numPr>
      <w:spacing w:after="120" w:line="360" w:lineRule="auto"/>
      <w:jc w:val="both"/>
      <w:outlineLvl w:val="1"/>
    </w:pPr>
    <w:rPr>
      <w:rFonts w:ascii="Arial" w:eastAsia="Times New Roman" w:hAnsi="Arial" w:cs="Times New Roman"/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3497"/>
    <w:pPr>
      <w:keepNext/>
      <w:numPr>
        <w:ilvl w:val="2"/>
        <w:numId w:val="1"/>
      </w:numPr>
      <w:spacing w:after="120" w:line="360" w:lineRule="auto"/>
      <w:outlineLvl w:val="2"/>
    </w:pPr>
    <w:rPr>
      <w:rFonts w:ascii="Arial" w:eastAsia="Times New Roman" w:hAnsi="Arial" w:cs="Times New Roman"/>
      <w:b/>
      <w:bCs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3497"/>
    <w:pPr>
      <w:keepNext/>
      <w:numPr>
        <w:ilvl w:val="3"/>
        <w:numId w:val="1"/>
      </w:numPr>
      <w:spacing w:after="120" w:line="360" w:lineRule="auto"/>
      <w:outlineLvl w:val="3"/>
    </w:pPr>
    <w:rPr>
      <w:rFonts w:ascii="Arial" w:eastAsia="MS Mincho" w:hAnsi="Arial"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3497"/>
    <w:pPr>
      <w:numPr>
        <w:ilvl w:val="4"/>
        <w:numId w:val="1"/>
      </w:numPr>
      <w:spacing w:after="120"/>
      <w:outlineLvl w:val="4"/>
    </w:pPr>
    <w:rPr>
      <w:rFonts w:ascii="Arial" w:eastAsia="MS Mincho" w:hAnsi="Arial" w:cs="Arial"/>
      <w:b/>
      <w:bCs/>
      <w:i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6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06D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3497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03497"/>
    <w:rPr>
      <w:rFonts w:ascii="Arial" w:eastAsia="Times New Roman" w:hAnsi="Arial" w:cs="Times New Roman"/>
      <w:b/>
      <w:bCs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B03497"/>
    <w:rPr>
      <w:rFonts w:ascii="Arial" w:eastAsia="MS Mincho" w:hAnsi="Arial" w:cs="Times New Roman"/>
      <w:b/>
      <w:bCs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03497"/>
    <w:rPr>
      <w:rFonts w:ascii="Arial" w:eastAsia="MS Mincho" w:hAnsi="Arial" w:cs="Arial"/>
      <w:b/>
      <w:bCs/>
      <w:iCs/>
      <w:lang w:val="x-none" w:eastAsia="x-none"/>
    </w:rPr>
  </w:style>
  <w:style w:type="paragraph" w:styleId="FootnoteText">
    <w:name w:val="footnote text"/>
    <w:aliases w:val=" Char,Char"/>
    <w:basedOn w:val="Normal"/>
    <w:link w:val="FootnoteTextChar1"/>
    <w:qFormat/>
    <w:rsid w:val="00B0349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B03497"/>
  </w:style>
  <w:style w:type="character" w:customStyle="1" w:styleId="FootnoteTextChar1">
    <w:name w:val="Footnote Text Char1"/>
    <w:aliases w:val=" Char Char,Char Char"/>
    <w:link w:val="FootnoteText"/>
    <w:rsid w:val="00B0349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B03497"/>
    <w:rPr>
      <w:vertAlign w:val="superscript"/>
    </w:rPr>
  </w:style>
  <w:style w:type="paragraph" w:customStyle="1" w:styleId="Nota-ttulos">
    <w:name w:val="Nota - títulos"/>
    <w:basedOn w:val="Normal"/>
    <w:qFormat/>
    <w:rsid w:val="00B03497"/>
    <w:pPr>
      <w:numPr>
        <w:numId w:val="1"/>
      </w:numPr>
      <w:spacing w:after="360" w:line="360" w:lineRule="auto"/>
      <w:ind w:left="0" w:firstLine="0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ta-Textocorrente">
    <w:name w:val="Nota - Texto corrente"/>
    <w:basedOn w:val="Normal"/>
    <w:link w:val="Nota-TextocorrenteChar"/>
    <w:qFormat/>
    <w:rsid w:val="00B03497"/>
    <w:pPr>
      <w:spacing w:after="120" w:line="36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Nota-TextocorrenteChar">
    <w:name w:val="Nota - Texto corrente Char"/>
    <w:link w:val="Nota-Textocorrente"/>
    <w:rsid w:val="00B0349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.jus.br/sites/STJ/default/pt_BR/Comunica%C3%A7%C3%A3o/noticias/Not%C3%ADcias/Terceira-Turma-mant%C3%A9m-veda%C3%A7%C3%A3o-%C3%A0-cobran%C3%A7a-de-presta%C3%A7%C3%B5es-de-leasing-ap%C3%B3s-furto-ou-roubo-do-bem-garantido-por-segu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CEEO</dc:creator>
  <cp:lastModifiedBy>Flavio</cp:lastModifiedBy>
  <cp:revision>2</cp:revision>
  <dcterms:created xsi:type="dcterms:W3CDTF">2018-11-14T11:56:00Z</dcterms:created>
  <dcterms:modified xsi:type="dcterms:W3CDTF">2018-11-14T11:56:00Z</dcterms:modified>
</cp:coreProperties>
</file>