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B0C5C86" w14:textId="756E8C60" w:rsidR="00722CAC" w:rsidRDefault="00447D60" w:rsidP="001F0B30">
      <w:pPr>
        <w:spacing w:before="120" w:after="120" w:line="360" w:lineRule="auto"/>
        <w:jc w:val="center"/>
        <w:rPr>
          <w:rFonts w:ascii="Times New Roman" w:hAnsi="Times New Roman" w:cs="Times New Roman"/>
          <w:b/>
          <w:bCs/>
          <w:sz w:val="24"/>
          <w:szCs w:val="24"/>
        </w:rPr>
      </w:pPr>
      <w:r>
        <w:rPr>
          <w:rFonts w:ascii="Times New Roman" w:hAnsi="Times New Roman" w:cs="Times New Roman"/>
          <w:b/>
          <w:bCs/>
          <w:sz w:val="24"/>
          <w:szCs w:val="24"/>
        </w:rPr>
        <w:t xml:space="preserve">A </w:t>
      </w:r>
      <w:r w:rsidRPr="009A338E">
        <w:rPr>
          <w:rFonts w:ascii="Times New Roman" w:hAnsi="Times New Roman" w:cs="Times New Roman"/>
          <w:b/>
          <w:bCs/>
          <w:i/>
          <w:iCs/>
          <w:sz w:val="24"/>
          <w:szCs w:val="24"/>
        </w:rPr>
        <w:t>X JORNADA DE DIREITO CIVIL</w:t>
      </w:r>
      <w:r>
        <w:rPr>
          <w:rFonts w:ascii="Times New Roman" w:hAnsi="Times New Roman" w:cs="Times New Roman"/>
          <w:b/>
          <w:bCs/>
          <w:sz w:val="24"/>
          <w:szCs w:val="24"/>
        </w:rPr>
        <w:t xml:space="preserve">, O DIREITO DE FAMÍLIA E SUCESSÕES. </w:t>
      </w:r>
      <w:r w:rsidR="009A338E">
        <w:rPr>
          <w:rFonts w:ascii="Times New Roman" w:hAnsi="Times New Roman" w:cs="Times New Roman"/>
          <w:b/>
          <w:bCs/>
          <w:sz w:val="24"/>
          <w:szCs w:val="24"/>
        </w:rPr>
        <w:t xml:space="preserve"> </w:t>
      </w:r>
      <w:r>
        <w:rPr>
          <w:rFonts w:ascii="Times New Roman" w:hAnsi="Times New Roman" w:cs="Times New Roman"/>
          <w:b/>
          <w:bCs/>
          <w:sz w:val="24"/>
          <w:szCs w:val="24"/>
        </w:rPr>
        <w:t xml:space="preserve">PRIMEIRA PARTE. </w:t>
      </w:r>
    </w:p>
    <w:p w14:paraId="54816AE8" w14:textId="0DB2F8F3" w:rsidR="00447D60" w:rsidRDefault="00722CAC" w:rsidP="001F0B30">
      <w:pPr>
        <w:spacing w:before="120" w:after="120" w:line="360" w:lineRule="auto"/>
        <w:jc w:val="center"/>
        <w:rPr>
          <w:rFonts w:ascii="Times New Roman" w:hAnsi="Times New Roman" w:cs="Times New Roman"/>
          <w:b/>
          <w:bCs/>
          <w:sz w:val="24"/>
          <w:szCs w:val="24"/>
        </w:rPr>
      </w:pPr>
      <w:r>
        <w:rPr>
          <w:rFonts w:ascii="Times New Roman" w:hAnsi="Times New Roman" w:cs="Times New Roman"/>
          <w:b/>
          <w:bCs/>
          <w:sz w:val="24"/>
          <w:szCs w:val="24"/>
        </w:rPr>
        <w:t>RESPONSABILIDADE CIVIL</w:t>
      </w:r>
      <w:r w:rsidR="00EC6643">
        <w:rPr>
          <w:rFonts w:ascii="Times New Roman" w:hAnsi="Times New Roman" w:cs="Times New Roman"/>
          <w:b/>
          <w:bCs/>
          <w:sz w:val="24"/>
          <w:szCs w:val="24"/>
        </w:rPr>
        <w:t xml:space="preserve">, </w:t>
      </w:r>
      <w:r>
        <w:rPr>
          <w:rFonts w:ascii="Times New Roman" w:hAnsi="Times New Roman" w:cs="Times New Roman"/>
          <w:b/>
          <w:bCs/>
          <w:sz w:val="24"/>
          <w:szCs w:val="24"/>
        </w:rPr>
        <w:t>DIREITO DE FAMÍLIA</w:t>
      </w:r>
      <w:r w:rsidR="00EC6643">
        <w:rPr>
          <w:rFonts w:ascii="Times New Roman" w:hAnsi="Times New Roman" w:cs="Times New Roman"/>
          <w:b/>
          <w:bCs/>
          <w:sz w:val="24"/>
          <w:szCs w:val="24"/>
        </w:rPr>
        <w:t xml:space="preserve"> E </w:t>
      </w:r>
      <w:r w:rsidR="00EC6643" w:rsidRPr="00EC6643">
        <w:rPr>
          <w:rFonts w:ascii="Times New Roman" w:hAnsi="Times New Roman" w:cs="Times New Roman"/>
          <w:b/>
          <w:bCs/>
          <w:i/>
          <w:iCs/>
          <w:sz w:val="24"/>
          <w:szCs w:val="24"/>
        </w:rPr>
        <w:t>LEI FELCA</w:t>
      </w:r>
      <w:r w:rsidR="00EC6643">
        <w:rPr>
          <w:rFonts w:ascii="Times New Roman" w:hAnsi="Times New Roman" w:cs="Times New Roman"/>
          <w:b/>
          <w:bCs/>
          <w:sz w:val="24"/>
          <w:szCs w:val="24"/>
        </w:rPr>
        <w:t xml:space="preserve">. </w:t>
      </w:r>
      <w:r>
        <w:rPr>
          <w:rFonts w:ascii="Times New Roman" w:hAnsi="Times New Roman" w:cs="Times New Roman"/>
          <w:b/>
          <w:bCs/>
          <w:sz w:val="24"/>
          <w:szCs w:val="24"/>
        </w:rPr>
        <w:t xml:space="preserve"> </w:t>
      </w:r>
    </w:p>
    <w:p w14:paraId="490AF183" w14:textId="260529C4" w:rsidR="00805969" w:rsidRPr="00506A24" w:rsidRDefault="00B15AD0" w:rsidP="00447D60">
      <w:pPr>
        <w:spacing w:before="120" w:after="120" w:line="360" w:lineRule="auto"/>
        <w:ind w:firstLine="1701"/>
        <w:jc w:val="right"/>
        <w:rPr>
          <w:rFonts w:ascii="Times New Roman" w:hAnsi="Times New Roman" w:cs="Times New Roman"/>
          <w:bCs/>
          <w:sz w:val="24"/>
          <w:szCs w:val="24"/>
        </w:rPr>
      </w:pPr>
      <w:r w:rsidRPr="00506A24">
        <w:rPr>
          <w:rFonts w:ascii="Times New Roman" w:hAnsi="Times New Roman" w:cs="Times New Roman"/>
          <w:bCs/>
          <w:sz w:val="24"/>
          <w:szCs w:val="24"/>
        </w:rPr>
        <w:t>Flávio Tartuce</w:t>
      </w:r>
      <w:r w:rsidRPr="00506A24">
        <w:rPr>
          <w:rFonts w:ascii="Times New Roman" w:hAnsi="Times New Roman" w:cs="Times New Roman"/>
          <w:bCs/>
          <w:sz w:val="24"/>
          <w:szCs w:val="24"/>
          <w:vertAlign w:val="superscript"/>
        </w:rPr>
        <w:footnoteReference w:id="1"/>
      </w:r>
    </w:p>
    <w:p w14:paraId="6280604B" w14:textId="77777777" w:rsidR="00447D60" w:rsidRDefault="00447D60" w:rsidP="00447D60">
      <w:pPr>
        <w:pStyle w:val="t"/>
        <w:spacing w:before="120" w:after="120" w:line="360" w:lineRule="auto"/>
        <w:ind w:firstLine="1701"/>
        <w:rPr>
          <w:rFonts w:ascii="Times New Roman" w:hAnsi="Times New Roman" w:cs="Times New Roman"/>
          <w:sz w:val="24"/>
          <w:szCs w:val="24"/>
        </w:rPr>
      </w:pPr>
    </w:p>
    <w:p w14:paraId="22B50A4F" w14:textId="0911120F" w:rsidR="00447D60" w:rsidRPr="00447D60" w:rsidRDefault="00447D60" w:rsidP="00447D60">
      <w:pPr>
        <w:pStyle w:val="t"/>
        <w:spacing w:before="120" w:after="120" w:line="360" w:lineRule="auto"/>
        <w:ind w:firstLine="1701"/>
        <w:rPr>
          <w:rFonts w:ascii="Times New Roman" w:hAnsi="Times New Roman" w:cs="Times New Roman"/>
          <w:sz w:val="24"/>
          <w:szCs w:val="24"/>
        </w:rPr>
      </w:pPr>
      <w:r w:rsidRPr="00447D60">
        <w:rPr>
          <w:rFonts w:ascii="Times New Roman" w:hAnsi="Times New Roman" w:cs="Times New Roman"/>
          <w:sz w:val="24"/>
          <w:szCs w:val="24"/>
        </w:rPr>
        <w:t xml:space="preserve">Nos últimos dias 15 e 16 de junho de 2026, os civilistas brasileiros estiveram reunidos </w:t>
      </w:r>
      <w:r>
        <w:rPr>
          <w:rFonts w:ascii="Times New Roman" w:hAnsi="Times New Roman" w:cs="Times New Roman"/>
          <w:sz w:val="24"/>
          <w:szCs w:val="24"/>
        </w:rPr>
        <w:t>em Brasília para</w:t>
      </w:r>
      <w:r w:rsidR="00614366">
        <w:rPr>
          <w:rFonts w:ascii="Times New Roman" w:hAnsi="Times New Roman" w:cs="Times New Roman"/>
          <w:sz w:val="24"/>
          <w:szCs w:val="24"/>
        </w:rPr>
        <w:t xml:space="preserve"> a</w:t>
      </w:r>
      <w:r>
        <w:rPr>
          <w:rFonts w:ascii="Times New Roman" w:hAnsi="Times New Roman" w:cs="Times New Roman"/>
          <w:sz w:val="24"/>
          <w:szCs w:val="24"/>
        </w:rPr>
        <w:t xml:space="preserve"> </w:t>
      </w:r>
      <w:r w:rsidRPr="00447D60">
        <w:rPr>
          <w:rFonts w:ascii="Times New Roman" w:hAnsi="Times New Roman" w:cs="Times New Roman"/>
          <w:i/>
          <w:iCs/>
          <w:sz w:val="24"/>
          <w:szCs w:val="24"/>
        </w:rPr>
        <w:t xml:space="preserve">X Jornada de Direito Civil, </w:t>
      </w:r>
      <w:r w:rsidRPr="00447D60">
        <w:rPr>
          <w:rFonts w:ascii="Times New Roman" w:hAnsi="Times New Roman" w:cs="Times New Roman"/>
          <w:sz w:val="24"/>
          <w:szCs w:val="24"/>
        </w:rPr>
        <w:t xml:space="preserve">na sede do Conselho da Justiça Federal, confirmando-se como o mais importante </w:t>
      </w:r>
      <w:r w:rsidR="00623FF3">
        <w:rPr>
          <w:rFonts w:ascii="Times New Roman" w:hAnsi="Times New Roman" w:cs="Times New Roman"/>
          <w:sz w:val="24"/>
          <w:szCs w:val="24"/>
        </w:rPr>
        <w:t xml:space="preserve">evento </w:t>
      </w:r>
      <w:r w:rsidRPr="00447D60">
        <w:rPr>
          <w:rFonts w:ascii="Times New Roman" w:hAnsi="Times New Roman" w:cs="Times New Roman"/>
          <w:sz w:val="24"/>
          <w:szCs w:val="24"/>
        </w:rPr>
        <w:t>do Direito Civil Brasileiro. Tive a grande honra de atuar na coordenação geral, ao lado da Professora Rosa Maria de Andrade Nery</w:t>
      </w:r>
      <w:r w:rsidR="00614366">
        <w:rPr>
          <w:rFonts w:ascii="Times New Roman" w:hAnsi="Times New Roman" w:cs="Times New Roman"/>
          <w:sz w:val="24"/>
          <w:szCs w:val="24"/>
        </w:rPr>
        <w:t>,</w:t>
      </w:r>
      <w:r w:rsidRPr="00447D60">
        <w:rPr>
          <w:rFonts w:ascii="Times New Roman" w:hAnsi="Times New Roman" w:cs="Times New Roman"/>
          <w:sz w:val="24"/>
          <w:szCs w:val="24"/>
        </w:rPr>
        <w:t xml:space="preserve"> e </w:t>
      </w:r>
      <w:r w:rsidR="00623FF3">
        <w:rPr>
          <w:rFonts w:ascii="Times New Roman" w:hAnsi="Times New Roman" w:cs="Times New Roman"/>
          <w:sz w:val="24"/>
          <w:szCs w:val="24"/>
        </w:rPr>
        <w:t xml:space="preserve">de </w:t>
      </w:r>
      <w:r w:rsidRPr="00447D60">
        <w:rPr>
          <w:rFonts w:ascii="Times New Roman" w:hAnsi="Times New Roman" w:cs="Times New Roman"/>
          <w:sz w:val="24"/>
          <w:szCs w:val="24"/>
        </w:rPr>
        <w:t>reencontrar amigos e amigas civilistas de todo o País, com debates de altíssimo nível</w:t>
      </w:r>
      <w:r w:rsidR="00071A54">
        <w:rPr>
          <w:rFonts w:ascii="Times New Roman" w:hAnsi="Times New Roman" w:cs="Times New Roman"/>
          <w:sz w:val="24"/>
          <w:szCs w:val="24"/>
        </w:rPr>
        <w:t>, entre doutrinadores e julgadores</w:t>
      </w:r>
      <w:r w:rsidRPr="00447D60">
        <w:rPr>
          <w:rFonts w:ascii="Times New Roman" w:hAnsi="Times New Roman" w:cs="Times New Roman"/>
          <w:sz w:val="24"/>
          <w:szCs w:val="24"/>
        </w:rPr>
        <w:t xml:space="preserve">. </w:t>
      </w:r>
      <w:r w:rsidR="00623FF3">
        <w:rPr>
          <w:rFonts w:ascii="Times New Roman" w:hAnsi="Times New Roman" w:cs="Times New Roman"/>
          <w:sz w:val="24"/>
          <w:szCs w:val="24"/>
        </w:rPr>
        <w:t>E</w:t>
      </w:r>
      <w:r w:rsidR="00614366">
        <w:rPr>
          <w:rFonts w:ascii="Times New Roman" w:hAnsi="Times New Roman" w:cs="Times New Roman"/>
          <w:sz w:val="24"/>
          <w:szCs w:val="24"/>
        </w:rPr>
        <w:t>s</w:t>
      </w:r>
      <w:r w:rsidR="00D654A8">
        <w:rPr>
          <w:rFonts w:ascii="Times New Roman" w:hAnsi="Times New Roman" w:cs="Times New Roman"/>
          <w:sz w:val="24"/>
          <w:szCs w:val="24"/>
        </w:rPr>
        <w:t>t</w:t>
      </w:r>
      <w:r w:rsidR="00614366">
        <w:rPr>
          <w:rFonts w:ascii="Times New Roman" w:hAnsi="Times New Roman" w:cs="Times New Roman"/>
          <w:sz w:val="24"/>
          <w:szCs w:val="24"/>
        </w:rPr>
        <w:t>a edição da</w:t>
      </w:r>
      <w:r w:rsidR="00614366" w:rsidRPr="00623FF3">
        <w:rPr>
          <w:rFonts w:ascii="Times New Roman" w:hAnsi="Times New Roman" w:cs="Times New Roman"/>
          <w:i/>
          <w:iCs/>
          <w:sz w:val="24"/>
          <w:szCs w:val="24"/>
        </w:rPr>
        <w:t xml:space="preserve"> Jornada</w:t>
      </w:r>
      <w:r w:rsidR="00722CAC">
        <w:rPr>
          <w:rFonts w:ascii="Times New Roman" w:hAnsi="Times New Roman" w:cs="Times New Roman"/>
          <w:sz w:val="24"/>
          <w:szCs w:val="24"/>
        </w:rPr>
        <w:t xml:space="preserve"> teve a coordenação geral e científica dos Ministros Luis Felipe Salomão e João Otávio de Nor</w:t>
      </w:r>
      <w:r w:rsidR="00614366">
        <w:rPr>
          <w:rFonts w:ascii="Times New Roman" w:hAnsi="Times New Roman" w:cs="Times New Roman"/>
          <w:sz w:val="24"/>
          <w:szCs w:val="24"/>
        </w:rPr>
        <w:t>o</w:t>
      </w:r>
      <w:r w:rsidR="00722CAC">
        <w:rPr>
          <w:rFonts w:ascii="Times New Roman" w:hAnsi="Times New Roman" w:cs="Times New Roman"/>
          <w:sz w:val="24"/>
          <w:szCs w:val="24"/>
        </w:rPr>
        <w:t>nha</w:t>
      </w:r>
      <w:r w:rsidR="00614366">
        <w:rPr>
          <w:rFonts w:ascii="Times New Roman" w:hAnsi="Times New Roman" w:cs="Times New Roman"/>
          <w:sz w:val="24"/>
          <w:szCs w:val="24"/>
        </w:rPr>
        <w:t>, grandes incentivadores do debate nacional do Direito Privado</w:t>
      </w:r>
      <w:r w:rsidR="00722CAC">
        <w:rPr>
          <w:rFonts w:ascii="Times New Roman" w:hAnsi="Times New Roman" w:cs="Times New Roman"/>
          <w:sz w:val="24"/>
          <w:szCs w:val="24"/>
        </w:rPr>
        <w:t xml:space="preserve">. </w:t>
      </w:r>
    </w:p>
    <w:p w14:paraId="3492E9D6" w14:textId="0E3FCAAC" w:rsidR="00071A54" w:rsidRDefault="00447D60" w:rsidP="00447D60">
      <w:pPr>
        <w:pStyle w:val="t"/>
        <w:spacing w:before="120" w:after="120" w:line="360" w:lineRule="auto"/>
        <w:ind w:firstLine="1701"/>
        <w:rPr>
          <w:rFonts w:ascii="Times New Roman" w:hAnsi="Times New Roman" w:cs="Times New Roman"/>
          <w:sz w:val="24"/>
          <w:szCs w:val="24"/>
        </w:rPr>
      </w:pPr>
      <w:r w:rsidRPr="00447D60">
        <w:rPr>
          <w:rFonts w:ascii="Times New Roman" w:hAnsi="Times New Roman" w:cs="Times New Roman"/>
          <w:sz w:val="24"/>
          <w:szCs w:val="24"/>
        </w:rPr>
        <w:t xml:space="preserve">Com o recebimento de 940 propostas, esta foi a maior edição das </w:t>
      </w:r>
      <w:r w:rsidRPr="00722CAC">
        <w:rPr>
          <w:rFonts w:ascii="Times New Roman" w:hAnsi="Times New Roman" w:cs="Times New Roman"/>
          <w:i/>
          <w:iCs/>
          <w:sz w:val="24"/>
          <w:szCs w:val="24"/>
        </w:rPr>
        <w:t>Jornadas</w:t>
      </w:r>
      <w:r w:rsidR="00722CAC">
        <w:rPr>
          <w:rFonts w:ascii="Times New Roman" w:hAnsi="Times New Roman" w:cs="Times New Roman"/>
          <w:i/>
          <w:iCs/>
          <w:sz w:val="24"/>
          <w:szCs w:val="24"/>
        </w:rPr>
        <w:t xml:space="preserve"> de Direito Civil</w:t>
      </w:r>
      <w:r w:rsidRPr="00447D60">
        <w:rPr>
          <w:rFonts w:ascii="Times New Roman" w:hAnsi="Times New Roman" w:cs="Times New Roman"/>
          <w:sz w:val="24"/>
          <w:szCs w:val="24"/>
        </w:rPr>
        <w:t xml:space="preserve">. E a aprovação de 58 novos enunciados doutrinários fez com que a </w:t>
      </w:r>
      <w:r w:rsidRPr="00071A54">
        <w:rPr>
          <w:rFonts w:ascii="Times New Roman" w:hAnsi="Times New Roman" w:cs="Times New Roman"/>
          <w:i/>
          <w:iCs/>
          <w:sz w:val="24"/>
          <w:szCs w:val="24"/>
        </w:rPr>
        <w:t>X Jornada</w:t>
      </w:r>
      <w:r w:rsidRPr="00447D60">
        <w:rPr>
          <w:rFonts w:ascii="Times New Roman" w:hAnsi="Times New Roman" w:cs="Times New Roman"/>
          <w:sz w:val="24"/>
          <w:szCs w:val="24"/>
        </w:rPr>
        <w:t xml:space="preserve"> fosse a mais produtiva desde a sua quinta versão, que ocorreu em 2011, superando as que se seguiram, ou seja, as </w:t>
      </w:r>
      <w:r w:rsidRPr="00071A54">
        <w:rPr>
          <w:rFonts w:ascii="Times New Roman" w:hAnsi="Times New Roman" w:cs="Times New Roman"/>
          <w:i/>
          <w:iCs/>
          <w:sz w:val="24"/>
          <w:szCs w:val="24"/>
        </w:rPr>
        <w:t>VI, VII, VIII</w:t>
      </w:r>
      <w:r w:rsidRPr="00447D60">
        <w:rPr>
          <w:rFonts w:ascii="Times New Roman" w:hAnsi="Times New Roman" w:cs="Times New Roman"/>
          <w:sz w:val="24"/>
          <w:szCs w:val="24"/>
        </w:rPr>
        <w:t xml:space="preserve"> e </w:t>
      </w:r>
      <w:r w:rsidRPr="00071A54">
        <w:rPr>
          <w:rFonts w:ascii="Times New Roman" w:hAnsi="Times New Roman" w:cs="Times New Roman"/>
          <w:i/>
          <w:iCs/>
          <w:sz w:val="24"/>
          <w:szCs w:val="24"/>
        </w:rPr>
        <w:t>IX Jornadas.</w:t>
      </w:r>
      <w:r w:rsidRPr="00447D60">
        <w:rPr>
          <w:rFonts w:ascii="Times New Roman" w:hAnsi="Times New Roman" w:cs="Times New Roman"/>
          <w:sz w:val="24"/>
          <w:szCs w:val="24"/>
        </w:rPr>
        <w:t xml:space="preserve"> </w:t>
      </w:r>
      <w:r w:rsidR="00071A54">
        <w:rPr>
          <w:rFonts w:ascii="Times New Roman" w:hAnsi="Times New Roman" w:cs="Times New Roman"/>
          <w:sz w:val="24"/>
          <w:szCs w:val="24"/>
        </w:rPr>
        <w:t>T</w:t>
      </w:r>
      <w:r w:rsidRPr="00447D60">
        <w:rPr>
          <w:rFonts w:ascii="Times New Roman" w:hAnsi="Times New Roman" w:cs="Times New Roman"/>
          <w:sz w:val="24"/>
          <w:szCs w:val="24"/>
        </w:rPr>
        <w:t>ivemos este ano ótimas ementas de teses aprovadas, que irão orientar sobremaneira a aplicação do Direito Privado nos próximos anos.</w:t>
      </w:r>
      <w:r w:rsidR="00071A54">
        <w:rPr>
          <w:rFonts w:ascii="Times New Roman" w:hAnsi="Times New Roman" w:cs="Times New Roman"/>
          <w:sz w:val="24"/>
          <w:szCs w:val="24"/>
        </w:rPr>
        <w:t xml:space="preserve"> </w:t>
      </w:r>
    </w:p>
    <w:p w14:paraId="782AB662" w14:textId="449D8EFF" w:rsidR="00722CAC" w:rsidRDefault="00071A54" w:rsidP="00447D60">
      <w:pPr>
        <w:pStyle w:val="t"/>
        <w:spacing w:before="120" w:after="120" w:line="360" w:lineRule="auto"/>
        <w:ind w:firstLine="1701"/>
        <w:rPr>
          <w:rFonts w:ascii="Times New Roman" w:hAnsi="Times New Roman" w:cs="Times New Roman"/>
          <w:sz w:val="24"/>
          <w:szCs w:val="24"/>
        </w:rPr>
      </w:pPr>
      <w:r>
        <w:rPr>
          <w:rFonts w:ascii="Times New Roman" w:hAnsi="Times New Roman" w:cs="Times New Roman"/>
          <w:sz w:val="24"/>
          <w:szCs w:val="24"/>
        </w:rPr>
        <w:t>Neste primeiro artigo da série, começo a tratar de algumas das proposições que foram aprovadas para o Direito de Família e das Sucessões</w:t>
      </w:r>
      <w:r w:rsidR="00722CAC">
        <w:rPr>
          <w:rFonts w:ascii="Times New Roman" w:hAnsi="Times New Roman" w:cs="Times New Roman"/>
          <w:sz w:val="24"/>
          <w:szCs w:val="24"/>
        </w:rPr>
        <w:t xml:space="preserve">, com ênfase </w:t>
      </w:r>
      <w:r w:rsidR="00614366">
        <w:rPr>
          <w:rFonts w:ascii="Times New Roman" w:hAnsi="Times New Roman" w:cs="Times New Roman"/>
          <w:sz w:val="24"/>
          <w:szCs w:val="24"/>
        </w:rPr>
        <w:t>na</w:t>
      </w:r>
      <w:r w:rsidR="00722CAC">
        <w:rPr>
          <w:rFonts w:ascii="Times New Roman" w:hAnsi="Times New Roman" w:cs="Times New Roman"/>
          <w:sz w:val="24"/>
          <w:szCs w:val="24"/>
        </w:rPr>
        <w:t xml:space="preserve"> responsabilidade civil e </w:t>
      </w:r>
      <w:r w:rsidR="00614366">
        <w:rPr>
          <w:rFonts w:ascii="Times New Roman" w:hAnsi="Times New Roman" w:cs="Times New Roman"/>
          <w:sz w:val="24"/>
          <w:szCs w:val="24"/>
        </w:rPr>
        <w:t xml:space="preserve">sua relação com </w:t>
      </w:r>
      <w:r w:rsidR="00722CAC">
        <w:rPr>
          <w:rFonts w:ascii="Times New Roman" w:hAnsi="Times New Roman" w:cs="Times New Roman"/>
          <w:sz w:val="24"/>
          <w:szCs w:val="24"/>
        </w:rPr>
        <w:t xml:space="preserve">o Direito de Família. </w:t>
      </w:r>
    </w:p>
    <w:p w14:paraId="552A5682" w14:textId="2367AEAC" w:rsidR="00447D60" w:rsidRPr="00447D60" w:rsidRDefault="00447D60" w:rsidP="00447D60">
      <w:pPr>
        <w:pStyle w:val="t"/>
        <w:spacing w:before="120" w:after="120" w:line="360" w:lineRule="auto"/>
        <w:ind w:firstLine="1701"/>
        <w:rPr>
          <w:rFonts w:ascii="Times New Roman" w:hAnsi="Times New Roman" w:cs="Times New Roman"/>
          <w:sz w:val="24"/>
          <w:szCs w:val="24"/>
        </w:rPr>
      </w:pPr>
      <w:r w:rsidRPr="00447D60">
        <w:rPr>
          <w:rFonts w:ascii="Times New Roman" w:hAnsi="Times New Roman" w:cs="Times New Roman"/>
          <w:sz w:val="24"/>
          <w:szCs w:val="24"/>
        </w:rPr>
        <w:t xml:space="preserve">Destaco que muitas das propostas aprovadas dialogam perfeitamente com a Reforma do Código Civil, </w:t>
      </w:r>
      <w:r w:rsidR="00722CAC">
        <w:rPr>
          <w:rFonts w:ascii="Times New Roman" w:hAnsi="Times New Roman" w:cs="Times New Roman"/>
          <w:sz w:val="24"/>
          <w:szCs w:val="24"/>
        </w:rPr>
        <w:t>destacando-se os temas</w:t>
      </w:r>
      <w:r w:rsidR="00623FF3">
        <w:rPr>
          <w:rFonts w:ascii="Times New Roman" w:hAnsi="Times New Roman" w:cs="Times New Roman"/>
          <w:sz w:val="24"/>
          <w:szCs w:val="24"/>
        </w:rPr>
        <w:t xml:space="preserve"> de</w:t>
      </w:r>
      <w:r w:rsidR="00722CAC">
        <w:rPr>
          <w:rFonts w:ascii="Times New Roman" w:hAnsi="Times New Roman" w:cs="Times New Roman"/>
          <w:sz w:val="24"/>
          <w:szCs w:val="24"/>
        </w:rPr>
        <w:t xml:space="preserve"> </w:t>
      </w:r>
      <w:r w:rsidR="00071A54">
        <w:rPr>
          <w:rFonts w:ascii="Times New Roman" w:hAnsi="Times New Roman" w:cs="Times New Roman"/>
          <w:sz w:val="24"/>
          <w:szCs w:val="24"/>
        </w:rPr>
        <w:t xml:space="preserve">Direito Digital e do uso de novas tecnologias no âmbito do Direito Privado. </w:t>
      </w:r>
      <w:r w:rsidRPr="00447D60">
        <w:rPr>
          <w:rFonts w:ascii="Times New Roman" w:hAnsi="Times New Roman" w:cs="Times New Roman"/>
          <w:sz w:val="24"/>
          <w:szCs w:val="24"/>
        </w:rPr>
        <w:t>Os vinte e três enunciados aprovados pela comissão</w:t>
      </w:r>
      <w:r w:rsidR="00722CAC">
        <w:rPr>
          <w:rFonts w:ascii="Times New Roman" w:hAnsi="Times New Roman" w:cs="Times New Roman"/>
          <w:sz w:val="24"/>
          <w:szCs w:val="24"/>
        </w:rPr>
        <w:t xml:space="preserve"> espec</w:t>
      </w:r>
      <w:r w:rsidR="00614366">
        <w:rPr>
          <w:rFonts w:ascii="Times New Roman" w:hAnsi="Times New Roman" w:cs="Times New Roman"/>
          <w:sz w:val="24"/>
          <w:szCs w:val="24"/>
        </w:rPr>
        <w:t>í</w:t>
      </w:r>
      <w:r w:rsidR="00722CAC">
        <w:rPr>
          <w:rFonts w:ascii="Times New Roman" w:hAnsi="Times New Roman" w:cs="Times New Roman"/>
          <w:sz w:val="24"/>
          <w:szCs w:val="24"/>
        </w:rPr>
        <w:t>fica dessas temáticas</w:t>
      </w:r>
      <w:r w:rsidRPr="00447D60">
        <w:rPr>
          <w:rFonts w:ascii="Times New Roman" w:hAnsi="Times New Roman" w:cs="Times New Roman"/>
          <w:sz w:val="24"/>
          <w:szCs w:val="24"/>
        </w:rPr>
        <w:t xml:space="preserve">, a esse propósito, justificam plenamente o livro específico de Direito Civil Digital que está sendo proposto para o Código Civil pelo PL </w:t>
      </w:r>
      <w:r w:rsidR="00071A54">
        <w:rPr>
          <w:rFonts w:ascii="Times New Roman" w:hAnsi="Times New Roman" w:cs="Times New Roman"/>
          <w:sz w:val="24"/>
          <w:szCs w:val="24"/>
        </w:rPr>
        <w:lastRenderedPageBreak/>
        <w:t xml:space="preserve">n. </w:t>
      </w:r>
      <w:r w:rsidRPr="00447D60">
        <w:rPr>
          <w:rFonts w:ascii="Times New Roman" w:hAnsi="Times New Roman" w:cs="Times New Roman"/>
          <w:sz w:val="24"/>
          <w:szCs w:val="24"/>
        </w:rPr>
        <w:t xml:space="preserve">4/2025. </w:t>
      </w:r>
    </w:p>
    <w:p w14:paraId="177161E0" w14:textId="5BA4D1C0" w:rsidR="00447D60" w:rsidRPr="00447D60" w:rsidRDefault="00722CAC" w:rsidP="00071A54">
      <w:pPr>
        <w:pStyle w:val="t"/>
        <w:spacing w:before="120" w:after="120" w:line="360" w:lineRule="auto"/>
        <w:ind w:firstLine="1701"/>
        <w:rPr>
          <w:rFonts w:ascii="Times New Roman" w:hAnsi="Times New Roman" w:cs="Times New Roman"/>
          <w:sz w:val="24"/>
          <w:szCs w:val="24"/>
        </w:rPr>
      </w:pPr>
      <w:r>
        <w:rPr>
          <w:rFonts w:ascii="Times New Roman" w:hAnsi="Times New Roman" w:cs="Times New Roman"/>
          <w:sz w:val="24"/>
          <w:szCs w:val="24"/>
        </w:rPr>
        <w:t>Os dois primeiros enunciados</w:t>
      </w:r>
      <w:r w:rsidR="00071A54">
        <w:rPr>
          <w:rFonts w:ascii="Times New Roman" w:hAnsi="Times New Roman" w:cs="Times New Roman"/>
          <w:sz w:val="24"/>
          <w:szCs w:val="24"/>
        </w:rPr>
        <w:t xml:space="preserve"> </w:t>
      </w:r>
      <w:r w:rsidR="009A338E">
        <w:rPr>
          <w:rFonts w:ascii="Times New Roman" w:hAnsi="Times New Roman" w:cs="Times New Roman"/>
          <w:sz w:val="24"/>
          <w:szCs w:val="24"/>
        </w:rPr>
        <w:t>a serem analisados neste texto</w:t>
      </w:r>
      <w:r w:rsidR="00071A54">
        <w:rPr>
          <w:rFonts w:ascii="Times New Roman" w:hAnsi="Times New Roman" w:cs="Times New Roman"/>
          <w:sz w:val="24"/>
          <w:szCs w:val="24"/>
        </w:rPr>
        <w:t>, da c</w:t>
      </w:r>
      <w:r w:rsidR="00447D60" w:rsidRPr="00447D60">
        <w:rPr>
          <w:rFonts w:ascii="Times New Roman" w:hAnsi="Times New Roman" w:cs="Times New Roman"/>
          <w:sz w:val="24"/>
          <w:szCs w:val="24"/>
        </w:rPr>
        <w:t xml:space="preserve">omissão </w:t>
      </w:r>
      <w:r w:rsidR="00071A54">
        <w:rPr>
          <w:rFonts w:ascii="Times New Roman" w:hAnsi="Times New Roman" w:cs="Times New Roman"/>
          <w:sz w:val="24"/>
          <w:szCs w:val="24"/>
        </w:rPr>
        <w:t>de responsabilidade civil, procur</w:t>
      </w:r>
      <w:r>
        <w:rPr>
          <w:rFonts w:ascii="Times New Roman" w:hAnsi="Times New Roman" w:cs="Times New Roman"/>
          <w:sz w:val="24"/>
          <w:szCs w:val="24"/>
        </w:rPr>
        <w:t>ar</w:t>
      </w:r>
      <w:r w:rsidR="009A338E">
        <w:rPr>
          <w:rFonts w:ascii="Times New Roman" w:hAnsi="Times New Roman" w:cs="Times New Roman"/>
          <w:sz w:val="24"/>
          <w:szCs w:val="24"/>
        </w:rPr>
        <w:t>a</w:t>
      </w:r>
      <w:r>
        <w:rPr>
          <w:rFonts w:ascii="Times New Roman" w:hAnsi="Times New Roman" w:cs="Times New Roman"/>
          <w:sz w:val="24"/>
          <w:szCs w:val="24"/>
        </w:rPr>
        <w:t>m</w:t>
      </w:r>
      <w:r w:rsidR="00071A54">
        <w:rPr>
          <w:rFonts w:ascii="Times New Roman" w:hAnsi="Times New Roman" w:cs="Times New Roman"/>
          <w:sz w:val="24"/>
          <w:szCs w:val="24"/>
        </w:rPr>
        <w:t xml:space="preserve"> trazer baliza</w:t>
      </w:r>
      <w:r w:rsidR="00614366">
        <w:rPr>
          <w:rFonts w:ascii="Times New Roman" w:hAnsi="Times New Roman" w:cs="Times New Roman"/>
          <w:sz w:val="24"/>
          <w:szCs w:val="24"/>
        </w:rPr>
        <w:t>s</w:t>
      </w:r>
      <w:r w:rsidR="00071A54">
        <w:rPr>
          <w:rFonts w:ascii="Times New Roman" w:hAnsi="Times New Roman" w:cs="Times New Roman"/>
          <w:sz w:val="24"/>
          <w:szCs w:val="24"/>
        </w:rPr>
        <w:t xml:space="preserve"> para a fixação dos </w:t>
      </w:r>
      <w:r w:rsidR="00071A54" w:rsidRPr="00071A54">
        <w:rPr>
          <w:rFonts w:ascii="Times New Roman" w:hAnsi="Times New Roman" w:cs="Times New Roman"/>
          <w:i/>
          <w:iCs/>
          <w:sz w:val="24"/>
          <w:szCs w:val="24"/>
        </w:rPr>
        <w:t>alimentos</w:t>
      </w:r>
      <w:r w:rsidR="00071A54" w:rsidRPr="009A338E">
        <w:rPr>
          <w:rFonts w:ascii="Times New Roman" w:hAnsi="Times New Roman" w:cs="Times New Roman"/>
          <w:i/>
          <w:iCs/>
          <w:sz w:val="24"/>
          <w:szCs w:val="24"/>
        </w:rPr>
        <w:t xml:space="preserve"> indenizatórios</w:t>
      </w:r>
      <w:r w:rsidR="009A338E">
        <w:rPr>
          <w:rFonts w:ascii="Times New Roman" w:hAnsi="Times New Roman" w:cs="Times New Roman"/>
          <w:sz w:val="24"/>
          <w:szCs w:val="24"/>
        </w:rPr>
        <w:t xml:space="preserve">, </w:t>
      </w:r>
      <w:r w:rsidR="009A338E" w:rsidRPr="009A338E">
        <w:rPr>
          <w:rFonts w:ascii="Times New Roman" w:hAnsi="Times New Roman" w:cs="Times New Roman"/>
          <w:i/>
          <w:iCs/>
          <w:sz w:val="24"/>
          <w:szCs w:val="24"/>
        </w:rPr>
        <w:t>reparatórios</w:t>
      </w:r>
      <w:r w:rsidR="009A338E">
        <w:rPr>
          <w:rFonts w:ascii="Times New Roman" w:hAnsi="Times New Roman" w:cs="Times New Roman"/>
          <w:sz w:val="24"/>
          <w:szCs w:val="24"/>
        </w:rPr>
        <w:t xml:space="preserve"> </w:t>
      </w:r>
      <w:r w:rsidR="00071A54">
        <w:rPr>
          <w:rFonts w:ascii="Times New Roman" w:hAnsi="Times New Roman" w:cs="Times New Roman"/>
          <w:sz w:val="24"/>
          <w:szCs w:val="24"/>
        </w:rPr>
        <w:t>ou decorrentes de ato ilícito previstos no art. 948</w:t>
      </w:r>
      <w:r w:rsidR="009A338E">
        <w:rPr>
          <w:rFonts w:ascii="Times New Roman" w:hAnsi="Times New Roman" w:cs="Times New Roman"/>
          <w:sz w:val="24"/>
          <w:szCs w:val="24"/>
        </w:rPr>
        <w:t xml:space="preserve">, inc. II, </w:t>
      </w:r>
      <w:r w:rsidR="00071A54">
        <w:rPr>
          <w:rFonts w:ascii="Times New Roman" w:hAnsi="Times New Roman" w:cs="Times New Roman"/>
          <w:sz w:val="24"/>
          <w:szCs w:val="24"/>
        </w:rPr>
        <w:t xml:space="preserve">do Código Civil. </w:t>
      </w:r>
      <w:r w:rsidR="009A338E">
        <w:rPr>
          <w:rFonts w:ascii="Times New Roman" w:hAnsi="Times New Roman" w:cs="Times New Roman"/>
          <w:sz w:val="24"/>
          <w:szCs w:val="24"/>
        </w:rPr>
        <w:t>Consoante</w:t>
      </w:r>
      <w:r w:rsidR="00071A54">
        <w:rPr>
          <w:rFonts w:ascii="Times New Roman" w:hAnsi="Times New Roman" w:cs="Times New Roman"/>
          <w:sz w:val="24"/>
          <w:szCs w:val="24"/>
        </w:rPr>
        <w:t xml:space="preserve"> esse dispositivo, “n</w:t>
      </w:r>
      <w:r w:rsidR="00071A54" w:rsidRPr="00071A54">
        <w:rPr>
          <w:rFonts w:ascii="Times New Roman" w:hAnsi="Times New Roman" w:cs="Times New Roman"/>
          <w:sz w:val="24"/>
          <w:szCs w:val="24"/>
        </w:rPr>
        <w:t>o caso de homicídio, a indenização consiste, sem excluir outras reparações:</w:t>
      </w:r>
      <w:r w:rsidR="00071A54">
        <w:rPr>
          <w:rFonts w:ascii="Times New Roman" w:hAnsi="Times New Roman" w:cs="Times New Roman"/>
          <w:sz w:val="24"/>
          <w:szCs w:val="24"/>
        </w:rPr>
        <w:t xml:space="preserve"> </w:t>
      </w:r>
      <w:r w:rsidR="00071A54" w:rsidRPr="00071A54">
        <w:rPr>
          <w:rFonts w:ascii="Times New Roman" w:hAnsi="Times New Roman" w:cs="Times New Roman"/>
          <w:sz w:val="24"/>
          <w:szCs w:val="24"/>
        </w:rPr>
        <w:t>I - no pagamento das despesas com o tratamento da vítima, seu funeral e o luto da família;</w:t>
      </w:r>
      <w:r w:rsidR="00071A54">
        <w:rPr>
          <w:rFonts w:ascii="Times New Roman" w:hAnsi="Times New Roman" w:cs="Times New Roman"/>
          <w:sz w:val="24"/>
          <w:szCs w:val="24"/>
        </w:rPr>
        <w:t xml:space="preserve"> </w:t>
      </w:r>
      <w:r w:rsidR="00071A54" w:rsidRPr="00071A54">
        <w:rPr>
          <w:rFonts w:ascii="Times New Roman" w:hAnsi="Times New Roman" w:cs="Times New Roman"/>
          <w:sz w:val="24"/>
          <w:szCs w:val="24"/>
        </w:rPr>
        <w:t>II - na prestação de alimentos às pessoas a quem o morto os devia, levando-se em conta a duração provável da vida da vítima</w:t>
      </w:r>
      <w:r w:rsidR="00071A54">
        <w:rPr>
          <w:rFonts w:ascii="Times New Roman" w:hAnsi="Times New Roman" w:cs="Times New Roman"/>
          <w:sz w:val="24"/>
          <w:szCs w:val="24"/>
        </w:rPr>
        <w:t>”</w:t>
      </w:r>
      <w:r w:rsidR="00071A54" w:rsidRPr="00071A54">
        <w:rPr>
          <w:rFonts w:ascii="Times New Roman" w:hAnsi="Times New Roman" w:cs="Times New Roman"/>
          <w:sz w:val="24"/>
          <w:szCs w:val="24"/>
        </w:rPr>
        <w:t>.</w:t>
      </w:r>
      <w:r>
        <w:rPr>
          <w:rFonts w:ascii="Times New Roman" w:hAnsi="Times New Roman" w:cs="Times New Roman"/>
          <w:sz w:val="24"/>
          <w:szCs w:val="24"/>
        </w:rPr>
        <w:t xml:space="preserve"> Via de regra</w:t>
      </w:r>
      <w:r w:rsidR="00614366">
        <w:rPr>
          <w:rFonts w:ascii="Times New Roman" w:hAnsi="Times New Roman" w:cs="Times New Roman"/>
          <w:sz w:val="24"/>
          <w:szCs w:val="24"/>
        </w:rPr>
        <w:t>,</w:t>
      </w:r>
      <w:r>
        <w:rPr>
          <w:rFonts w:ascii="Times New Roman" w:hAnsi="Times New Roman" w:cs="Times New Roman"/>
          <w:sz w:val="24"/>
          <w:szCs w:val="24"/>
        </w:rPr>
        <w:t xml:space="preserve"> esses alimentos</w:t>
      </w:r>
      <w:r w:rsidR="009A338E">
        <w:rPr>
          <w:rFonts w:ascii="Times New Roman" w:hAnsi="Times New Roman" w:cs="Times New Roman"/>
          <w:sz w:val="24"/>
          <w:szCs w:val="24"/>
        </w:rPr>
        <w:t xml:space="preserve">, como lucros cessantes, </w:t>
      </w:r>
      <w:r>
        <w:rPr>
          <w:rFonts w:ascii="Times New Roman" w:hAnsi="Times New Roman" w:cs="Times New Roman"/>
          <w:sz w:val="24"/>
          <w:szCs w:val="24"/>
        </w:rPr>
        <w:t>são pleiteados pelos familiares das vítimas, em fa</w:t>
      </w:r>
      <w:r w:rsidR="009A338E">
        <w:rPr>
          <w:rFonts w:ascii="Times New Roman" w:hAnsi="Times New Roman" w:cs="Times New Roman"/>
          <w:sz w:val="24"/>
          <w:szCs w:val="24"/>
        </w:rPr>
        <w:t>c</w:t>
      </w:r>
      <w:r>
        <w:rPr>
          <w:rFonts w:ascii="Times New Roman" w:hAnsi="Times New Roman" w:cs="Times New Roman"/>
          <w:sz w:val="24"/>
          <w:szCs w:val="24"/>
        </w:rPr>
        <w:t xml:space="preserve">e dos culpados e responsáveis pelo evento danoso. </w:t>
      </w:r>
    </w:p>
    <w:p w14:paraId="279193AD" w14:textId="65A87211" w:rsidR="00722CAC" w:rsidRDefault="00071A54" w:rsidP="00071A54">
      <w:pPr>
        <w:pStyle w:val="t"/>
        <w:spacing w:before="120" w:after="120" w:line="360" w:lineRule="auto"/>
        <w:ind w:firstLine="1701"/>
        <w:rPr>
          <w:rFonts w:ascii="Times New Roman" w:hAnsi="Times New Roman" w:cs="Times New Roman"/>
          <w:sz w:val="24"/>
          <w:szCs w:val="24"/>
        </w:rPr>
      </w:pPr>
      <w:r>
        <w:rPr>
          <w:rFonts w:ascii="Times New Roman" w:hAnsi="Times New Roman" w:cs="Times New Roman"/>
          <w:sz w:val="24"/>
          <w:szCs w:val="24"/>
        </w:rPr>
        <w:t xml:space="preserve">Nos termos da </w:t>
      </w:r>
      <w:r w:rsidR="00722CAC">
        <w:rPr>
          <w:rFonts w:ascii="Times New Roman" w:hAnsi="Times New Roman" w:cs="Times New Roman"/>
          <w:sz w:val="24"/>
          <w:szCs w:val="24"/>
        </w:rPr>
        <w:t xml:space="preserve">primeira </w:t>
      </w:r>
      <w:r>
        <w:rPr>
          <w:rFonts w:ascii="Times New Roman" w:hAnsi="Times New Roman" w:cs="Times New Roman"/>
          <w:sz w:val="24"/>
          <w:szCs w:val="24"/>
        </w:rPr>
        <w:t xml:space="preserve">ementa aprovada, </w:t>
      </w:r>
      <w:r w:rsidR="00447D60" w:rsidRPr="00447D60">
        <w:rPr>
          <w:rFonts w:ascii="Times New Roman" w:hAnsi="Times New Roman" w:cs="Times New Roman"/>
          <w:sz w:val="24"/>
          <w:szCs w:val="24"/>
        </w:rPr>
        <w:t>“</w:t>
      </w:r>
      <w:r>
        <w:rPr>
          <w:rFonts w:ascii="Times New Roman" w:hAnsi="Times New Roman" w:cs="Times New Roman"/>
          <w:sz w:val="24"/>
          <w:szCs w:val="24"/>
        </w:rPr>
        <w:t>p</w:t>
      </w:r>
      <w:r w:rsidR="00447D60" w:rsidRPr="00447D60">
        <w:rPr>
          <w:rFonts w:ascii="Times New Roman" w:hAnsi="Times New Roman" w:cs="Times New Roman"/>
          <w:sz w:val="24"/>
          <w:szCs w:val="24"/>
        </w:rPr>
        <w:t>ara fins de indenização do dano patrimonial por morte, a fixação do tempo de vida provável da vítima deve adotar, como base, a Tabela de Mortalidade do IBGE atualizada na data do óbito, considerado o sexo da pessoa falecida, ressalvadas as peculiaridades do caso concreto”.</w:t>
      </w:r>
      <w:r>
        <w:rPr>
          <w:rFonts w:ascii="Times New Roman" w:hAnsi="Times New Roman" w:cs="Times New Roman"/>
          <w:sz w:val="24"/>
          <w:szCs w:val="24"/>
        </w:rPr>
        <w:t xml:space="preserve"> </w:t>
      </w:r>
      <w:r w:rsidR="00614366">
        <w:rPr>
          <w:rFonts w:ascii="Times New Roman" w:hAnsi="Times New Roman" w:cs="Times New Roman"/>
          <w:sz w:val="24"/>
          <w:szCs w:val="24"/>
        </w:rPr>
        <w:t>O</w:t>
      </w:r>
      <w:r>
        <w:rPr>
          <w:rFonts w:ascii="Times New Roman" w:hAnsi="Times New Roman" w:cs="Times New Roman"/>
          <w:sz w:val="24"/>
          <w:szCs w:val="24"/>
        </w:rPr>
        <w:t xml:space="preserve"> enunciado </w:t>
      </w:r>
      <w:r w:rsidR="00614366">
        <w:rPr>
          <w:rFonts w:ascii="Times New Roman" w:hAnsi="Times New Roman" w:cs="Times New Roman"/>
          <w:sz w:val="24"/>
          <w:szCs w:val="24"/>
        </w:rPr>
        <w:t xml:space="preserve">confirma </w:t>
      </w:r>
      <w:r>
        <w:rPr>
          <w:rFonts w:ascii="Times New Roman" w:hAnsi="Times New Roman" w:cs="Times New Roman"/>
          <w:sz w:val="24"/>
          <w:szCs w:val="24"/>
        </w:rPr>
        <w:t xml:space="preserve">a </w:t>
      </w:r>
      <w:r w:rsidR="00447D60" w:rsidRPr="00447D60">
        <w:rPr>
          <w:rFonts w:ascii="Times New Roman" w:hAnsi="Times New Roman" w:cs="Times New Roman"/>
          <w:sz w:val="24"/>
          <w:szCs w:val="24"/>
        </w:rPr>
        <w:t>posição majoritária da doutrina, co</w:t>
      </w:r>
      <w:r>
        <w:rPr>
          <w:rFonts w:ascii="Times New Roman" w:hAnsi="Times New Roman" w:cs="Times New Roman"/>
          <w:sz w:val="24"/>
          <w:szCs w:val="24"/>
        </w:rPr>
        <w:t>migo compartilhada</w:t>
      </w:r>
      <w:r w:rsidR="009A338E">
        <w:rPr>
          <w:rFonts w:ascii="Times New Roman" w:hAnsi="Times New Roman" w:cs="Times New Roman"/>
          <w:sz w:val="24"/>
          <w:szCs w:val="24"/>
        </w:rPr>
        <w:t xml:space="preserve">, não se utilizando há tempos o antigo parâmetro dos sessenta </w:t>
      </w:r>
      <w:r w:rsidR="00614366">
        <w:rPr>
          <w:rFonts w:ascii="Times New Roman" w:hAnsi="Times New Roman" w:cs="Times New Roman"/>
          <w:sz w:val="24"/>
          <w:szCs w:val="24"/>
        </w:rPr>
        <w:t>e</w:t>
      </w:r>
      <w:r w:rsidR="009A338E">
        <w:rPr>
          <w:rFonts w:ascii="Times New Roman" w:hAnsi="Times New Roman" w:cs="Times New Roman"/>
          <w:sz w:val="24"/>
          <w:szCs w:val="24"/>
        </w:rPr>
        <w:t xml:space="preserve"> cinco anos da vítima. </w:t>
      </w:r>
      <w:r w:rsidR="00722CAC">
        <w:rPr>
          <w:rFonts w:ascii="Times New Roman" w:hAnsi="Times New Roman" w:cs="Times New Roman"/>
          <w:sz w:val="24"/>
          <w:szCs w:val="24"/>
        </w:rPr>
        <w:t xml:space="preserve"> </w:t>
      </w:r>
    </w:p>
    <w:p w14:paraId="32A8AE4A" w14:textId="041FC01D" w:rsidR="00722CAC" w:rsidRDefault="00447D60" w:rsidP="00071A54">
      <w:pPr>
        <w:pStyle w:val="t"/>
        <w:spacing w:before="120" w:after="120" w:line="360" w:lineRule="auto"/>
        <w:ind w:firstLine="1701"/>
        <w:rPr>
          <w:rFonts w:ascii="Times New Roman" w:hAnsi="Times New Roman" w:cs="Times New Roman"/>
          <w:sz w:val="24"/>
          <w:szCs w:val="24"/>
        </w:rPr>
      </w:pPr>
      <w:r w:rsidRPr="00447D60">
        <w:rPr>
          <w:rFonts w:ascii="Times New Roman" w:hAnsi="Times New Roman" w:cs="Times New Roman"/>
          <w:sz w:val="24"/>
          <w:szCs w:val="24"/>
        </w:rPr>
        <w:t xml:space="preserve">Também </w:t>
      </w:r>
      <w:r w:rsidR="00722CAC">
        <w:rPr>
          <w:rFonts w:ascii="Times New Roman" w:hAnsi="Times New Roman" w:cs="Times New Roman"/>
          <w:sz w:val="24"/>
          <w:szCs w:val="24"/>
        </w:rPr>
        <w:t xml:space="preserve">se </w:t>
      </w:r>
      <w:r w:rsidRPr="00447D60">
        <w:rPr>
          <w:rFonts w:ascii="Times New Roman" w:hAnsi="Times New Roman" w:cs="Times New Roman"/>
          <w:sz w:val="24"/>
          <w:szCs w:val="24"/>
        </w:rPr>
        <w:t>chancela a posição do Superior Tribunal de Justiça</w:t>
      </w:r>
      <w:r w:rsidR="00D22681">
        <w:rPr>
          <w:rFonts w:ascii="Times New Roman" w:hAnsi="Times New Roman" w:cs="Times New Roman"/>
          <w:sz w:val="24"/>
          <w:szCs w:val="24"/>
        </w:rPr>
        <w:t>,</w:t>
      </w:r>
      <w:r w:rsidR="00071A54">
        <w:rPr>
          <w:rFonts w:ascii="Times New Roman" w:hAnsi="Times New Roman" w:cs="Times New Roman"/>
          <w:sz w:val="24"/>
          <w:szCs w:val="24"/>
        </w:rPr>
        <w:t xml:space="preserve"> trazendo, assim, preciso diálogo de convergência entre a doutrina e a jurisprudência</w:t>
      </w:r>
      <w:r w:rsidR="00722CAC">
        <w:rPr>
          <w:rFonts w:ascii="Times New Roman" w:hAnsi="Times New Roman" w:cs="Times New Roman"/>
          <w:sz w:val="24"/>
          <w:szCs w:val="24"/>
        </w:rPr>
        <w:t xml:space="preserve">. </w:t>
      </w:r>
      <w:r w:rsidRPr="00447D60">
        <w:rPr>
          <w:rFonts w:ascii="Times New Roman" w:hAnsi="Times New Roman" w:cs="Times New Roman"/>
          <w:sz w:val="24"/>
          <w:szCs w:val="24"/>
        </w:rPr>
        <w:t xml:space="preserve"> </w:t>
      </w:r>
      <w:r w:rsidR="00722CAC">
        <w:rPr>
          <w:rFonts w:ascii="Times New Roman" w:hAnsi="Times New Roman" w:cs="Times New Roman"/>
          <w:sz w:val="24"/>
          <w:szCs w:val="24"/>
        </w:rPr>
        <w:t>P</w:t>
      </w:r>
      <w:r w:rsidRPr="00447D60">
        <w:rPr>
          <w:rFonts w:ascii="Times New Roman" w:hAnsi="Times New Roman" w:cs="Times New Roman"/>
          <w:sz w:val="24"/>
          <w:szCs w:val="24"/>
        </w:rPr>
        <w:t>or todos</w:t>
      </w:r>
      <w:r w:rsidR="00722CAC">
        <w:rPr>
          <w:rFonts w:ascii="Times New Roman" w:hAnsi="Times New Roman" w:cs="Times New Roman"/>
          <w:sz w:val="24"/>
          <w:szCs w:val="24"/>
        </w:rPr>
        <w:t xml:space="preserve">, </w:t>
      </w:r>
      <w:r w:rsidR="009A338E">
        <w:rPr>
          <w:rFonts w:ascii="Times New Roman" w:hAnsi="Times New Roman" w:cs="Times New Roman"/>
          <w:sz w:val="24"/>
          <w:szCs w:val="24"/>
        </w:rPr>
        <w:t xml:space="preserve">e </w:t>
      </w:r>
      <w:r w:rsidR="00722CAC">
        <w:rPr>
          <w:rFonts w:ascii="Times New Roman" w:hAnsi="Times New Roman" w:cs="Times New Roman"/>
          <w:sz w:val="24"/>
          <w:szCs w:val="24"/>
        </w:rPr>
        <w:t xml:space="preserve">entre os </w:t>
      </w:r>
      <w:r w:rsidR="009A338E">
        <w:rPr>
          <w:rFonts w:ascii="Times New Roman" w:hAnsi="Times New Roman" w:cs="Times New Roman"/>
          <w:sz w:val="24"/>
          <w:szCs w:val="24"/>
        </w:rPr>
        <w:t>acórdãos</w:t>
      </w:r>
      <w:r w:rsidR="00722CAC">
        <w:rPr>
          <w:rFonts w:ascii="Times New Roman" w:hAnsi="Times New Roman" w:cs="Times New Roman"/>
          <w:sz w:val="24"/>
          <w:szCs w:val="24"/>
        </w:rPr>
        <w:t xml:space="preserve"> mais recentes, destac</w:t>
      </w:r>
      <w:r w:rsidR="00D654A8">
        <w:rPr>
          <w:rFonts w:ascii="Times New Roman" w:hAnsi="Times New Roman" w:cs="Times New Roman"/>
          <w:sz w:val="24"/>
          <w:szCs w:val="24"/>
        </w:rPr>
        <w:t xml:space="preserve">o, </w:t>
      </w:r>
      <w:r w:rsidR="00722CAC">
        <w:rPr>
          <w:rFonts w:ascii="Times New Roman" w:hAnsi="Times New Roman" w:cs="Times New Roman"/>
          <w:sz w:val="24"/>
          <w:szCs w:val="24"/>
        </w:rPr>
        <w:t>somente para ilustrar</w:t>
      </w:r>
      <w:r w:rsidRPr="00447D60">
        <w:rPr>
          <w:rFonts w:ascii="Times New Roman" w:hAnsi="Times New Roman" w:cs="Times New Roman"/>
          <w:sz w:val="24"/>
          <w:szCs w:val="24"/>
        </w:rPr>
        <w:t xml:space="preserve">: </w:t>
      </w:r>
      <w:r w:rsidR="00722CAC">
        <w:rPr>
          <w:rFonts w:ascii="Times New Roman" w:hAnsi="Times New Roman" w:cs="Times New Roman"/>
          <w:sz w:val="24"/>
          <w:szCs w:val="24"/>
        </w:rPr>
        <w:t>“o</w:t>
      </w:r>
      <w:r w:rsidR="00722CAC" w:rsidRPr="00722CAC">
        <w:rPr>
          <w:rFonts w:ascii="Times New Roman" w:hAnsi="Times New Roman" w:cs="Times New Roman"/>
          <w:sz w:val="24"/>
          <w:szCs w:val="24"/>
        </w:rPr>
        <w:t xml:space="preserve"> proprietário do veículo responde objetiva e solidariamente pelos atos culposos do condutor, conforme a orientação do STJ. </w:t>
      </w:r>
      <w:r w:rsidR="00722CAC">
        <w:rPr>
          <w:rFonts w:ascii="Times New Roman" w:hAnsi="Times New Roman" w:cs="Times New Roman"/>
          <w:sz w:val="24"/>
          <w:szCs w:val="24"/>
        </w:rPr>
        <w:t xml:space="preserve">(...). </w:t>
      </w:r>
      <w:r w:rsidR="00722CAC" w:rsidRPr="00722CAC">
        <w:rPr>
          <w:rFonts w:ascii="Times New Roman" w:hAnsi="Times New Roman" w:cs="Times New Roman"/>
          <w:sz w:val="24"/>
          <w:szCs w:val="24"/>
        </w:rPr>
        <w:t xml:space="preserve">O </w:t>
      </w:r>
      <w:r w:rsidR="00722CAC" w:rsidRPr="00722CAC">
        <w:rPr>
          <w:rFonts w:ascii="Times New Roman" w:hAnsi="Times New Roman" w:cs="Times New Roman"/>
          <w:i/>
          <w:iCs/>
          <w:sz w:val="24"/>
          <w:szCs w:val="24"/>
        </w:rPr>
        <w:t>quantum</w:t>
      </w:r>
      <w:r w:rsidR="00722CAC" w:rsidRPr="00722CAC">
        <w:rPr>
          <w:rFonts w:ascii="Times New Roman" w:hAnsi="Times New Roman" w:cs="Times New Roman"/>
          <w:sz w:val="24"/>
          <w:szCs w:val="24"/>
        </w:rPr>
        <w:t xml:space="preserve"> de R$ 100.000,00 por danos morais não é exorbitante nem irrisório, sendo inviável sua revisão em recurso especial, à luz da Súmula n. 7 do STJ. </w:t>
      </w:r>
      <w:r w:rsidR="00722CAC">
        <w:rPr>
          <w:rFonts w:ascii="Times New Roman" w:hAnsi="Times New Roman" w:cs="Times New Roman"/>
          <w:sz w:val="24"/>
          <w:szCs w:val="24"/>
        </w:rPr>
        <w:t xml:space="preserve">(...). </w:t>
      </w:r>
      <w:r w:rsidR="00722CAC" w:rsidRPr="00722CAC">
        <w:rPr>
          <w:rFonts w:ascii="Times New Roman" w:hAnsi="Times New Roman" w:cs="Times New Roman"/>
          <w:sz w:val="24"/>
          <w:szCs w:val="24"/>
        </w:rPr>
        <w:t xml:space="preserve"> O pensionamento mensal tem termo final na expectativa média de vida da vítima, segundo o IBGE, ou no falecimento do beneficiário, em consonância com a jurisprudência do STJ</w:t>
      </w:r>
      <w:r w:rsidR="00722CAC">
        <w:rPr>
          <w:rFonts w:ascii="Times New Roman" w:hAnsi="Times New Roman" w:cs="Times New Roman"/>
          <w:sz w:val="24"/>
          <w:szCs w:val="24"/>
        </w:rPr>
        <w:t xml:space="preserve">” (STJ, </w:t>
      </w:r>
      <w:r w:rsidRPr="00447D60">
        <w:rPr>
          <w:rFonts w:ascii="Times New Roman" w:hAnsi="Times New Roman" w:cs="Times New Roman"/>
          <w:sz w:val="24"/>
          <w:szCs w:val="24"/>
        </w:rPr>
        <w:t xml:space="preserve">AREsp n. 2.570.952/MT, relator Ministro João Otávio de Noronha, Quarta Turma, julgado em 9/3/2026, DJEN de 12/3/2026). </w:t>
      </w:r>
    </w:p>
    <w:p w14:paraId="257E41B9" w14:textId="5119B981" w:rsidR="00447D60" w:rsidRDefault="00D22681" w:rsidP="00071A54">
      <w:pPr>
        <w:pStyle w:val="t"/>
        <w:spacing w:before="120" w:after="120" w:line="360" w:lineRule="auto"/>
        <w:ind w:firstLine="1701"/>
        <w:rPr>
          <w:rFonts w:ascii="Times New Roman" w:hAnsi="Times New Roman" w:cs="Times New Roman"/>
          <w:sz w:val="24"/>
          <w:szCs w:val="24"/>
        </w:rPr>
      </w:pPr>
      <w:r>
        <w:rPr>
          <w:rFonts w:ascii="Times New Roman" w:hAnsi="Times New Roman" w:cs="Times New Roman"/>
          <w:sz w:val="24"/>
          <w:szCs w:val="24"/>
        </w:rPr>
        <w:t>Pontuo</w:t>
      </w:r>
      <w:r w:rsidR="00722CAC">
        <w:rPr>
          <w:rFonts w:ascii="Times New Roman" w:hAnsi="Times New Roman" w:cs="Times New Roman"/>
          <w:sz w:val="24"/>
          <w:szCs w:val="24"/>
        </w:rPr>
        <w:t xml:space="preserve"> que </w:t>
      </w:r>
      <w:r w:rsidR="009A338E">
        <w:rPr>
          <w:rFonts w:ascii="Times New Roman" w:hAnsi="Times New Roman" w:cs="Times New Roman"/>
          <w:sz w:val="24"/>
          <w:szCs w:val="24"/>
        </w:rPr>
        <w:t>há</w:t>
      </w:r>
      <w:r w:rsidR="00447D60" w:rsidRPr="00447D60">
        <w:rPr>
          <w:rFonts w:ascii="Times New Roman" w:hAnsi="Times New Roman" w:cs="Times New Roman"/>
          <w:sz w:val="24"/>
          <w:szCs w:val="24"/>
        </w:rPr>
        <w:t xml:space="preserve"> proposta para incluir essa regra no art. 948 do Código Civil, conforme o Projeto n. 4/2025, passando o dispositivo a ter a seguinte redação e com um novo §3º: “</w:t>
      </w:r>
      <w:r w:rsidR="00071A54">
        <w:rPr>
          <w:rFonts w:ascii="Times New Roman" w:hAnsi="Times New Roman" w:cs="Times New Roman"/>
          <w:sz w:val="24"/>
          <w:szCs w:val="24"/>
        </w:rPr>
        <w:t>e</w:t>
      </w:r>
      <w:r w:rsidR="00447D60" w:rsidRPr="00447D60">
        <w:rPr>
          <w:rFonts w:ascii="Times New Roman" w:hAnsi="Times New Roman" w:cs="Times New Roman"/>
          <w:sz w:val="24"/>
          <w:szCs w:val="24"/>
        </w:rPr>
        <w:t>m todas as hipóteses previstas neste artigo, a duração do pensionamento levará em conta a tabela de expectativa de vida fixada pelo Instituto Brasileiro de Geografia e Estatística (IBGE), existente ao tempo do dano”.</w:t>
      </w:r>
      <w:r w:rsidR="00447D60">
        <w:rPr>
          <w:rFonts w:ascii="Times New Roman" w:hAnsi="Times New Roman" w:cs="Times New Roman"/>
          <w:sz w:val="24"/>
          <w:szCs w:val="24"/>
        </w:rPr>
        <w:t xml:space="preserve"> </w:t>
      </w:r>
      <w:r w:rsidR="009A338E">
        <w:rPr>
          <w:rFonts w:ascii="Times New Roman" w:hAnsi="Times New Roman" w:cs="Times New Roman"/>
          <w:sz w:val="24"/>
          <w:szCs w:val="24"/>
        </w:rPr>
        <w:t xml:space="preserve">Esse enunciado doutrinário, portanto, chancela a Reforma do Código Civil. </w:t>
      </w:r>
    </w:p>
    <w:p w14:paraId="1EB76EFC" w14:textId="0A2CF269" w:rsidR="00722CAC" w:rsidRDefault="009A338E" w:rsidP="00722CAC">
      <w:pPr>
        <w:pStyle w:val="t"/>
        <w:spacing w:before="120" w:after="120" w:line="360" w:lineRule="auto"/>
        <w:ind w:firstLine="1701"/>
        <w:rPr>
          <w:rFonts w:ascii="Times New Roman" w:hAnsi="Times New Roman" w:cs="Times New Roman"/>
          <w:sz w:val="24"/>
          <w:szCs w:val="24"/>
        </w:rPr>
      </w:pPr>
      <w:r>
        <w:rPr>
          <w:rFonts w:ascii="Times New Roman" w:hAnsi="Times New Roman" w:cs="Times New Roman"/>
          <w:sz w:val="24"/>
          <w:szCs w:val="24"/>
        </w:rPr>
        <w:t>Ainda</w:t>
      </w:r>
      <w:r w:rsidR="00722CAC">
        <w:rPr>
          <w:rFonts w:ascii="Times New Roman" w:hAnsi="Times New Roman" w:cs="Times New Roman"/>
          <w:sz w:val="24"/>
          <w:szCs w:val="24"/>
        </w:rPr>
        <w:t xml:space="preserve"> sobre os </w:t>
      </w:r>
      <w:r w:rsidR="00722CAC" w:rsidRPr="00D22681">
        <w:rPr>
          <w:rFonts w:ascii="Times New Roman" w:hAnsi="Times New Roman" w:cs="Times New Roman"/>
          <w:i/>
          <w:iCs/>
          <w:sz w:val="24"/>
          <w:szCs w:val="24"/>
        </w:rPr>
        <w:t>alimentos indenizatórios</w:t>
      </w:r>
      <w:r w:rsidR="00722CAC">
        <w:rPr>
          <w:rFonts w:ascii="Times New Roman" w:hAnsi="Times New Roman" w:cs="Times New Roman"/>
          <w:sz w:val="24"/>
          <w:szCs w:val="24"/>
        </w:rPr>
        <w:t>, foi aprovado outro enunciado</w:t>
      </w:r>
      <w:r>
        <w:rPr>
          <w:rFonts w:ascii="Times New Roman" w:hAnsi="Times New Roman" w:cs="Times New Roman"/>
          <w:sz w:val="24"/>
          <w:szCs w:val="24"/>
        </w:rPr>
        <w:t xml:space="preserve"> doutrinário</w:t>
      </w:r>
      <w:r w:rsidR="00722CAC">
        <w:rPr>
          <w:rFonts w:ascii="Times New Roman" w:hAnsi="Times New Roman" w:cs="Times New Roman"/>
          <w:sz w:val="24"/>
          <w:szCs w:val="24"/>
        </w:rPr>
        <w:t>, estabelecendo que “o</w:t>
      </w:r>
      <w:r w:rsidR="00722CAC" w:rsidRPr="00722CAC">
        <w:rPr>
          <w:rFonts w:ascii="Times New Roman" w:hAnsi="Times New Roman" w:cs="Times New Roman"/>
          <w:sz w:val="24"/>
          <w:szCs w:val="24"/>
        </w:rPr>
        <w:t xml:space="preserve"> art. 948 do Código Civil enumera rol</w:t>
      </w:r>
      <w:r w:rsidR="00722CAC">
        <w:rPr>
          <w:rFonts w:ascii="Times New Roman" w:hAnsi="Times New Roman" w:cs="Times New Roman"/>
          <w:sz w:val="24"/>
          <w:szCs w:val="24"/>
        </w:rPr>
        <w:t xml:space="preserve"> </w:t>
      </w:r>
      <w:r w:rsidR="00722CAC" w:rsidRPr="00722CAC">
        <w:rPr>
          <w:rFonts w:ascii="Times New Roman" w:hAnsi="Times New Roman" w:cs="Times New Roman"/>
          <w:sz w:val="24"/>
          <w:szCs w:val="24"/>
        </w:rPr>
        <w:t>meramente exemplificativo de danos</w:t>
      </w:r>
      <w:r w:rsidR="00722CAC">
        <w:rPr>
          <w:rFonts w:ascii="Times New Roman" w:hAnsi="Times New Roman" w:cs="Times New Roman"/>
          <w:sz w:val="24"/>
          <w:szCs w:val="24"/>
        </w:rPr>
        <w:t xml:space="preserve"> </w:t>
      </w:r>
      <w:r w:rsidR="00722CAC" w:rsidRPr="00722CAC">
        <w:rPr>
          <w:rFonts w:ascii="Times New Roman" w:hAnsi="Times New Roman" w:cs="Times New Roman"/>
          <w:sz w:val="24"/>
          <w:szCs w:val="24"/>
        </w:rPr>
        <w:t>indenizáveis e abrange o dano</w:t>
      </w:r>
      <w:r w:rsidR="00722CAC">
        <w:rPr>
          <w:rFonts w:ascii="Times New Roman" w:hAnsi="Times New Roman" w:cs="Times New Roman"/>
          <w:sz w:val="24"/>
          <w:szCs w:val="24"/>
        </w:rPr>
        <w:t xml:space="preserve"> </w:t>
      </w:r>
      <w:r w:rsidR="00722CAC" w:rsidRPr="00722CAC">
        <w:rPr>
          <w:rFonts w:ascii="Times New Roman" w:hAnsi="Times New Roman" w:cs="Times New Roman"/>
          <w:sz w:val="24"/>
          <w:szCs w:val="24"/>
        </w:rPr>
        <w:t>extrapatrimonial sofrido pela vítima direta em</w:t>
      </w:r>
      <w:r w:rsidR="00722CAC">
        <w:rPr>
          <w:rFonts w:ascii="Times New Roman" w:hAnsi="Times New Roman" w:cs="Times New Roman"/>
          <w:sz w:val="24"/>
          <w:szCs w:val="24"/>
        </w:rPr>
        <w:t xml:space="preserve"> </w:t>
      </w:r>
      <w:r w:rsidR="00722CAC" w:rsidRPr="00722CAC">
        <w:rPr>
          <w:rFonts w:ascii="Times New Roman" w:hAnsi="Times New Roman" w:cs="Times New Roman"/>
          <w:sz w:val="24"/>
          <w:szCs w:val="24"/>
        </w:rPr>
        <w:t>razão da violação de seu direito à vida. A</w:t>
      </w:r>
      <w:r w:rsidR="00722CAC">
        <w:rPr>
          <w:rFonts w:ascii="Times New Roman" w:hAnsi="Times New Roman" w:cs="Times New Roman"/>
          <w:sz w:val="24"/>
          <w:szCs w:val="24"/>
        </w:rPr>
        <w:t xml:space="preserve"> </w:t>
      </w:r>
      <w:r w:rsidR="00722CAC" w:rsidRPr="00722CAC">
        <w:rPr>
          <w:rFonts w:ascii="Times New Roman" w:hAnsi="Times New Roman" w:cs="Times New Roman"/>
          <w:sz w:val="24"/>
          <w:szCs w:val="24"/>
        </w:rPr>
        <w:t>pretensão reparatória transmite-se por direito</w:t>
      </w:r>
      <w:r w:rsidR="00722CAC">
        <w:rPr>
          <w:rFonts w:ascii="Times New Roman" w:hAnsi="Times New Roman" w:cs="Times New Roman"/>
          <w:sz w:val="24"/>
          <w:szCs w:val="24"/>
        </w:rPr>
        <w:t xml:space="preserve"> </w:t>
      </w:r>
      <w:r w:rsidR="00722CAC" w:rsidRPr="00722CAC">
        <w:rPr>
          <w:rFonts w:ascii="Times New Roman" w:hAnsi="Times New Roman" w:cs="Times New Roman"/>
          <w:sz w:val="24"/>
          <w:szCs w:val="24"/>
        </w:rPr>
        <w:t>de sucessão aos seus herdeiros</w:t>
      </w:r>
      <w:r w:rsidR="00722CAC">
        <w:rPr>
          <w:rFonts w:ascii="Times New Roman" w:hAnsi="Times New Roman" w:cs="Times New Roman"/>
          <w:sz w:val="24"/>
          <w:szCs w:val="24"/>
        </w:rPr>
        <w:t>”</w:t>
      </w:r>
      <w:r w:rsidR="00722CAC" w:rsidRPr="00722CAC">
        <w:rPr>
          <w:rFonts w:ascii="Times New Roman" w:hAnsi="Times New Roman" w:cs="Times New Roman"/>
          <w:sz w:val="24"/>
          <w:szCs w:val="24"/>
        </w:rPr>
        <w:t>.</w:t>
      </w:r>
      <w:r w:rsidR="00722CAC">
        <w:rPr>
          <w:rFonts w:ascii="Times New Roman" w:hAnsi="Times New Roman" w:cs="Times New Roman"/>
          <w:sz w:val="24"/>
          <w:szCs w:val="24"/>
        </w:rPr>
        <w:t xml:space="preserve"> O objetivo da proposta foi chancelar o </w:t>
      </w:r>
      <w:r w:rsidR="00722CAC" w:rsidRPr="009A338E">
        <w:rPr>
          <w:rFonts w:ascii="Times New Roman" w:hAnsi="Times New Roman" w:cs="Times New Roman"/>
          <w:i/>
          <w:iCs/>
          <w:sz w:val="24"/>
          <w:szCs w:val="24"/>
        </w:rPr>
        <w:t>dano-morte</w:t>
      </w:r>
      <w:r w:rsidR="00722CAC">
        <w:rPr>
          <w:rFonts w:ascii="Times New Roman" w:hAnsi="Times New Roman" w:cs="Times New Roman"/>
          <w:sz w:val="24"/>
          <w:szCs w:val="24"/>
        </w:rPr>
        <w:t xml:space="preserve"> como categoria de dano reparável no Brasil, como se retira das justificativas da proposta: </w:t>
      </w:r>
    </w:p>
    <w:p w14:paraId="187B54FD" w14:textId="6329C7E7" w:rsidR="00722CAC" w:rsidRPr="00722CAC" w:rsidRDefault="00722CAC" w:rsidP="00722CAC">
      <w:pPr>
        <w:pStyle w:val="t"/>
        <w:spacing w:before="120" w:after="120" w:line="360" w:lineRule="auto"/>
        <w:ind w:left="567" w:firstLine="0"/>
        <w:rPr>
          <w:rFonts w:ascii="Times New Roman" w:hAnsi="Times New Roman" w:cs="Times New Roman"/>
          <w:sz w:val="22"/>
          <w:szCs w:val="22"/>
        </w:rPr>
      </w:pPr>
      <w:r w:rsidRPr="00722CAC">
        <w:rPr>
          <w:rFonts w:ascii="Times New Roman" w:hAnsi="Times New Roman" w:cs="Times New Roman"/>
          <w:sz w:val="22"/>
          <w:szCs w:val="22"/>
        </w:rPr>
        <w:t xml:space="preserve">“O dano-morte é o efeito danoso extrapatrimonial representado pelo rompimento da relação suficiente entre a pessoa e sua própria vida, decorrente de modo direto e imediato do fato antijurídico que viola a situação jurídica subjetiva equivalente ao direito à vida. Em Portugal, desde 1971 é admitida a indenização do dano extrapatrimonial suportado pela vítima direta pela perda de sua vida, conforme corrente liderada por Vaz Serra. A indenização do dano-morte é compatível com o sistema aberto de responsabilidade civil e com os princípios do direito sucessório brasileiro, especialmente após a edição da Súmula nº 642/STJ fixando a legitimidade dos herdeiros para pleitear a reparação de danos extrapatrimoniais suportados pelo ente falecido, ainda que este não tenha iniciado a ação em vida”. </w:t>
      </w:r>
    </w:p>
    <w:p w14:paraId="4BACC803" w14:textId="5AC1DB86" w:rsidR="00722CAC" w:rsidRDefault="00722CAC" w:rsidP="00447D60">
      <w:pPr>
        <w:pStyle w:val="t"/>
        <w:spacing w:before="120" w:after="120" w:line="360" w:lineRule="auto"/>
        <w:ind w:firstLine="1701"/>
        <w:rPr>
          <w:rFonts w:ascii="Times New Roman" w:hAnsi="Times New Roman" w:cs="Times New Roman"/>
          <w:sz w:val="24"/>
          <w:szCs w:val="24"/>
        </w:rPr>
      </w:pPr>
      <w:r>
        <w:rPr>
          <w:rFonts w:ascii="Times New Roman" w:hAnsi="Times New Roman" w:cs="Times New Roman"/>
          <w:sz w:val="24"/>
          <w:szCs w:val="24"/>
        </w:rPr>
        <w:t xml:space="preserve">Penso que a aprovação desse enunciado deve trazer um incremento </w:t>
      </w:r>
      <w:r w:rsidR="009A338E">
        <w:rPr>
          <w:rFonts w:ascii="Times New Roman" w:hAnsi="Times New Roman" w:cs="Times New Roman"/>
          <w:sz w:val="24"/>
          <w:szCs w:val="24"/>
        </w:rPr>
        <w:t xml:space="preserve">do debate </w:t>
      </w:r>
      <w:r>
        <w:rPr>
          <w:rFonts w:ascii="Times New Roman" w:hAnsi="Times New Roman" w:cs="Times New Roman"/>
          <w:sz w:val="24"/>
          <w:szCs w:val="24"/>
        </w:rPr>
        <w:t xml:space="preserve">sobre a possibilidade de reparação do dano-morte no País, </w:t>
      </w:r>
      <w:r w:rsidR="009A338E">
        <w:rPr>
          <w:rFonts w:ascii="Times New Roman" w:hAnsi="Times New Roman" w:cs="Times New Roman"/>
          <w:sz w:val="24"/>
          <w:szCs w:val="24"/>
        </w:rPr>
        <w:t xml:space="preserve">como categoria autônoma, </w:t>
      </w:r>
      <w:r>
        <w:rPr>
          <w:rFonts w:ascii="Times New Roman" w:hAnsi="Times New Roman" w:cs="Times New Roman"/>
          <w:sz w:val="24"/>
          <w:szCs w:val="24"/>
        </w:rPr>
        <w:t xml:space="preserve">nos próximos anos. No Projeto de Reforma do Código Civil, a inclusão da categoria não foi admitida sequer pela subcomissão de responsabilidade civil, tendo havido divergência entre os seus membros, na Comissão de Juristas. </w:t>
      </w:r>
    </w:p>
    <w:p w14:paraId="3ACA5119" w14:textId="2AB1F459" w:rsidR="00722CAC" w:rsidRDefault="00447D60" w:rsidP="00447D60">
      <w:pPr>
        <w:pStyle w:val="t"/>
        <w:spacing w:before="120" w:after="120" w:line="360" w:lineRule="auto"/>
        <w:ind w:firstLine="1701"/>
        <w:rPr>
          <w:rFonts w:ascii="Times New Roman" w:hAnsi="Times New Roman" w:cs="Times New Roman"/>
          <w:sz w:val="24"/>
          <w:szCs w:val="24"/>
        </w:rPr>
      </w:pPr>
      <w:r>
        <w:rPr>
          <w:rFonts w:ascii="Times New Roman" w:hAnsi="Times New Roman" w:cs="Times New Roman"/>
          <w:sz w:val="24"/>
          <w:szCs w:val="24"/>
        </w:rPr>
        <w:t xml:space="preserve">Sobre </w:t>
      </w:r>
      <w:r w:rsidR="00722CAC">
        <w:rPr>
          <w:rFonts w:ascii="Times New Roman" w:hAnsi="Times New Roman" w:cs="Times New Roman"/>
          <w:sz w:val="24"/>
          <w:szCs w:val="24"/>
        </w:rPr>
        <w:t xml:space="preserve">o </w:t>
      </w:r>
      <w:r>
        <w:rPr>
          <w:rFonts w:ascii="Times New Roman" w:hAnsi="Times New Roman" w:cs="Times New Roman"/>
          <w:sz w:val="24"/>
          <w:szCs w:val="24"/>
        </w:rPr>
        <w:t>abandono afetivo</w:t>
      </w:r>
      <w:r w:rsidR="00722CAC">
        <w:rPr>
          <w:rFonts w:ascii="Times New Roman" w:hAnsi="Times New Roman" w:cs="Times New Roman"/>
          <w:sz w:val="24"/>
          <w:szCs w:val="24"/>
        </w:rPr>
        <w:t>, outro assunto que inte</w:t>
      </w:r>
      <w:r w:rsidR="00614366">
        <w:rPr>
          <w:rFonts w:ascii="Times New Roman" w:hAnsi="Times New Roman" w:cs="Times New Roman"/>
          <w:sz w:val="24"/>
          <w:szCs w:val="24"/>
        </w:rPr>
        <w:t>r-</w:t>
      </w:r>
      <w:r w:rsidR="00722CAC">
        <w:rPr>
          <w:rFonts w:ascii="Times New Roman" w:hAnsi="Times New Roman" w:cs="Times New Roman"/>
          <w:sz w:val="24"/>
          <w:szCs w:val="24"/>
        </w:rPr>
        <w:t>relaciona a responsabilidade civil e o Direito de Família, foram aprovad</w:t>
      </w:r>
      <w:r w:rsidR="00412ABA">
        <w:rPr>
          <w:rFonts w:ascii="Times New Roman" w:hAnsi="Times New Roman" w:cs="Times New Roman"/>
          <w:sz w:val="24"/>
          <w:szCs w:val="24"/>
        </w:rPr>
        <w:t>a</w:t>
      </w:r>
      <w:r w:rsidR="00722CAC">
        <w:rPr>
          <w:rFonts w:ascii="Times New Roman" w:hAnsi="Times New Roman" w:cs="Times New Roman"/>
          <w:sz w:val="24"/>
          <w:szCs w:val="24"/>
        </w:rPr>
        <w:t xml:space="preserve">s </w:t>
      </w:r>
      <w:r w:rsidR="00412ABA">
        <w:rPr>
          <w:rFonts w:ascii="Times New Roman" w:hAnsi="Times New Roman" w:cs="Times New Roman"/>
          <w:sz w:val="24"/>
          <w:szCs w:val="24"/>
        </w:rPr>
        <w:t>duas propostas</w:t>
      </w:r>
      <w:r w:rsidR="00722CAC">
        <w:rPr>
          <w:rFonts w:ascii="Times New Roman" w:hAnsi="Times New Roman" w:cs="Times New Roman"/>
          <w:sz w:val="24"/>
          <w:szCs w:val="24"/>
        </w:rPr>
        <w:t xml:space="preserve">, buscando trazer importantes interpretações para a recente Lei n. </w:t>
      </w:r>
      <w:r w:rsidR="00A1578D" w:rsidRPr="00A1578D">
        <w:rPr>
          <w:rFonts w:ascii="Times New Roman" w:hAnsi="Times New Roman" w:cs="Times New Roman"/>
          <w:sz w:val="24"/>
          <w:szCs w:val="24"/>
        </w:rPr>
        <w:t>15.240/2025</w:t>
      </w:r>
      <w:r w:rsidR="00A1578D">
        <w:rPr>
          <w:rFonts w:ascii="Times New Roman" w:hAnsi="Times New Roman" w:cs="Times New Roman"/>
          <w:sz w:val="24"/>
          <w:szCs w:val="24"/>
        </w:rPr>
        <w:t xml:space="preserve">, que incluiu a ilicitude </w:t>
      </w:r>
      <w:r w:rsidR="009A338E">
        <w:rPr>
          <w:rFonts w:ascii="Times New Roman" w:hAnsi="Times New Roman" w:cs="Times New Roman"/>
          <w:sz w:val="24"/>
          <w:szCs w:val="24"/>
        </w:rPr>
        <w:t>dessa conduta de quebra da afetividade</w:t>
      </w:r>
      <w:r w:rsidR="00A1578D">
        <w:rPr>
          <w:rFonts w:ascii="Times New Roman" w:hAnsi="Times New Roman" w:cs="Times New Roman"/>
          <w:sz w:val="24"/>
          <w:szCs w:val="24"/>
        </w:rPr>
        <w:t xml:space="preserve"> no novo parágrafo único do art. 5º do Estatuto da Criança e do Adolescente (Lei n. 8.069/1990)</w:t>
      </w:r>
      <w:r w:rsidR="00412ABA">
        <w:rPr>
          <w:rFonts w:ascii="Times New Roman" w:hAnsi="Times New Roman" w:cs="Times New Roman"/>
          <w:sz w:val="24"/>
          <w:szCs w:val="24"/>
        </w:rPr>
        <w:t>, do seguinte modo: “c</w:t>
      </w:r>
      <w:r w:rsidR="00412ABA" w:rsidRPr="00412ABA">
        <w:rPr>
          <w:rFonts w:ascii="Times New Roman" w:hAnsi="Times New Roman" w:cs="Times New Roman"/>
          <w:sz w:val="24"/>
          <w:szCs w:val="24"/>
        </w:rPr>
        <w:t>onsidera-se conduta ilícita, sujeita a reparação de danos, sem prejuízo de outras sanções cabíveis, a ação ou a omissão que ofenda direito fundamental de criança ou de adolescente previsto nesta Lei, incluídos os casos de abandono afetivo</w:t>
      </w:r>
      <w:r w:rsidR="00412ABA">
        <w:rPr>
          <w:rFonts w:ascii="Times New Roman" w:hAnsi="Times New Roman" w:cs="Times New Roman"/>
          <w:sz w:val="24"/>
          <w:szCs w:val="24"/>
        </w:rPr>
        <w:t xml:space="preserve">”. </w:t>
      </w:r>
      <w:r w:rsidR="00A1578D">
        <w:rPr>
          <w:rFonts w:ascii="Times New Roman" w:hAnsi="Times New Roman" w:cs="Times New Roman"/>
          <w:sz w:val="24"/>
          <w:szCs w:val="24"/>
        </w:rPr>
        <w:t xml:space="preserve"> </w:t>
      </w:r>
    </w:p>
    <w:p w14:paraId="524A3015" w14:textId="66819BDD" w:rsidR="00A1578D" w:rsidRDefault="00A1578D" w:rsidP="00A1578D">
      <w:pPr>
        <w:pStyle w:val="t"/>
        <w:spacing w:before="120" w:after="120" w:line="360" w:lineRule="auto"/>
        <w:ind w:firstLine="1701"/>
        <w:rPr>
          <w:rFonts w:ascii="Times New Roman" w:hAnsi="Times New Roman" w:cs="Times New Roman"/>
          <w:sz w:val="24"/>
          <w:szCs w:val="24"/>
        </w:rPr>
      </w:pPr>
      <w:r>
        <w:rPr>
          <w:rFonts w:ascii="Times New Roman" w:hAnsi="Times New Roman" w:cs="Times New Roman"/>
          <w:sz w:val="24"/>
          <w:szCs w:val="24"/>
        </w:rPr>
        <w:t>Consoante o primeiro enunciado aprovado</w:t>
      </w:r>
      <w:r w:rsidR="00D22681">
        <w:rPr>
          <w:rFonts w:ascii="Times New Roman" w:hAnsi="Times New Roman" w:cs="Times New Roman"/>
          <w:sz w:val="24"/>
          <w:szCs w:val="24"/>
        </w:rPr>
        <w:t xml:space="preserve"> sobre a temática</w:t>
      </w:r>
      <w:r>
        <w:rPr>
          <w:rFonts w:ascii="Times New Roman" w:hAnsi="Times New Roman" w:cs="Times New Roman"/>
          <w:sz w:val="24"/>
          <w:szCs w:val="24"/>
        </w:rPr>
        <w:t>, “o</w:t>
      </w:r>
      <w:r w:rsidR="00447D60" w:rsidRPr="00447D60">
        <w:rPr>
          <w:rFonts w:ascii="Times New Roman" w:hAnsi="Times New Roman" w:cs="Times New Roman"/>
          <w:sz w:val="24"/>
          <w:szCs w:val="24"/>
        </w:rPr>
        <w:t xml:space="preserve"> prazo prescricional da responsabilidade</w:t>
      </w:r>
      <w:r w:rsidR="00447D60">
        <w:rPr>
          <w:rFonts w:ascii="Times New Roman" w:hAnsi="Times New Roman" w:cs="Times New Roman"/>
          <w:sz w:val="24"/>
          <w:szCs w:val="24"/>
        </w:rPr>
        <w:t xml:space="preserve"> </w:t>
      </w:r>
      <w:r w:rsidR="00447D60" w:rsidRPr="00447D60">
        <w:rPr>
          <w:rFonts w:ascii="Times New Roman" w:hAnsi="Times New Roman" w:cs="Times New Roman"/>
          <w:sz w:val="24"/>
          <w:szCs w:val="24"/>
        </w:rPr>
        <w:t>civil por abandono afetivo inicia-se, em regra,</w:t>
      </w:r>
      <w:r w:rsidR="00447D60">
        <w:rPr>
          <w:rFonts w:ascii="Times New Roman" w:hAnsi="Times New Roman" w:cs="Times New Roman"/>
          <w:sz w:val="24"/>
          <w:szCs w:val="24"/>
        </w:rPr>
        <w:t xml:space="preserve"> </w:t>
      </w:r>
      <w:r w:rsidR="00447D60" w:rsidRPr="00447D60">
        <w:rPr>
          <w:rFonts w:ascii="Times New Roman" w:hAnsi="Times New Roman" w:cs="Times New Roman"/>
          <w:sz w:val="24"/>
          <w:szCs w:val="24"/>
        </w:rPr>
        <w:t>com o implemento da maioridade civil da</w:t>
      </w:r>
      <w:r w:rsidR="00447D60">
        <w:rPr>
          <w:rFonts w:ascii="Times New Roman" w:hAnsi="Times New Roman" w:cs="Times New Roman"/>
          <w:sz w:val="24"/>
          <w:szCs w:val="24"/>
        </w:rPr>
        <w:t xml:space="preserve"> </w:t>
      </w:r>
      <w:r w:rsidR="00447D60" w:rsidRPr="00447D60">
        <w:rPr>
          <w:rFonts w:ascii="Times New Roman" w:hAnsi="Times New Roman" w:cs="Times New Roman"/>
          <w:sz w:val="24"/>
          <w:szCs w:val="24"/>
        </w:rPr>
        <w:t>parte interessada</w:t>
      </w:r>
      <w:r>
        <w:rPr>
          <w:rFonts w:ascii="Times New Roman" w:hAnsi="Times New Roman" w:cs="Times New Roman"/>
          <w:sz w:val="24"/>
          <w:szCs w:val="24"/>
        </w:rPr>
        <w:t>”</w:t>
      </w:r>
      <w:r w:rsidR="00447D60" w:rsidRPr="00447D60">
        <w:rPr>
          <w:rFonts w:ascii="Times New Roman" w:hAnsi="Times New Roman" w:cs="Times New Roman"/>
          <w:sz w:val="24"/>
          <w:szCs w:val="24"/>
        </w:rPr>
        <w:t>.</w:t>
      </w:r>
      <w:r w:rsidR="00447D60">
        <w:rPr>
          <w:rFonts w:ascii="Times New Roman" w:hAnsi="Times New Roman" w:cs="Times New Roman"/>
          <w:sz w:val="24"/>
          <w:szCs w:val="24"/>
        </w:rPr>
        <w:t xml:space="preserve"> </w:t>
      </w:r>
      <w:r>
        <w:rPr>
          <w:rFonts w:ascii="Times New Roman" w:hAnsi="Times New Roman" w:cs="Times New Roman"/>
          <w:sz w:val="24"/>
          <w:szCs w:val="24"/>
        </w:rPr>
        <w:t>Confirma-se, mais uma vez, a posição majoritária, pela incidência do prazo de prescrição de três anos para a reparação civil – nos termos do art. 206, §3º, inc. V, do Código Civil -, a contar da maioridade</w:t>
      </w:r>
      <w:r w:rsidR="009A338E">
        <w:rPr>
          <w:rFonts w:ascii="Times New Roman" w:hAnsi="Times New Roman" w:cs="Times New Roman"/>
          <w:sz w:val="24"/>
          <w:szCs w:val="24"/>
        </w:rPr>
        <w:t xml:space="preserve"> da vítima</w:t>
      </w:r>
      <w:r>
        <w:rPr>
          <w:rFonts w:ascii="Times New Roman" w:hAnsi="Times New Roman" w:cs="Times New Roman"/>
          <w:sz w:val="24"/>
          <w:szCs w:val="24"/>
        </w:rPr>
        <w:t xml:space="preserve">. Mais uma vez, </w:t>
      </w:r>
      <w:r w:rsidR="009A338E">
        <w:rPr>
          <w:rFonts w:ascii="Times New Roman" w:hAnsi="Times New Roman" w:cs="Times New Roman"/>
          <w:sz w:val="24"/>
          <w:szCs w:val="24"/>
        </w:rPr>
        <w:t xml:space="preserve">destaque-se que </w:t>
      </w:r>
      <w:r>
        <w:rPr>
          <w:rFonts w:ascii="Times New Roman" w:hAnsi="Times New Roman" w:cs="Times New Roman"/>
          <w:sz w:val="24"/>
          <w:szCs w:val="24"/>
        </w:rPr>
        <w:t>essa é a posição que tem prevalecido no Superior Tribunal de Justiça. Por todos: “a</w:t>
      </w:r>
      <w:r w:rsidRPr="00A1578D">
        <w:rPr>
          <w:rFonts w:ascii="Times New Roman" w:hAnsi="Times New Roman" w:cs="Times New Roman"/>
          <w:sz w:val="24"/>
          <w:szCs w:val="24"/>
        </w:rPr>
        <w:t xml:space="preserve"> ação de indenização decorrente de abandono afetivo prescreve no prazo de três anos (Código Civil, art. 206, §3º, V).</w:t>
      </w:r>
      <w:r>
        <w:rPr>
          <w:rFonts w:ascii="Times New Roman" w:hAnsi="Times New Roman" w:cs="Times New Roman"/>
          <w:sz w:val="24"/>
          <w:szCs w:val="24"/>
        </w:rPr>
        <w:t xml:space="preserve"> (...). </w:t>
      </w:r>
      <w:r w:rsidRPr="00A1578D">
        <w:rPr>
          <w:rFonts w:ascii="Times New Roman" w:hAnsi="Times New Roman" w:cs="Times New Roman"/>
          <w:sz w:val="24"/>
          <w:szCs w:val="24"/>
        </w:rPr>
        <w:t>Hipótese em que a ação foi ajuizada mais de três anos após atingida a maioridade, de forma que prescrita a pretensão com relação aos atos e omissões narrados na inicial durante a menoridade</w:t>
      </w:r>
      <w:r>
        <w:rPr>
          <w:rFonts w:ascii="Times New Roman" w:hAnsi="Times New Roman" w:cs="Times New Roman"/>
          <w:sz w:val="24"/>
          <w:szCs w:val="24"/>
        </w:rPr>
        <w:t xml:space="preserve">” </w:t>
      </w:r>
      <w:r w:rsidRPr="00A1578D">
        <w:rPr>
          <w:rFonts w:ascii="Times New Roman" w:hAnsi="Times New Roman" w:cs="Times New Roman"/>
          <w:sz w:val="24"/>
          <w:szCs w:val="24"/>
        </w:rPr>
        <w:t>(</w:t>
      </w:r>
      <w:r>
        <w:rPr>
          <w:rFonts w:ascii="Times New Roman" w:hAnsi="Times New Roman" w:cs="Times New Roman"/>
          <w:sz w:val="24"/>
          <w:szCs w:val="24"/>
        </w:rPr>
        <w:t xml:space="preserve">STJ, </w:t>
      </w:r>
      <w:r w:rsidRPr="00A1578D">
        <w:rPr>
          <w:rFonts w:ascii="Times New Roman" w:hAnsi="Times New Roman" w:cs="Times New Roman"/>
          <w:sz w:val="24"/>
          <w:szCs w:val="24"/>
        </w:rPr>
        <w:t>REsp n. 1.579.021/RS, relatora Ministra Maria Isabel Gallotti, Quarta Turma, julgado em 19/10/2017, DJe de 29/11/2017)</w:t>
      </w:r>
      <w:r>
        <w:rPr>
          <w:rFonts w:ascii="Times New Roman" w:hAnsi="Times New Roman" w:cs="Times New Roman"/>
          <w:sz w:val="24"/>
          <w:szCs w:val="24"/>
        </w:rPr>
        <w:t xml:space="preserve">. </w:t>
      </w:r>
    </w:p>
    <w:p w14:paraId="3DFE41D0" w14:textId="470CAAC1" w:rsidR="00A1578D" w:rsidRDefault="00A1578D" w:rsidP="00447D60">
      <w:pPr>
        <w:pStyle w:val="t"/>
        <w:spacing w:before="120" w:after="120" w:line="360" w:lineRule="auto"/>
        <w:ind w:firstLine="1701"/>
        <w:rPr>
          <w:rFonts w:ascii="Times New Roman" w:hAnsi="Times New Roman" w:cs="Times New Roman"/>
          <w:sz w:val="24"/>
          <w:szCs w:val="24"/>
        </w:rPr>
      </w:pPr>
      <w:r>
        <w:rPr>
          <w:rFonts w:ascii="Times New Roman" w:hAnsi="Times New Roman" w:cs="Times New Roman"/>
          <w:sz w:val="24"/>
          <w:szCs w:val="24"/>
        </w:rPr>
        <w:t xml:space="preserve">O segundo enunciado aprovado sobre o </w:t>
      </w:r>
      <w:r w:rsidR="00447D60" w:rsidRPr="00447D60">
        <w:rPr>
          <w:rFonts w:ascii="Times New Roman" w:hAnsi="Times New Roman" w:cs="Times New Roman"/>
          <w:sz w:val="24"/>
          <w:szCs w:val="24"/>
        </w:rPr>
        <w:t>abandono afetivo</w:t>
      </w:r>
      <w:r>
        <w:rPr>
          <w:rFonts w:ascii="Times New Roman" w:hAnsi="Times New Roman" w:cs="Times New Roman"/>
          <w:sz w:val="24"/>
          <w:szCs w:val="24"/>
        </w:rPr>
        <w:t xml:space="preserve"> </w:t>
      </w:r>
      <w:r w:rsidR="00B331DE">
        <w:rPr>
          <w:rFonts w:ascii="Times New Roman" w:hAnsi="Times New Roman" w:cs="Times New Roman"/>
          <w:sz w:val="24"/>
          <w:szCs w:val="24"/>
        </w:rPr>
        <w:t>estabelece</w:t>
      </w:r>
      <w:r>
        <w:rPr>
          <w:rFonts w:ascii="Times New Roman" w:hAnsi="Times New Roman" w:cs="Times New Roman"/>
          <w:sz w:val="24"/>
          <w:szCs w:val="24"/>
        </w:rPr>
        <w:t xml:space="preserve"> que ele</w:t>
      </w:r>
      <w:r w:rsidR="00447D60" w:rsidRPr="00447D60">
        <w:rPr>
          <w:rFonts w:ascii="Times New Roman" w:hAnsi="Times New Roman" w:cs="Times New Roman"/>
          <w:sz w:val="24"/>
          <w:szCs w:val="24"/>
        </w:rPr>
        <w:t xml:space="preserve"> </w:t>
      </w:r>
      <w:r w:rsidR="00B331DE">
        <w:rPr>
          <w:rFonts w:ascii="Times New Roman" w:hAnsi="Times New Roman" w:cs="Times New Roman"/>
          <w:sz w:val="24"/>
          <w:szCs w:val="24"/>
        </w:rPr>
        <w:t xml:space="preserve">somente é reparável </w:t>
      </w:r>
      <w:r w:rsidR="00D22681">
        <w:rPr>
          <w:rFonts w:ascii="Times New Roman" w:hAnsi="Times New Roman" w:cs="Times New Roman"/>
          <w:sz w:val="24"/>
          <w:szCs w:val="24"/>
        </w:rPr>
        <w:t xml:space="preserve">quando </w:t>
      </w:r>
      <w:r>
        <w:rPr>
          <w:rFonts w:ascii="Times New Roman" w:hAnsi="Times New Roman" w:cs="Times New Roman"/>
          <w:sz w:val="24"/>
          <w:szCs w:val="24"/>
        </w:rPr>
        <w:t>“</w:t>
      </w:r>
      <w:r w:rsidR="00447D60" w:rsidRPr="00447D60">
        <w:rPr>
          <w:rFonts w:ascii="Times New Roman" w:hAnsi="Times New Roman" w:cs="Times New Roman"/>
          <w:sz w:val="24"/>
          <w:szCs w:val="24"/>
        </w:rPr>
        <w:t>decorre da omissão</w:t>
      </w:r>
      <w:r w:rsidR="00447D60">
        <w:rPr>
          <w:rFonts w:ascii="Times New Roman" w:hAnsi="Times New Roman" w:cs="Times New Roman"/>
          <w:sz w:val="24"/>
          <w:szCs w:val="24"/>
        </w:rPr>
        <w:t xml:space="preserve"> </w:t>
      </w:r>
      <w:r w:rsidR="00447D60" w:rsidRPr="00447D60">
        <w:rPr>
          <w:rFonts w:ascii="Times New Roman" w:hAnsi="Times New Roman" w:cs="Times New Roman"/>
          <w:sz w:val="24"/>
          <w:szCs w:val="24"/>
        </w:rPr>
        <w:t>grave, injustificada e juridicamente</w:t>
      </w:r>
      <w:r w:rsidR="00447D60">
        <w:rPr>
          <w:rFonts w:ascii="Times New Roman" w:hAnsi="Times New Roman" w:cs="Times New Roman"/>
          <w:sz w:val="24"/>
          <w:szCs w:val="24"/>
        </w:rPr>
        <w:t xml:space="preserve"> </w:t>
      </w:r>
      <w:r w:rsidR="00447D60" w:rsidRPr="00447D60">
        <w:rPr>
          <w:rFonts w:ascii="Times New Roman" w:hAnsi="Times New Roman" w:cs="Times New Roman"/>
          <w:sz w:val="24"/>
          <w:szCs w:val="24"/>
        </w:rPr>
        <w:t>relevante no cumprimento dos deveres</w:t>
      </w:r>
      <w:r w:rsidR="00447D60">
        <w:rPr>
          <w:rFonts w:ascii="Times New Roman" w:hAnsi="Times New Roman" w:cs="Times New Roman"/>
          <w:sz w:val="24"/>
          <w:szCs w:val="24"/>
        </w:rPr>
        <w:t xml:space="preserve"> </w:t>
      </w:r>
      <w:r w:rsidR="00447D60" w:rsidRPr="00447D60">
        <w:rPr>
          <w:rFonts w:ascii="Times New Roman" w:hAnsi="Times New Roman" w:cs="Times New Roman"/>
          <w:sz w:val="24"/>
          <w:szCs w:val="24"/>
        </w:rPr>
        <w:t>parentais de cuidado, orientação, presença e</w:t>
      </w:r>
      <w:r w:rsidR="00447D60">
        <w:rPr>
          <w:rFonts w:ascii="Times New Roman" w:hAnsi="Times New Roman" w:cs="Times New Roman"/>
          <w:sz w:val="24"/>
          <w:szCs w:val="24"/>
        </w:rPr>
        <w:t xml:space="preserve"> </w:t>
      </w:r>
      <w:r w:rsidR="00447D60" w:rsidRPr="00447D60">
        <w:rPr>
          <w:rFonts w:ascii="Times New Roman" w:hAnsi="Times New Roman" w:cs="Times New Roman"/>
          <w:sz w:val="24"/>
          <w:szCs w:val="24"/>
        </w:rPr>
        <w:t>assistência moral, quando apta a causar</w:t>
      </w:r>
      <w:r w:rsidR="00447D60">
        <w:rPr>
          <w:rFonts w:ascii="Times New Roman" w:hAnsi="Times New Roman" w:cs="Times New Roman"/>
          <w:sz w:val="24"/>
          <w:szCs w:val="24"/>
        </w:rPr>
        <w:t xml:space="preserve"> </w:t>
      </w:r>
      <w:r w:rsidR="00447D60" w:rsidRPr="00447D60">
        <w:rPr>
          <w:rFonts w:ascii="Times New Roman" w:hAnsi="Times New Roman" w:cs="Times New Roman"/>
          <w:sz w:val="24"/>
          <w:szCs w:val="24"/>
        </w:rPr>
        <w:t>lesão à personalidade da criança ou do</w:t>
      </w:r>
      <w:r w:rsidR="00447D60">
        <w:rPr>
          <w:rFonts w:ascii="Times New Roman" w:hAnsi="Times New Roman" w:cs="Times New Roman"/>
          <w:sz w:val="24"/>
          <w:szCs w:val="24"/>
        </w:rPr>
        <w:t xml:space="preserve"> </w:t>
      </w:r>
      <w:r w:rsidR="00447D60" w:rsidRPr="00447D60">
        <w:rPr>
          <w:rFonts w:ascii="Times New Roman" w:hAnsi="Times New Roman" w:cs="Times New Roman"/>
          <w:sz w:val="24"/>
          <w:szCs w:val="24"/>
        </w:rPr>
        <w:t>adolescente</w:t>
      </w:r>
      <w:r>
        <w:rPr>
          <w:rFonts w:ascii="Times New Roman" w:hAnsi="Times New Roman" w:cs="Times New Roman"/>
          <w:sz w:val="24"/>
          <w:szCs w:val="24"/>
        </w:rPr>
        <w:t>”</w:t>
      </w:r>
      <w:r w:rsidR="00447D60" w:rsidRPr="00447D60">
        <w:rPr>
          <w:rFonts w:ascii="Times New Roman" w:hAnsi="Times New Roman" w:cs="Times New Roman"/>
          <w:sz w:val="24"/>
          <w:szCs w:val="24"/>
        </w:rPr>
        <w:t>.</w:t>
      </w:r>
      <w:r>
        <w:rPr>
          <w:rFonts w:ascii="Times New Roman" w:hAnsi="Times New Roman" w:cs="Times New Roman"/>
          <w:sz w:val="24"/>
          <w:szCs w:val="24"/>
        </w:rPr>
        <w:t xml:space="preserve"> Foi afastada, assim, a tese dos danos morais presumid</w:t>
      </w:r>
      <w:r w:rsidR="00614366">
        <w:rPr>
          <w:rFonts w:ascii="Times New Roman" w:hAnsi="Times New Roman" w:cs="Times New Roman"/>
          <w:sz w:val="24"/>
          <w:szCs w:val="24"/>
        </w:rPr>
        <w:t>o</w:t>
      </w:r>
      <w:r>
        <w:rPr>
          <w:rFonts w:ascii="Times New Roman" w:hAnsi="Times New Roman" w:cs="Times New Roman"/>
          <w:sz w:val="24"/>
          <w:szCs w:val="24"/>
        </w:rPr>
        <w:t xml:space="preserve">s ou </w:t>
      </w:r>
      <w:r w:rsidRPr="00A1578D">
        <w:rPr>
          <w:rFonts w:ascii="Times New Roman" w:hAnsi="Times New Roman" w:cs="Times New Roman"/>
          <w:i/>
          <w:iCs/>
          <w:sz w:val="24"/>
          <w:szCs w:val="24"/>
        </w:rPr>
        <w:t>in re ipsa</w:t>
      </w:r>
      <w:r>
        <w:rPr>
          <w:rFonts w:ascii="Times New Roman" w:hAnsi="Times New Roman" w:cs="Times New Roman"/>
          <w:sz w:val="24"/>
          <w:szCs w:val="24"/>
        </w:rPr>
        <w:t xml:space="preserve"> em decorrência do abandono afetivo, posição que igualmente tem prevalecido no Superior Tribunal de Justiça</w:t>
      </w:r>
      <w:r w:rsidR="00412ABA">
        <w:rPr>
          <w:rFonts w:ascii="Times New Roman" w:hAnsi="Times New Roman" w:cs="Times New Roman"/>
          <w:sz w:val="24"/>
          <w:szCs w:val="24"/>
        </w:rPr>
        <w:t xml:space="preserve"> há tempos e que tende a ser mantida, mesmo com a nova lei</w:t>
      </w:r>
      <w:r>
        <w:rPr>
          <w:rFonts w:ascii="Times New Roman" w:hAnsi="Times New Roman" w:cs="Times New Roman"/>
          <w:sz w:val="24"/>
          <w:szCs w:val="24"/>
        </w:rPr>
        <w:t xml:space="preserve">. </w:t>
      </w:r>
    </w:p>
    <w:p w14:paraId="0FAB5B04" w14:textId="53966F0C" w:rsidR="00447D60" w:rsidRDefault="003079E0" w:rsidP="00447D60">
      <w:pPr>
        <w:pStyle w:val="t"/>
        <w:spacing w:before="120" w:after="120" w:line="360" w:lineRule="auto"/>
        <w:ind w:firstLine="1701"/>
        <w:rPr>
          <w:rFonts w:ascii="Times New Roman" w:hAnsi="Times New Roman" w:cs="Times New Roman"/>
          <w:sz w:val="24"/>
          <w:szCs w:val="24"/>
        </w:rPr>
      </w:pPr>
      <w:r>
        <w:rPr>
          <w:rFonts w:ascii="Times New Roman" w:hAnsi="Times New Roman" w:cs="Times New Roman"/>
          <w:sz w:val="24"/>
          <w:szCs w:val="24"/>
        </w:rPr>
        <w:t>Conforme se retira</w:t>
      </w:r>
      <w:r w:rsidR="00A1578D">
        <w:rPr>
          <w:rFonts w:ascii="Times New Roman" w:hAnsi="Times New Roman" w:cs="Times New Roman"/>
          <w:sz w:val="24"/>
          <w:szCs w:val="24"/>
        </w:rPr>
        <w:t xml:space="preserve"> </w:t>
      </w:r>
      <w:r w:rsidR="00614366">
        <w:rPr>
          <w:rFonts w:ascii="Times New Roman" w:hAnsi="Times New Roman" w:cs="Times New Roman"/>
          <w:sz w:val="24"/>
          <w:szCs w:val="24"/>
        </w:rPr>
        <w:t>d</w:t>
      </w:r>
      <w:r w:rsidR="00A1578D">
        <w:rPr>
          <w:rFonts w:ascii="Times New Roman" w:hAnsi="Times New Roman" w:cs="Times New Roman"/>
          <w:sz w:val="24"/>
          <w:szCs w:val="24"/>
        </w:rPr>
        <w:t xml:space="preserve">o último julgado </w:t>
      </w:r>
      <w:r w:rsidR="00412ABA">
        <w:rPr>
          <w:rFonts w:ascii="Times New Roman" w:hAnsi="Times New Roman" w:cs="Times New Roman"/>
          <w:sz w:val="24"/>
          <w:szCs w:val="24"/>
        </w:rPr>
        <w:t>transcrito</w:t>
      </w:r>
      <w:r w:rsidR="00A1578D">
        <w:rPr>
          <w:rFonts w:ascii="Times New Roman" w:hAnsi="Times New Roman" w:cs="Times New Roman"/>
          <w:sz w:val="24"/>
          <w:szCs w:val="24"/>
        </w:rPr>
        <w:t xml:space="preserve">, </w:t>
      </w:r>
      <w:r w:rsidR="00447D60">
        <w:rPr>
          <w:rFonts w:ascii="Times New Roman" w:hAnsi="Times New Roman" w:cs="Times New Roman"/>
          <w:sz w:val="24"/>
          <w:szCs w:val="24"/>
        </w:rPr>
        <w:t xml:space="preserve"> </w:t>
      </w:r>
      <w:r w:rsidR="00A1578D">
        <w:rPr>
          <w:rFonts w:ascii="Times New Roman" w:hAnsi="Times New Roman" w:cs="Times New Roman"/>
          <w:sz w:val="24"/>
          <w:szCs w:val="24"/>
        </w:rPr>
        <w:t>“a</w:t>
      </w:r>
      <w:r w:rsidR="00A1578D" w:rsidRPr="00A1578D">
        <w:rPr>
          <w:rFonts w:ascii="Times New Roman" w:hAnsi="Times New Roman" w:cs="Times New Roman"/>
          <w:sz w:val="24"/>
          <w:szCs w:val="24"/>
        </w:rPr>
        <w:t xml:space="preserve"> indenização por dano moral, no âmbito das relações familiares, pressupõe a prática de ato ilícito. </w:t>
      </w:r>
      <w:r w:rsidR="00A1578D">
        <w:rPr>
          <w:rFonts w:ascii="Times New Roman" w:hAnsi="Times New Roman" w:cs="Times New Roman"/>
          <w:sz w:val="24"/>
          <w:szCs w:val="24"/>
        </w:rPr>
        <w:t xml:space="preserve">(...). </w:t>
      </w:r>
      <w:r w:rsidR="00A1578D" w:rsidRPr="00A1578D">
        <w:rPr>
          <w:rFonts w:ascii="Times New Roman" w:hAnsi="Times New Roman" w:cs="Times New Roman"/>
          <w:sz w:val="24"/>
          <w:szCs w:val="24"/>
        </w:rPr>
        <w:t>O dever de cuidado compreende o dever de sustento, guarda e educação dos filhos. Não há dever jurídico de cuidar afetuosamente, de modo que o abandono afetivo, se cumpridos os deveres de sustento, guarda e educação da prole, ou de prover as necessidades de filhos maiores e pais, em situação de vulnerabilidade, não configura dano moral indenizável. Precedentes da 4ª Turma</w:t>
      </w:r>
      <w:r w:rsidR="00A1578D">
        <w:rPr>
          <w:rFonts w:ascii="Times New Roman" w:hAnsi="Times New Roman" w:cs="Times New Roman"/>
          <w:sz w:val="24"/>
          <w:szCs w:val="24"/>
        </w:rPr>
        <w:t xml:space="preserve">” </w:t>
      </w:r>
      <w:r w:rsidR="00A1578D" w:rsidRPr="00A1578D">
        <w:rPr>
          <w:rFonts w:ascii="Times New Roman" w:hAnsi="Times New Roman" w:cs="Times New Roman"/>
          <w:sz w:val="24"/>
          <w:szCs w:val="24"/>
        </w:rPr>
        <w:t>(</w:t>
      </w:r>
      <w:r w:rsidR="00A1578D">
        <w:rPr>
          <w:rFonts w:ascii="Times New Roman" w:hAnsi="Times New Roman" w:cs="Times New Roman"/>
          <w:sz w:val="24"/>
          <w:szCs w:val="24"/>
        </w:rPr>
        <w:t xml:space="preserve">STJ, </w:t>
      </w:r>
      <w:r w:rsidR="00A1578D" w:rsidRPr="00A1578D">
        <w:rPr>
          <w:rFonts w:ascii="Times New Roman" w:hAnsi="Times New Roman" w:cs="Times New Roman"/>
          <w:sz w:val="24"/>
          <w:szCs w:val="24"/>
        </w:rPr>
        <w:t>REsp n. 1.579.021/RS, relatora Ministra Maria Isabel Gallotti, Quarta Turma, julgado em 19/10/2017, DJe de 29/11/2017)</w:t>
      </w:r>
      <w:r w:rsidR="00A1578D">
        <w:rPr>
          <w:rFonts w:ascii="Times New Roman" w:hAnsi="Times New Roman" w:cs="Times New Roman"/>
          <w:sz w:val="24"/>
          <w:szCs w:val="24"/>
        </w:rPr>
        <w:t>.</w:t>
      </w:r>
    </w:p>
    <w:p w14:paraId="4F590A30" w14:textId="199CE045" w:rsidR="003079E0" w:rsidRDefault="00B331DE" w:rsidP="003079E0">
      <w:pPr>
        <w:pStyle w:val="t"/>
        <w:spacing w:before="120" w:after="120" w:line="360" w:lineRule="auto"/>
        <w:ind w:firstLine="1701"/>
        <w:rPr>
          <w:rFonts w:ascii="Times New Roman" w:hAnsi="Times New Roman" w:cs="Times New Roman"/>
          <w:sz w:val="24"/>
          <w:szCs w:val="24"/>
        </w:rPr>
      </w:pPr>
      <w:r>
        <w:rPr>
          <w:rFonts w:ascii="Times New Roman" w:hAnsi="Times New Roman" w:cs="Times New Roman"/>
          <w:sz w:val="24"/>
          <w:szCs w:val="24"/>
        </w:rPr>
        <w:t>No mesmo sentido, c</w:t>
      </w:r>
      <w:r w:rsidR="003079E0">
        <w:rPr>
          <w:rFonts w:ascii="Times New Roman" w:hAnsi="Times New Roman" w:cs="Times New Roman"/>
          <w:sz w:val="24"/>
          <w:szCs w:val="24"/>
        </w:rPr>
        <w:t xml:space="preserve">omo está na ferramenta </w:t>
      </w:r>
      <w:r w:rsidR="003079E0" w:rsidRPr="00B331DE">
        <w:rPr>
          <w:rFonts w:ascii="Times New Roman" w:hAnsi="Times New Roman" w:cs="Times New Roman"/>
          <w:i/>
          <w:iCs/>
          <w:sz w:val="24"/>
          <w:szCs w:val="24"/>
        </w:rPr>
        <w:t>Jurisprudência em Teses</w:t>
      </w:r>
      <w:r w:rsidR="003079E0">
        <w:rPr>
          <w:rFonts w:ascii="Times New Roman" w:hAnsi="Times New Roman" w:cs="Times New Roman"/>
          <w:sz w:val="24"/>
          <w:szCs w:val="24"/>
        </w:rPr>
        <w:t xml:space="preserve"> do STJ, em sua Edição n. 125, dedicada à Responsabilidade Civil por Dano Moral, “o</w:t>
      </w:r>
      <w:r w:rsidR="003079E0" w:rsidRPr="003079E0">
        <w:rPr>
          <w:rFonts w:ascii="Times New Roman" w:hAnsi="Times New Roman" w:cs="Times New Roman"/>
          <w:sz w:val="24"/>
          <w:szCs w:val="24"/>
        </w:rPr>
        <w:t xml:space="preserve"> abandono afetivo de filho, em regra, não gera dano moral indenizável, podendo, em hipóteses excepcionais, se comprovada a ocorrência de ilícito civil que ultrapasse o mero dissabor, ser reconhecida a existência do dever de indenizar</w:t>
      </w:r>
      <w:r w:rsidR="003079E0">
        <w:rPr>
          <w:rFonts w:ascii="Times New Roman" w:hAnsi="Times New Roman" w:cs="Times New Roman"/>
          <w:sz w:val="24"/>
          <w:szCs w:val="24"/>
        </w:rPr>
        <w:t xml:space="preserve">” (tese n. 7). O enunciado aprovado na </w:t>
      </w:r>
      <w:r w:rsidR="003079E0" w:rsidRPr="003079E0">
        <w:rPr>
          <w:rFonts w:ascii="Times New Roman" w:hAnsi="Times New Roman" w:cs="Times New Roman"/>
          <w:i/>
          <w:iCs/>
          <w:sz w:val="24"/>
          <w:szCs w:val="24"/>
        </w:rPr>
        <w:t>X Jornada de Direito Civil</w:t>
      </w:r>
      <w:r w:rsidR="003079E0">
        <w:rPr>
          <w:rFonts w:ascii="Times New Roman" w:hAnsi="Times New Roman" w:cs="Times New Roman"/>
          <w:sz w:val="24"/>
          <w:szCs w:val="24"/>
        </w:rPr>
        <w:t>, portanto, confirma esse entendimento</w:t>
      </w:r>
      <w:r>
        <w:rPr>
          <w:rFonts w:ascii="Times New Roman" w:hAnsi="Times New Roman" w:cs="Times New Roman"/>
          <w:sz w:val="24"/>
          <w:szCs w:val="24"/>
        </w:rPr>
        <w:t xml:space="preserve"> jurisprudencial</w:t>
      </w:r>
      <w:r w:rsidR="003079E0">
        <w:rPr>
          <w:rFonts w:ascii="Times New Roman" w:hAnsi="Times New Roman" w:cs="Times New Roman"/>
          <w:sz w:val="24"/>
          <w:szCs w:val="24"/>
        </w:rPr>
        <w:t>, retirado dos seguintes acórdãos que são citados como paradigmas</w:t>
      </w:r>
      <w:r>
        <w:rPr>
          <w:rFonts w:ascii="Times New Roman" w:hAnsi="Times New Roman" w:cs="Times New Roman"/>
          <w:sz w:val="24"/>
          <w:szCs w:val="24"/>
        </w:rPr>
        <w:t xml:space="preserve"> da tese</w:t>
      </w:r>
      <w:r w:rsidR="003079E0">
        <w:rPr>
          <w:rFonts w:ascii="Times New Roman" w:hAnsi="Times New Roman" w:cs="Times New Roman"/>
          <w:sz w:val="24"/>
          <w:szCs w:val="24"/>
        </w:rPr>
        <w:t xml:space="preserve">: </w:t>
      </w:r>
      <w:r w:rsidR="003079E0" w:rsidRPr="003079E0">
        <w:rPr>
          <w:rFonts w:ascii="Times New Roman" w:hAnsi="Times New Roman" w:cs="Times New Roman"/>
          <w:sz w:val="24"/>
          <w:szCs w:val="24"/>
        </w:rPr>
        <w:t>Ag</w:t>
      </w:r>
      <w:r w:rsidR="003079E0">
        <w:rPr>
          <w:rFonts w:ascii="Times New Roman" w:hAnsi="Times New Roman" w:cs="Times New Roman"/>
          <w:sz w:val="24"/>
          <w:szCs w:val="24"/>
        </w:rPr>
        <w:t xml:space="preserve">. </w:t>
      </w:r>
      <w:r w:rsidR="003079E0" w:rsidRPr="003079E0">
        <w:rPr>
          <w:rFonts w:ascii="Times New Roman" w:hAnsi="Times New Roman" w:cs="Times New Roman"/>
          <w:sz w:val="24"/>
          <w:szCs w:val="24"/>
        </w:rPr>
        <w:t>Int</w:t>
      </w:r>
      <w:r w:rsidR="003079E0">
        <w:rPr>
          <w:rFonts w:ascii="Times New Roman" w:hAnsi="Times New Roman" w:cs="Times New Roman"/>
          <w:sz w:val="24"/>
          <w:szCs w:val="24"/>
        </w:rPr>
        <w:t>.</w:t>
      </w:r>
      <w:r w:rsidR="003079E0" w:rsidRPr="003079E0">
        <w:rPr>
          <w:rFonts w:ascii="Times New Roman" w:hAnsi="Times New Roman" w:cs="Times New Roman"/>
          <w:sz w:val="24"/>
          <w:szCs w:val="24"/>
        </w:rPr>
        <w:t xml:space="preserve"> no AREsp</w:t>
      </w:r>
      <w:r w:rsidR="003079E0">
        <w:rPr>
          <w:rFonts w:ascii="Times New Roman" w:hAnsi="Times New Roman" w:cs="Times New Roman"/>
          <w:sz w:val="24"/>
          <w:szCs w:val="24"/>
        </w:rPr>
        <w:t>.</w:t>
      </w:r>
      <w:r w:rsidR="003079E0" w:rsidRPr="003079E0">
        <w:rPr>
          <w:rFonts w:ascii="Times New Roman" w:hAnsi="Times New Roman" w:cs="Times New Roman"/>
          <w:sz w:val="24"/>
          <w:szCs w:val="24"/>
        </w:rPr>
        <w:t xml:space="preserve"> 492243/SP, Rel. Ministro MARCO BUZZI, QUARTA TURMA, DJe 12/06/2018</w:t>
      </w:r>
      <w:r w:rsidR="003079E0">
        <w:rPr>
          <w:rFonts w:ascii="Times New Roman" w:hAnsi="Times New Roman" w:cs="Times New Roman"/>
          <w:sz w:val="24"/>
          <w:szCs w:val="24"/>
        </w:rPr>
        <w:t xml:space="preserve">; </w:t>
      </w:r>
      <w:r w:rsidR="003079E0" w:rsidRPr="003079E0">
        <w:rPr>
          <w:rFonts w:ascii="Times New Roman" w:hAnsi="Times New Roman" w:cs="Times New Roman"/>
          <w:sz w:val="24"/>
          <w:szCs w:val="24"/>
        </w:rPr>
        <w:t>REsp</w:t>
      </w:r>
      <w:r w:rsidR="003079E0">
        <w:rPr>
          <w:rFonts w:ascii="Times New Roman" w:hAnsi="Times New Roman" w:cs="Times New Roman"/>
          <w:sz w:val="24"/>
          <w:szCs w:val="24"/>
        </w:rPr>
        <w:t>.</w:t>
      </w:r>
      <w:r w:rsidR="003079E0" w:rsidRPr="003079E0">
        <w:rPr>
          <w:rFonts w:ascii="Times New Roman" w:hAnsi="Times New Roman" w:cs="Times New Roman"/>
          <w:sz w:val="24"/>
          <w:szCs w:val="24"/>
        </w:rPr>
        <w:t xml:space="preserve"> 1</w:t>
      </w:r>
      <w:r w:rsidR="003079E0">
        <w:rPr>
          <w:rFonts w:ascii="Times New Roman" w:hAnsi="Times New Roman" w:cs="Times New Roman"/>
          <w:sz w:val="24"/>
          <w:szCs w:val="24"/>
        </w:rPr>
        <w:t>.</w:t>
      </w:r>
      <w:r w:rsidR="003079E0" w:rsidRPr="003079E0">
        <w:rPr>
          <w:rFonts w:ascii="Times New Roman" w:hAnsi="Times New Roman" w:cs="Times New Roman"/>
          <w:sz w:val="24"/>
          <w:szCs w:val="24"/>
        </w:rPr>
        <w:t>579</w:t>
      </w:r>
      <w:r w:rsidR="003079E0">
        <w:rPr>
          <w:rFonts w:ascii="Times New Roman" w:hAnsi="Times New Roman" w:cs="Times New Roman"/>
          <w:sz w:val="24"/>
          <w:szCs w:val="24"/>
        </w:rPr>
        <w:t>.</w:t>
      </w:r>
      <w:r w:rsidR="003079E0" w:rsidRPr="003079E0">
        <w:rPr>
          <w:rFonts w:ascii="Times New Roman" w:hAnsi="Times New Roman" w:cs="Times New Roman"/>
          <w:sz w:val="24"/>
          <w:szCs w:val="24"/>
        </w:rPr>
        <w:t>021/RS, Rel. Ministra MARIA ISABEL GALLOTTI, QUARTA TURMA, DJe 29/11/2017</w:t>
      </w:r>
      <w:r w:rsidR="003079E0">
        <w:rPr>
          <w:rFonts w:ascii="Times New Roman" w:hAnsi="Times New Roman" w:cs="Times New Roman"/>
          <w:sz w:val="24"/>
          <w:szCs w:val="24"/>
        </w:rPr>
        <w:t xml:space="preserve">; </w:t>
      </w:r>
      <w:r w:rsidR="003079E0" w:rsidRPr="003079E0">
        <w:rPr>
          <w:rFonts w:ascii="Times New Roman" w:hAnsi="Times New Roman" w:cs="Times New Roman"/>
          <w:sz w:val="24"/>
          <w:szCs w:val="24"/>
        </w:rPr>
        <w:t>REsp</w:t>
      </w:r>
      <w:r w:rsidR="003079E0">
        <w:rPr>
          <w:rFonts w:ascii="Times New Roman" w:hAnsi="Times New Roman" w:cs="Times New Roman"/>
          <w:sz w:val="24"/>
          <w:szCs w:val="24"/>
        </w:rPr>
        <w:t>.</w:t>
      </w:r>
      <w:r w:rsidR="003079E0" w:rsidRPr="003079E0">
        <w:rPr>
          <w:rFonts w:ascii="Times New Roman" w:hAnsi="Times New Roman" w:cs="Times New Roman"/>
          <w:sz w:val="24"/>
          <w:szCs w:val="24"/>
        </w:rPr>
        <w:t xml:space="preserve"> 1</w:t>
      </w:r>
      <w:r w:rsidR="003079E0">
        <w:rPr>
          <w:rFonts w:ascii="Times New Roman" w:hAnsi="Times New Roman" w:cs="Times New Roman"/>
          <w:sz w:val="24"/>
          <w:szCs w:val="24"/>
        </w:rPr>
        <w:t>.</w:t>
      </w:r>
      <w:r w:rsidR="003079E0" w:rsidRPr="003079E0">
        <w:rPr>
          <w:rFonts w:ascii="Times New Roman" w:hAnsi="Times New Roman" w:cs="Times New Roman"/>
          <w:sz w:val="24"/>
          <w:szCs w:val="24"/>
        </w:rPr>
        <w:t>087</w:t>
      </w:r>
      <w:r w:rsidR="003079E0">
        <w:rPr>
          <w:rFonts w:ascii="Times New Roman" w:hAnsi="Times New Roman" w:cs="Times New Roman"/>
          <w:sz w:val="24"/>
          <w:szCs w:val="24"/>
        </w:rPr>
        <w:t>.</w:t>
      </w:r>
      <w:r w:rsidR="003079E0" w:rsidRPr="003079E0">
        <w:rPr>
          <w:rFonts w:ascii="Times New Roman" w:hAnsi="Times New Roman" w:cs="Times New Roman"/>
          <w:sz w:val="24"/>
          <w:szCs w:val="24"/>
        </w:rPr>
        <w:t>561/RS, Rel. Ministro RAUL ARAÚJO, QUARTA TURMA, DJe 18/08/2017</w:t>
      </w:r>
      <w:r w:rsidR="003079E0">
        <w:rPr>
          <w:rFonts w:ascii="Times New Roman" w:hAnsi="Times New Roman" w:cs="Times New Roman"/>
          <w:sz w:val="24"/>
          <w:szCs w:val="24"/>
        </w:rPr>
        <w:t xml:space="preserve">; </w:t>
      </w:r>
      <w:r w:rsidR="003079E0" w:rsidRPr="003079E0">
        <w:rPr>
          <w:rFonts w:ascii="Times New Roman" w:hAnsi="Times New Roman" w:cs="Times New Roman"/>
          <w:sz w:val="24"/>
          <w:szCs w:val="24"/>
        </w:rPr>
        <w:t>Ag</w:t>
      </w:r>
      <w:r w:rsidR="003079E0">
        <w:rPr>
          <w:rFonts w:ascii="Times New Roman" w:hAnsi="Times New Roman" w:cs="Times New Roman"/>
          <w:sz w:val="24"/>
          <w:szCs w:val="24"/>
        </w:rPr>
        <w:t xml:space="preserve">. </w:t>
      </w:r>
      <w:r w:rsidR="003079E0" w:rsidRPr="003079E0">
        <w:rPr>
          <w:rFonts w:ascii="Times New Roman" w:hAnsi="Times New Roman" w:cs="Times New Roman"/>
          <w:sz w:val="24"/>
          <w:szCs w:val="24"/>
        </w:rPr>
        <w:t>Rg</w:t>
      </w:r>
      <w:r w:rsidR="003079E0">
        <w:rPr>
          <w:rFonts w:ascii="Times New Roman" w:hAnsi="Times New Roman" w:cs="Times New Roman"/>
          <w:sz w:val="24"/>
          <w:szCs w:val="24"/>
        </w:rPr>
        <w:t>.</w:t>
      </w:r>
      <w:r w:rsidR="003079E0" w:rsidRPr="003079E0">
        <w:rPr>
          <w:rFonts w:ascii="Times New Roman" w:hAnsi="Times New Roman" w:cs="Times New Roman"/>
          <w:sz w:val="24"/>
          <w:szCs w:val="24"/>
        </w:rPr>
        <w:t xml:space="preserve"> no AREsp 811</w:t>
      </w:r>
      <w:r w:rsidR="003079E0">
        <w:rPr>
          <w:rFonts w:ascii="Times New Roman" w:hAnsi="Times New Roman" w:cs="Times New Roman"/>
          <w:sz w:val="24"/>
          <w:szCs w:val="24"/>
        </w:rPr>
        <w:t>.</w:t>
      </w:r>
      <w:r w:rsidR="003079E0" w:rsidRPr="003079E0">
        <w:rPr>
          <w:rFonts w:ascii="Times New Roman" w:hAnsi="Times New Roman" w:cs="Times New Roman"/>
          <w:sz w:val="24"/>
          <w:szCs w:val="24"/>
        </w:rPr>
        <w:t>059/RS, Rel. Ministro MARCO AURÉLIO BELLIZZE, TERCEIRA TURMA, DJe 27/05/2016</w:t>
      </w:r>
      <w:r w:rsidR="003079E0">
        <w:rPr>
          <w:rFonts w:ascii="Times New Roman" w:hAnsi="Times New Roman" w:cs="Times New Roman"/>
          <w:sz w:val="24"/>
          <w:szCs w:val="24"/>
        </w:rPr>
        <w:t xml:space="preserve">; </w:t>
      </w:r>
      <w:r w:rsidR="003079E0" w:rsidRPr="003079E0">
        <w:rPr>
          <w:rFonts w:ascii="Times New Roman" w:hAnsi="Times New Roman" w:cs="Times New Roman"/>
          <w:sz w:val="24"/>
          <w:szCs w:val="24"/>
        </w:rPr>
        <w:t>REsp</w:t>
      </w:r>
      <w:r w:rsidR="003079E0">
        <w:rPr>
          <w:rFonts w:ascii="Times New Roman" w:hAnsi="Times New Roman" w:cs="Times New Roman"/>
          <w:sz w:val="24"/>
          <w:szCs w:val="24"/>
        </w:rPr>
        <w:t>.</w:t>
      </w:r>
      <w:r w:rsidR="003079E0" w:rsidRPr="003079E0">
        <w:rPr>
          <w:rFonts w:ascii="Times New Roman" w:hAnsi="Times New Roman" w:cs="Times New Roman"/>
          <w:sz w:val="24"/>
          <w:szCs w:val="24"/>
        </w:rPr>
        <w:t xml:space="preserve"> 1</w:t>
      </w:r>
      <w:r w:rsidR="003079E0">
        <w:rPr>
          <w:rFonts w:ascii="Times New Roman" w:hAnsi="Times New Roman" w:cs="Times New Roman"/>
          <w:sz w:val="24"/>
          <w:szCs w:val="24"/>
        </w:rPr>
        <w:t>.</w:t>
      </w:r>
      <w:r w:rsidR="003079E0" w:rsidRPr="003079E0">
        <w:rPr>
          <w:rFonts w:ascii="Times New Roman" w:hAnsi="Times New Roman" w:cs="Times New Roman"/>
          <w:sz w:val="24"/>
          <w:szCs w:val="24"/>
        </w:rPr>
        <w:t>493</w:t>
      </w:r>
      <w:r w:rsidR="003079E0">
        <w:rPr>
          <w:rFonts w:ascii="Times New Roman" w:hAnsi="Times New Roman" w:cs="Times New Roman"/>
          <w:sz w:val="24"/>
          <w:szCs w:val="24"/>
        </w:rPr>
        <w:t>.</w:t>
      </w:r>
      <w:r w:rsidR="003079E0" w:rsidRPr="003079E0">
        <w:rPr>
          <w:rFonts w:ascii="Times New Roman" w:hAnsi="Times New Roman" w:cs="Times New Roman"/>
          <w:sz w:val="24"/>
          <w:szCs w:val="24"/>
        </w:rPr>
        <w:t>125/SP, Rel. Ministro RICARDO VILLAS BÔAS CUEVA, TERCEIRA TURMA, DJe 01/03/2016</w:t>
      </w:r>
      <w:r w:rsidR="003079E0">
        <w:rPr>
          <w:rFonts w:ascii="Times New Roman" w:hAnsi="Times New Roman" w:cs="Times New Roman"/>
          <w:sz w:val="24"/>
          <w:szCs w:val="24"/>
        </w:rPr>
        <w:t xml:space="preserve"> e </w:t>
      </w:r>
      <w:r w:rsidR="003079E0" w:rsidRPr="003079E0">
        <w:rPr>
          <w:rFonts w:ascii="Times New Roman" w:hAnsi="Times New Roman" w:cs="Times New Roman"/>
          <w:sz w:val="24"/>
          <w:szCs w:val="24"/>
        </w:rPr>
        <w:t>REsp</w:t>
      </w:r>
      <w:r w:rsidR="003079E0">
        <w:rPr>
          <w:rFonts w:ascii="Times New Roman" w:hAnsi="Times New Roman" w:cs="Times New Roman"/>
          <w:sz w:val="24"/>
          <w:szCs w:val="24"/>
        </w:rPr>
        <w:t>.</w:t>
      </w:r>
      <w:r w:rsidR="003079E0" w:rsidRPr="003079E0">
        <w:rPr>
          <w:rFonts w:ascii="Times New Roman" w:hAnsi="Times New Roman" w:cs="Times New Roman"/>
          <w:sz w:val="24"/>
          <w:szCs w:val="24"/>
        </w:rPr>
        <w:t xml:space="preserve"> 1</w:t>
      </w:r>
      <w:r w:rsidR="003079E0">
        <w:rPr>
          <w:rFonts w:ascii="Times New Roman" w:hAnsi="Times New Roman" w:cs="Times New Roman"/>
          <w:sz w:val="24"/>
          <w:szCs w:val="24"/>
        </w:rPr>
        <w:t>.</w:t>
      </w:r>
      <w:r w:rsidR="003079E0" w:rsidRPr="003079E0">
        <w:rPr>
          <w:rFonts w:ascii="Times New Roman" w:hAnsi="Times New Roman" w:cs="Times New Roman"/>
          <w:sz w:val="24"/>
          <w:szCs w:val="24"/>
        </w:rPr>
        <w:t>557</w:t>
      </w:r>
      <w:r w:rsidR="003079E0">
        <w:rPr>
          <w:rFonts w:ascii="Times New Roman" w:hAnsi="Times New Roman" w:cs="Times New Roman"/>
          <w:sz w:val="24"/>
          <w:szCs w:val="24"/>
        </w:rPr>
        <w:t>.</w:t>
      </w:r>
      <w:r w:rsidR="003079E0" w:rsidRPr="003079E0">
        <w:rPr>
          <w:rFonts w:ascii="Times New Roman" w:hAnsi="Times New Roman" w:cs="Times New Roman"/>
          <w:sz w:val="24"/>
          <w:szCs w:val="24"/>
        </w:rPr>
        <w:t>978/DF, Rel. Ministro MOURA RIBEIRO, TERCEIRA TURMA, DJe 17/11/2015</w:t>
      </w:r>
      <w:r w:rsidR="003079E0">
        <w:rPr>
          <w:rFonts w:ascii="Times New Roman" w:hAnsi="Times New Roman" w:cs="Times New Roman"/>
          <w:sz w:val="24"/>
          <w:szCs w:val="24"/>
        </w:rPr>
        <w:t xml:space="preserve">. </w:t>
      </w:r>
    </w:p>
    <w:p w14:paraId="23615DEA" w14:textId="7EEA2022" w:rsidR="00B331DE" w:rsidRDefault="003079E0" w:rsidP="009A338E">
      <w:pPr>
        <w:pStyle w:val="t"/>
        <w:spacing w:before="120" w:after="120" w:line="360" w:lineRule="auto"/>
        <w:ind w:firstLine="1701"/>
        <w:rPr>
          <w:rFonts w:ascii="Times New Roman" w:hAnsi="Times New Roman" w:cs="Times New Roman"/>
          <w:sz w:val="24"/>
          <w:szCs w:val="24"/>
        </w:rPr>
      </w:pPr>
      <w:r>
        <w:rPr>
          <w:rFonts w:ascii="Times New Roman" w:hAnsi="Times New Roman" w:cs="Times New Roman"/>
          <w:sz w:val="24"/>
          <w:szCs w:val="24"/>
        </w:rPr>
        <w:t>Entretanto, o dano moral presumido foi reconhecido em outro enunciado</w:t>
      </w:r>
      <w:r w:rsidR="00B331DE">
        <w:rPr>
          <w:rFonts w:ascii="Times New Roman" w:hAnsi="Times New Roman" w:cs="Times New Roman"/>
          <w:sz w:val="24"/>
          <w:szCs w:val="24"/>
        </w:rPr>
        <w:t xml:space="preserve"> da comissão de responsabilidade civil</w:t>
      </w:r>
      <w:r>
        <w:rPr>
          <w:rFonts w:ascii="Times New Roman" w:hAnsi="Times New Roman" w:cs="Times New Roman"/>
          <w:sz w:val="24"/>
          <w:szCs w:val="24"/>
        </w:rPr>
        <w:t>, relativo à viol</w:t>
      </w:r>
      <w:r w:rsidR="00614366">
        <w:rPr>
          <w:rFonts w:ascii="Times New Roman" w:hAnsi="Times New Roman" w:cs="Times New Roman"/>
          <w:sz w:val="24"/>
          <w:szCs w:val="24"/>
        </w:rPr>
        <w:t>ência</w:t>
      </w:r>
      <w:r>
        <w:rPr>
          <w:rFonts w:ascii="Times New Roman" w:hAnsi="Times New Roman" w:cs="Times New Roman"/>
          <w:sz w:val="24"/>
          <w:szCs w:val="24"/>
        </w:rPr>
        <w:t xml:space="preserve"> doméstica, que ampara também os prejuízos extrapatrimoniais indiretos, ou </w:t>
      </w:r>
      <w:r w:rsidRPr="003079E0">
        <w:rPr>
          <w:rFonts w:ascii="Times New Roman" w:hAnsi="Times New Roman" w:cs="Times New Roman"/>
          <w:i/>
          <w:iCs/>
          <w:sz w:val="24"/>
          <w:szCs w:val="24"/>
        </w:rPr>
        <w:t xml:space="preserve">em ricochete, </w:t>
      </w:r>
      <w:r>
        <w:rPr>
          <w:rFonts w:ascii="Times New Roman" w:hAnsi="Times New Roman" w:cs="Times New Roman"/>
          <w:sz w:val="24"/>
          <w:szCs w:val="24"/>
        </w:rPr>
        <w:t>sofridos pelos filhos: “o</w:t>
      </w:r>
      <w:r w:rsidR="00447D60" w:rsidRPr="00447D60">
        <w:rPr>
          <w:rFonts w:ascii="Times New Roman" w:hAnsi="Times New Roman" w:cs="Times New Roman"/>
          <w:sz w:val="24"/>
          <w:szCs w:val="24"/>
        </w:rPr>
        <w:t xml:space="preserve"> reconhecimento do dano moral</w:t>
      </w:r>
      <w:r w:rsidR="00447D60">
        <w:rPr>
          <w:rFonts w:ascii="Times New Roman" w:hAnsi="Times New Roman" w:cs="Times New Roman"/>
          <w:sz w:val="24"/>
          <w:szCs w:val="24"/>
        </w:rPr>
        <w:t xml:space="preserve"> </w:t>
      </w:r>
      <w:r w:rsidR="00447D60" w:rsidRPr="003079E0">
        <w:rPr>
          <w:rFonts w:ascii="Times New Roman" w:hAnsi="Times New Roman" w:cs="Times New Roman"/>
          <w:i/>
          <w:iCs/>
          <w:sz w:val="24"/>
          <w:szCs w:val="24"/>
        </w:rPr>
        <w:t>in re ipsa</w:t>
      </w:r>
      <w:r w:rsidR="00447D60" w:rsidRPr="00447D60">
        <w:rPr>
          <w:rFonts w:ascii="Times New Roman" w:hAnsi="Times New Roman" w:cs="Times New Roman"/>
          <w:sz w:val="24"/>
          <w:szCs w:val="24"/>
        </w:rPr>
        <w:t xml:space="preserve"> em favor da mulher vítima de</w:t>
      </w:r>
      <w:r w:rsidR="00447D60">
        <w:rPr>
          <w:rFonts w:ascii="Times New Roman" w:hAnsi="Times New Roman" w:cs="Times New Roman"/>
          <w:sz w:val="24"/>
          <w:szCs w:val="24"/>
        </w:rPr>
        <w:t xml:space="preserve"> </w:t>
      </w:r>
      <w:r w:rsidR="00447D60" w:rsidRPr="00447D60">
        <w:rPr>
          <w:rFonts w:ascii="Times New Roman" w:hAnsi="Times New Roman" w:cs="Times New Roman"/>
          <w:sz w:val="24"/>
          <w:szCs w:val="24"/>
        </w:rPr>
        <w:t>violência doméstica não exclui a</w:t>
      </w:r>
      <w:r w:rsidR="00447D60">
        <w:rPr>
          <w:rFonts w:ascii="Times New Roman" w:hAnsi="Times New Roman" w:cs="Times New Roman"/>
          <w:sz w:val="24"/>
          <w:szCs w:val="24"/>
        </w:rPr>
        <w:t xml:space="preserve"> </w:t>
      </w:r>
      <w:r w:rsidR="00447D60" w:rsidRPr="00447D60">
        <w:rPr>
          <w:rFonts w:ascii="Times New Roman" w:hAnsi="Times New Roman" w:cs="Times New Roman"/>
          <w:sz w:val="24"/>
          <w:szCs w:val="24"/>
        </w:rPr>
        <w:t>possibilidade de reparação por danos morais</w:t>
      </w:r>
      <w:r w:rsidR="00447D60">
        <w:rPr>
          <w:rFonts w:ascii="Times New Roman" w:hAnsi="Times New Roman" w:cs="Times New Roman"/>
          <w:sz w:val="24"/>
          <w:szCs w:val="24"/>
        </w:rPr>
        <w:t xml:space="preserve"> </w:t>
      </w:r>
      <w:r w:rsidR="00447D60" w:rsidRPr="00447D60">
        <w:rPr>
          <w:rFonts w:ascii="Times New Roman" w:hAnsi="Times New Roman" w:cs="Times New Roman"/>
          <w:sz w:val="24"/>
          <w:szCs w:val="24"/>
        </w:rPr>
        <w:t>reflexos aos filhos menores que presenciaram</w:t>
      </w:r>
      <w:r w:rsidR="00447D60">
        <w:rPr>
          <w:rFonts w:ascii="Times New Roman" w:hAnsi="Times New Roman" w:cs="Times New Roman"/>
          <w:sz w:val="24"/>
          <w:szCs w:val="24"/>
        </w:rPr>
        <w:t xml:space="preserve"> </w:t>
      </w:r>
      <w:r w:rsidR="00447D60" w:rsidRPr="00447D60">
        <w:rPr>
          <w:rFonts w:ascii="Times New Roman" w:hAnsi="Times New Roman" w:cs="Times New Roman"/>
          <w:sz w:val="24"/>
          <w:szCs w:val="24"/>
        </w:rPr>
        <w:t>a agressão</w:t>
      </w:r>
      <w:r>
        <w:rPr>
          <w:rFonts w:ascii="Times New Roman" w:hAnsi="Times New Roman" w:cs="Times New Roman"/>
          <w:sz w:val="24"/>
          <w:szCs w:val="24"/>
        </w:rPr>
        <w:t>”</w:t>
      </w:r>
      <w:r w:rsidR="00447D60" w:rsidRPr="00447D60">
        <w:rPr>
          <w:rFonts w:ascii="Times New Roman" w:hAnsi="Times New Roman" w:cs="Times New Roman"/>
          <w:sz w:val="24"/>
          <w:szCs w:val="24"/>
        </w:rPr>
        <w:t>.</w:t>
      </w:r>
      <w:r w:rsidR="00447D60">
        <w:rPr>
          <w:rFonts w:ascii="Times New Roman" w:hAnsi="Times New Roman" w:cs="Times New Roman"/>
          <w:sz w:val="24"/>
          <w:szCs w:val="24"/>
        </w:rPr>
        <w:t xml:space="preserve">  </w:t>
      </w:r>
    </w:p>
    <w:p w14:paraId="6FE36C3E" w14:textId="05394684" w:rsidR="009A338E" w:rsidRDefault="003079E0" w:rsidP="009A338E">
      <w:pPr>
        <w:pStyle w:val="t"/>
        <w:spacing w:before="120" w:after="120" w:line="360" w:lineRule="auto"/>
        <w:ind w:firstLine="1701"/>
        <w:rPr>
          <w:rFonts w:ascii="Times New Roman" w:hAnsi="Times New Roman" w:cs="Times New Roman"/>
          <w:sz w:val="24"/>
          <w:szCs w:val="24"/>
        </w:rPr>
      </w:pPr>
      <w:r>
        <w:rPr>
          <w:rFonts w:ascii="Times New Roman" w:hAnsi="Times New Roman" w:cs="Times New Roman"/>
          <w:sz w:val="24"/>
          <w:szCs w:val="24"/>
        </w:rPr>
        <w:t>Sobre a presunção do dano</w:t>
      </w:r>
      <w:r w:rsidR="00412ABA">
        <w:rPr>
          <w:rFonts w:ascii="Times New Roman" w:hAnsi="Times New Roman" w:cs="Times New Roman"/>
          <w:sz w:val="24"/>
          <w:szCs w:val="24"/>
        </w:rPr>
        <w:t xml:space="preserve"> em casos de violência doméstica</w:t>
      </w:r>
      <w:r>
        <w:rPr>
          <w:rFonts w:ascii="Times New Roman" w:hAnsi="Times New Roman" w:cs="Times New Roman"/>
          <w:sz w:val="24"/>
          <w:szCs w:val="24"/>
        </w:rPr>
        <w:t>, entre os vários julgados superiores que assim deduzem, destaco o seguinte: “n</w:t>
      </w:r>
      <w:r w:rsidRPr="003079E0">
        <w:rPr>
          <w:rFonts w:ascii="Times New Roman" w:hAnsi="Times New Roman" w:cs="Times New Roman"/>
          <w:sz w:val="24"/>
          <w:szCs w:val="24"/>
        </w:rPr>
        <w:t>as razões do recurso especial, o Ministério Público sustenta violação ao art. 387, inciso IV, do Código de Processo Penal, argumentando que o dano moral é presumido em casos de violência doméstica e familiar contra a mulher, sendo possível a fixação de valor mínimo indenizatório desde que haja pedido expresso da acusação ou da parte ofendida, mesmo sem quantificação e sem necessidade de instrução probatória específica</w:t>
      </w:r>
      <w:r>
        <w:rPr>
          <w:rFonts w:ascii="Times New Roman" w:hAnsi="Times New Roman" w:cs="Times New Roman"/>
          <w:sz w:val="24"/>
          <w:szCs w:val="24"/>
        </w:rPr>
        <w:t xml:space="preserve">” </w:t>
      </w:r>
      <w:r w:rsidRPr="003079E0">
        <w:rPr>
          <w:rFonts w:ascii="Times New Roman" w:hAnsi="Times New Roman" w:cs="Times New Roman"/>
          <w:sz w:val="24"/>
          <w:szCs w:val="24"/>
        </w:rPr>
        <w:t>(</w:t>
      </w:r>
      <w:r>
        <w:rPr>
          <w:rFonts w:ascii="Times New Roman" w:hAnsi="Times New Roman" w:cs="Times New Roman"/>
          <w:sz w:val="24"/>
          <w:szCs w:val="24"/>
        </w:rPr>
        <w:t xml:space="preserve">STJ, </w:t>
      </w:r>
      <w:r w:rsidRPr="003079E0">
        <w:rPr>
          <w:rFonts w:ascii="Times New Roman" w:hAnsi="Times New Roman" w:cs="Times New Roman"/>
          <w:sz w:val="24"/>
          <w:szCs w:val="24"/>
        </w:rPr>
        <w:t>REsp n. 2.225.085/DF, relator Ministro Carlos Pires Brandão, Sexta Turma, julgado em 4/3/2026, DJEN de 10/3/2026)</w:t>
      </w:r>
      <w:r>
        <w:rPr>
          <w:rFonts w:ascii="Times New Roman" w:hAnsi="Times New Roman" w:cs="Times New Roman"/>
          <w:sz w:val="24"/>
          <w:szCs w:val="24"/>
        </w:rPr>
        <w:t xml:space="preserve">. Ou, ainda: </w:t>
      </w:r>
      <w:r w:rsidR="009A338E">
        <w:rPr>
          <w:rFonts w:ascii="Times New Roman" w:hAnsi="Times New Roman" w:cs="Times New Roman"/>
          <w:sz w:val="24"/>
          <w:szCs w:val="24"/>
        </w:rPr>
        <w:t>“a</w:t>
      </w:r>
      <w:r w:rsidR="009A338E" w:rsidRPr="009A338E">
        <w:rPr>
          <w:rFonts w:ascii="Times New Roman" w:hAnsi="Times New Roman" w:cs="Times New Roman"/>
          <w:sz w:val="24"/>
          <w:szCs w:val="24"/>
        </w:rPr>
        <w:t xml:space="preserve"> fixação de valor mínimo para reparação de danos morais é possível nos casos de violência contra a mulher no âmbito doméstico, sendo o dano moral presumido</w:t>
      </w:r>
      <w:r w:rsidR="009A338E">
        <w:rPr>
          <w:rFonts w:ascii="Times New Roman" w:hAnsi="Times New Roman" w:cs="Times New Roman"/>
          <w:sz w:val="24"/>
          <w:szCs w:val="24"/>
        </w:rPr>
        <w:t xml:space="preserve">” </w:t>
      </w:r>
      <w:r w:rsidR="009A338E" w:rsidRPr="009A338E">
        <w:rPr>
          <w:rFonts w:ascii="Times New Roman" w:hAnsi="Times New Roman" w:cs="Times New Roman"/>
          <w:sz w:val="24"/>
          <w:szCs w:val="24"/>
        </w:rPr>
        <w:t>(</w:t>
      </w:r>
      <w:r w:rsidR="009A338E">
        <w:rPr>
          <w:rFonts w:ascii="Times New Roman" w:hAnsi="Times New Roman" w:cs="Times New Roman"/>
          <w:sz w:val="24"/>
          <w:szCs w:val="24"/>
        </w:rPr>
        <w:t xml:space="preserve">STJ, </w:t>
      </w:r>
      <w:r w:rsidR="009A338E" w:rsidRPr="009A338E">
        <w:rPr>
          <w:rFonts w:ascii="Times New Roman" w:hAnsi="Times New Roman" w:cs="Times New Roman"/>
          <w:sz w:val="24"/>
          <w:szCs w:val="24"/>
        </w:rPr>
        <w:t>Ag</w:t>
      </w:r>
      <w:r w:rsidR="009A338E">
        <w:rPr>
          <w:rFonts w:ascii="Times New Roman" w:hAnsi="Times New Roman" w:cs="Times New Roman"/>
          <w:sz w:val="24"/>
          <w:szCs w:val="24"/>
        </w:rPr>
        <w:t xml:space="preserve">. </w:t>
      </w:r>
      <w:r w:rsidR="009A338E" w:rsidRPr="009A338E">
        <w:rPr>
          <w:rFonts w:ascii="Times New Roman" w:hAnsi="Times New Roman" w:cs="Times New Roman"/>
          <w:sz w:val="24"/>
          <w:szCs w:val="24"/>
        </w:rPr>
        <w:t>Rg</w:t>
      </w:r>
      <w:r w:rsidR="009A338E">
        <w:rPr>
          <w:rFonts w:ascii="Times New Roman" w:hAnsi="Times New Roman" w:cs="Times New Roman"/>
          <w:sz w:val="24"/>
          <w:szCs w:val="24"/>
        </w:rPr>
        <w:t>.</w:t>
      </w:r>
      <w:r w:rsidR="009A338E" w:rsidRPr="009A338E">
        <w:rPr>
          <w:rFonts w:ascii="Times New Roman" w:hAnsi="Times New Roman" w:cs="Times New Roman"/>
          <w:sz w:val="24"/>
          <w:szCs w:val="24"/>
        </w:rPr>
        <w:t xml:space="preserve"> no AREsp n. 2.595.604/SC, relator Ministro Messod Azulay Neto, Quinta Turma, julgado em 2/9/2025, DJEN de 9/9/2025)</w:t>
      </w:r>
      <w:r w:rsidR="009A338E">
        <w:rPr>
          <w:rFonts w:ascii="Times New Roman" w:hAnsi="Times New Roman" w:cs="Times New Roman"/>
          <w:sz w:val="24"/>
          <w:szCs w:val="24"/>
        </w:rPr>
        <w:t xml:space="preserve">. </w:t>
      </w:r>
      <w:r w:rsidR="00B331DE">
        <w:rPr>
          <w:rFonts w:ascii="Times New Roman" w:hAnsi="Times New Roman" w:cs="Times New Roman"/>
          <w:sz w:val="24"/>
          <w:szCs w:val="24"/>
        </w:rPr>
        <w:t>Percebe-se, assim, que se t</w:t>
      </w:r>
      <w:r w:rsidR="009A338E">
        <w:rPr>
          <w:rFonts w:ascii="Times New Roman" w:hAnsi="Times New Roman" w:cs="Times New Roman"/>
          <w:sz w:val="24"/>
          <w:szCs w:val="24"/>
        </w:rPr>
        <w:t xml:space="preserve">rata </w:t>
      </w:r>
      <w:r w:rsidR="00412ABA">
        <w:rPr>
          <w:rFonts w:ascii="Times New Roman" w:hAnsi="Times New Roman" w:cs="Times New Roman"/>
          <w:sz w:val="24"/>
          <w:szCs w:val="24"/>
        </w:rPr>
        <w:t>de outra afirmação doutrinária</w:t>
      </w:r>
      <w:r w:rsidR="009A338E">
        <w:rPr>
          <w:rFonts w:ascii="Times New Roman" w:hAnsi="Times New Roman" w:cs="Times New Roman"/>
          <w:sz w:val="24"/>
          <w:szCs w:val="24"/>
        </w:rPr>
        <w:t xml:space="preserve"> que traz a consonância entre </w:t>
      </w:r>
      <w:r w:rsidR="00B331DE">
        <w:rPr>
          <w:rFonts w:ascii="Times New Roman" w:hAnsi="Times New Roman" w:cs="Times New Roman"/>
          <w:sz w:val="24"/>
          <w:szCs w:val="24"/>
        </w:rPr>
        <w:t xml:space="preserve">a </w:t>
      </w:r>
      <w:r w:rsidR="009A338E">
        <w:rPr>
          <w:rFonts w:ascii="Times New Roman" w:hAnsi="Times New Roman" w:cs="Times New Roman"/>
          <w:sz w:val="24"/>
          <w:szCs w:val="24"/>
        </w:rPr>
        <w:t xml:space="preserve">doutrina e </w:t>
      </w:r>
      <w:r w:rsidR="00B331DE">
        <w:rPr>
          <w:rFonts w:ascii="Times New Roman" w:hAnsi="Times New Roman" w:cs="Times New Roman"/>
          <w:sz w:val="24"/>
          <w:szCs w:val="24"/>
        </w:rPr>
        <w:t xml:space="preserve">a </w:t>
      </w:r>
      <w:r w:rsidR="009A338E">
        <w:rPr>
          <w:rFonts w:ascii="Times New Roman" w:hAnsi="Times New Roman" w:cs="Times New Roman"/>
          <w:sz w:val="24"/>
          <w:szCs w:val="24"/>
        </w:rPr>
        <w:t xml:space="preserve">jurisprudência, tendo o meu </w:t>
      </w:r>
      <w:r w:rsidR="00B331DE">
        <w:rPr>
          <w:rFonts w:ascii="Times New Roman" w:hAnsi="Times New Roman" w:cs="Times New Roman"/>
          <w:sz w:val="24"/>
          <w:szCs w:val="24"/>
        </w:rPr>
        <w:t xml:space="preserve">voto e </w:t>
      </w:r>
      <w:r w:rsidR="009A338E">
        <w:rPr>
          <w:rFonts w:ascii="Times New Roman" w:hAnsi="Times New Roman" w:cs="Times New Roman"/>
          <w:sz w:val="24"/>
          <w:szCs w:val="24"/>
        </w:rPr>
        <w:t xml:space="preserve">apoio, como não poderia ser diferente. </w:t>
      </w:r>
      <w:r w:rsidR="00447D60">
        <w:rPr>
          <w:rFonts w:ascii="Times New Roman" w:hAnsi="Times New Roman" w:cs="Times New Roman"/>
          <w:sz w:val="24"/>
          <w:szCs w:val="24"/>
        </w:rPr>
        <w:t xml:space="preserve">  </w:t>
      </w:r>
    </w:p>
    <w:p w14:paraId="5C1609C7" w14:textId="6D099DCA" w:rsidR="009A338E" w:rsidRDefault="009A338E" w:rsidP="009A338E">
      <w:pPr>
        <w:pStyle w:val="t"/>
        <w:spacing w:before="120" w:after="120" w:line="360" w:lineRule="auto"/>
        <w:ind w:firstLine="1701"/>
        <w:rPr>
          <w:rFonts w:ascii="Times New Roman" w:hAnsi="Times New Roman" w:cs="Times New Roman"/>
          <w:sz w:val="24"/>
          <w:szCs w:val="24"/>
        </w:rPr>
      </w:pPr>
      <w:r>
        <w:rPr>
          <w:rFonts w:ascii="Times New Roman" w:hAnsi="Times New Roman" w:cs="Times New Roman"/>
          <w:sz w:val="24"/>
          <w:szCs w:val="24"/>
        </w:rPr>
        <w:t xml:space="preserve">Por fim, a respeito da responsabilidade civil e o Direito de Família, merecem destaque </w:t>
      </w:r>
      <w:r w:rsidR="00B331DE">
        <w:rPr>
          <w:rFonts w:ascii="Times New Roman" w:hAnsi="Times New Roman" w:cs="Times New Roman"/>
          <w:sz w:val="24"/>
          <w:szCs w:val="24"/>
        </w:rPr>
        <w:t>dois</w:t>
      </w:r>
      <w:r>
        <w:rPr>
          <w:rFonts w:ascii="Times New Roman" w:hAnsi="Times New Roman" w:cs="Times New Roman"/>
          <w:sz w:val="24"/>
          <w:szCs w:val="24"/>
        </w:rPr>
        <w:t xml:space="preserve"> enunciados de interpretação do teor da recente </w:t>
      </w:r>
      <w:r w:rsidRPr="009A338E">
        <w:rPr>
          <w:rFonts w:ascii="Times New Roman" w:hAnsi="Times New Roman" w:cs="Times New Roman"/>
          <w:i/>
          <w:iCs/>
          <w:sz w:val="24"/>
          <w:szCs w:val="24"/>
        </w:rPr>
        <w:t>Lei Felca</w:t>
      </w:r>
      <w:r>
        <w:rPr>
          <w:rFonts w:ascii="Times New Roman" w:hAnsi="Times New Roman" w:cs="Times New Roman"/>
          <w:sz w:val="24"/>
          <w:szCs w:val="24"/>
        </w:rPr>
        <w:t xml:space="preserve">, ou </w:t>
      </w:r>
      <w:r w:rsidRPr="009A338E">
        <w:rPr>
          <w:rFonts w:ascii="Times New Roman" w:hAnsi="Times New Roman" w:cs="Times New Roman"/>
          <w:i/>
          <w:iCs/>
          <w:sz w:val="24"/>
          <w:szCs w:val="24"/>
        </w:rPr>
        <w:t>ECA Digital</w:t>
      </w:r>
      <w:r>
        <w:rPr>
          <w:rFonts w:ascii="Times New Roman" w:hAnsi="Times New Roman" w:cs="Times New Roman"/>
          <w:sz w:val="24"/>
          <w:szCs w:val="24"/>
        </w:rPr>
        <w:t>, que d</w:t>
      </w:r>
      <w:r w:rsidRPr="009A338E">
        <w:rPr>
          <w:rFonts w:ascii="Times New Roman" w:hAnsi="Times New Roman" w:cs="Times New Roman"/>
          <w:sz w:val="24"/>
          <w:szCs w:val="24"/>
        </w:rPr>
        <w:t>ispõe sobre a proteção de crianças e adolescentes em ambientes digitais</w:t>
      </w:r>
      <w:r>
        <w:rPr>
          <w:rFonts w:ascii="Times New Roman" w:hAnsi="Times New Roman" w:cs="Times New Roman"/>
          <w:sz w:val="24"/>
          <w:szCs w:val="24"/>
        </w:rPr>
        <w:t xml:space="preserve"> (</w:t>
      </w:r>
      <w:r w:rsidRPr="009A338E">
        <w:rPr>
          <w:rFonts w:ascii="Times New Roman" w:hAnsi="Times New Roman" w:cs="Times New Roman"/>
          <w:sz w:val="24"/>
          <w:szCs w:val="24"/>
        </w:rPr>
        <w:t>Lei n</w:t>
      </w:r>
      <w:r w:rsidR="00614366">
        <w:rPr>
          <w:rFonts w:ascii="Times New Roman" w:hAnsi="Times New Roman" w:cs="Times New Roman"/>
          <w:sz w:val="24"/>
          <w:szCs w:val="24"/>
        </w:rPr>
        <w:t>.</w:t>
      </w:r>
      <w:r w:rsidRPr="009A338E">
        <w:rPr>
          <w:rFonts w:ascii="Times New Roman" w:hAnsi="Times New Roman" w:cs="Times New Roman"/>
          <w:sz w:val="24"/>
          <w:szCs w:val="24"/>
        </w:rPr>
        <w:t xml:space="preserve"> 15.211/2025)</w:t>
      </w:r>
      <w:r w:rsidR="00412ABA">
        <w:rPr>
          <w:rFonts w:ascii="Times New Roman" w:hAnsi="Times New Roman" w:cs="Times New Roman"/>
          <w:sz w:val="24"/>
          <w:szCs w:val="24"/>
        </w:rPr>
        <w:t xml:space="preserve"> e do eventual dever de indenizar que surja da sua violação ou do seu desrespeito</w:t>
      </w:r>
      <w:r>
        <w:rPr>
          <w:rFonts w:ascii="Times New Roman" w:hAnsi="Times New Roman" w:cs="Times New Roman"/>
          <w:sz w:val="24"/>
          <w:szCs w:val="24"/>
        </w:rPr>
        <w:t xml:space="preserve">.  </w:t>
      </w:r>
    </w:p>
    <w:p w14:paraId="00FFE3FC" w14:textId="6F8BBA39" w:rsidR="00B331DE" w:rsidRDefault="00B331DE" w:rsidP="009A338E">
      <w:pPr>
        <w:pStyle w:val="t"/>
        <w:spacing w:before="120" w:after="120" w:line="360" w:lineRule="auto"/>
        <w:ind w:firstLine="1701"/>
        <w:rPr>
          <w:rFonts w:ascii="Times New Roman" w:hAnsi="Times New Roman" w:cs="Times New Roman"/>
          <w:sz w:val="24"/>
          <w:szCs w:val="24"/>
        </w:rPr>
      </w:pPr>
      <w:r>
        <w:rPr>
          <w:rFonts w:ascii="Times New Roman" w:hAnsi="Times New Roman" w:cs="Times New Roman"/>
          <w:sz w:val="24"/>
          <w:szCs w:val="24"/>
        </w:rPr>
        <w:t xml:space="preserve">O primeiro </w:t>
      </w:r>
      <w:r w:rsidR="00614366">
        <w:rPr>
          <w:rFonts w:ascii="Times New Roman" w:hAnsi="Times New Roman" w:cs="Times New Roman"/>
          <w:sz w:val="24"/>
          <w:szCs w:val="24"/>
        </w:rPr>
        <w:t xml:space="preserve">enunciado </w:t>
      </w:r>
      <w:r>
        <w:rPr>
          <w:rFonts w:ascii="Times New Roman" w:hAnsi="Times New Roman" w:cs="Times New Roman"/>
          <w:sz w:val="24"/>
          <w:szCs w:val="24"/>
        </w:rPr>
        <w:t>está relacionado aos mecanismos de aferição de idade para os fins dessa proteção no ambiente digital. Conforme prevê o art. 10 dessa norma específica, o</w:t>
      </w:r>
      <w:r w:rsidR="009A338E" w:rsidRPr="009A338E">
        <w:rPr>
          <w:rFonts w:ascii="Times New Roman" w:hAnsi="Times New Roman" w:cs="Times New Roman"/>
          <w:sz w:val="24"/>
          <w:szCs w:val="24"/>
        </w:rPr>
        <w:t>s fornecedores de produtos ou serviços de tecnologia da informação direcionados a crianças e a adolescentes ou de acesso provável por eles deverão adotar mecanismos para proporcionar experiências adequadas à idade, respeitadas a autonomia progressiva e a diversidade de contextos socioeconômicos brasileiros.</w:t>
      </w:r>
      <w:r>
        <w:rPr>
          <w:rFonts w:ascii="Times New Roman" w:hAnsi="Times New Roman" w:cs="Times New Roman"/>
          <w:sz w:val="24"/>
          <w:szCs w:val="24"/>
        </w:rPr>
        <w:t xml:space="preserve"> </w:t>
      </w:r>
    </w:p>
    <w:p w14:paraId="0B3B6EEB" w14:textId="5A199D21" w:rsidR="009A338E" w:rsidRDefault="00B331DE" w:rsidP="00B331DE">
      <w:pPr>
        <w:pStyle w:val="t"/>
        <w:spacing w:before="120" w:after="120" w:line="360" w:lineRule="auto"/>
        <w:ind w:firstLine="1701"/>
        <w:rPr>
          <w:rFonts w:ascii="Times New Roman" w:hAnsi="Times New Roman" w:cs="Times New Roman"/>
          <w:sz w:val="24"/>
          <w:szCs w:val="24"/>
        </w:rPr>
      </w:pPr>
      <w:r>
        <w:rPr>
          <w:rFonts w:ascii="Times New Roman" w:hAnsi="Times New Roman" w:cs="Times New Roman"/>
          <w:sz w:val="24"/>
          <w:szCs w:val="24"/>
        </w:rPr>
        <w:t xml:space="preserve">O enunciado aprovado estabelece que a interpretação desse preceito deve ser feita à luz da proteção integral consagrada pelo </w:t>
      </w:r>
      <w:r w:rsidR="009A338E" w:rsidRPr="009A338E">
        <w:rPr>
          <w:rFonts w:ascii="Times New Roman" w:hAnsi="Times New Roman" w:cs="Times New Roman"/>
          <w:sz w:val="24"/>
          <w:szCs w:val="24"/>
        </w:rPr>
        <w:t>art. 227 da Constituição Federal e do</w:t>
      </w:r>
      <w:r w:rsidR="009A338E">
        <w:rPr>
          <w:rFonts w:ascii="Times New Roman" w:hAnsi="Times New Roman" w:cs="Times New Roman"/>
          <w:sz w:val="24"/>
          <w:szCs w:val="24"/>
        </w:rPr>
        <w:t xml:space="preserve"> </w:t>
      </w:r>
      <w:r w:rsidR="009A338E" w:rsidRPr="009A338E">
        <w:rPr>
          <w:rFonts w:ascii="Times New Roman" w:hAnsi="Times New Roman" w:cs="Times New Roman"/>
          <w:sz w:val="24"/>
          <w:szCs w:val="24"/>
        </w:rPr>
        <w:t>princípio do melhor interesse da criança</w:t>
      </w:r>
      <w:r>
        <w:rPr>
          <w:rFonts w:ascii="Times New Roman" w:hAnsi="Times New Roman" w:cs="Times New Roman"/>
          <w:sz w:val="24"/>
          <w:szCs w:val="24"/>
        </w:rPr>
        <w:t xml:space="preserve">. Assim sendo, </w:t>
      </w:r>
      <w:r w:rsidR="009A338E" w:rsidRPr="009A338E">
        <w:rPr>
          <w:rFonts w:ascii="Times New Roman" w:hAnsi="Times New Roman" w:cs="Times New Roman"/>
          <w:sz w:val="24"/>
          <w:szCs w:val="24"/>
        </w:rPr>
        <w:t>impõe às redes sociais com restrição etária o</w:t>
      </w:r>
      <w:r w:rsidR="009A338E">
        <w:rPr>
          <w:rFonts w:ascii="Times New Roman" w:hAnsi="Times New Roman" w:cs="Times New Roman"/>
          <w:sz w:val="24"/>
          <w:szCs w:val="24"/>
        </w:rPr>
        <w:t xml:space="preserve"> </w:t>
      </w:r>
      <w:r w:rsidR="009A338E" w:rsidRPr="009A338E">
        <w:rPr>
          <w:rFonts w:ascii="Times New Roman" w:hAnsi="Times New Roman" w:cs="Times New Roman"/>
          <w:sz w:val="24"/>
          <w:szCs w:val="24"/>
        </w:rPr>
        <w:t>dever de adotar mecanismos robustos de</w:t>
      </w:r>
      <w:r w:rsidR="009A338E">
        <w:rPr>
          <w:rFonts w:ascii="Times New Roman" w:hAnsi="Times New Roman" w:cs="Times New Roman"/>
          <w:sz w:val="24"/>
          <w:szCs w:val="24"/>
        </w:rPr>
        <w:t xml:space="preserve"> </w:t>
      </w:r>
      <w:r w:rsidR="009A338E" w:rsidRPr="009A338E">
        <w:rPr>
          <w:rFonts w:ascii="Times New Roman" w:hAnsi="Times New Roman" w:cs="Times New Roman"/>
          <w:sz w:val="24"/>
          <w:szCs w:val="24"/>
        </w:rPr>
        <w:t>aferição de idade como condição prévia ao</w:t>
      </w:r>
      <w:r w:rsidR="009A338E">
        <w:rPr>
          <w:rFonts w:ascii="Times New Roman" w:hAnsi="Times New Roman" w:cs="Times New Roman"/>
          <w:sz w:val="24"/>
          <w:szCs w:val="24"/>
        </w:rPr>
        <w:t xml:space="preserve"> </w:t>
      </w:r>
      <w:r w:rsidR="009A338E" w:rsidRPr="009A338E">
        <w:rPr>
          <w:rFonts w:ascii="Times New Roman" w:hAnsi="Times New Roman" w:cs="Times New Roman"/>
          <w:sz w:val="24"/>
          <w:szCs w:val="24"/>
        </w:rPr>
        <w:t>cadastro, sendo insuficiente a mera</w:t>
      </w:r>
      <w:r w:rsidR="009A338E">
        <w:rPr>
          <w:rFonts w:ascii="Times New Roman" w:hAnsi="Times New Roman" w:cs="Times New Roman"/>
          <w:sz w:val="24"/>
          <w:szCs w:val="24"/>
        </w:rPr>
        <w:t xml:space="preserve"> </w:t>
      </w:r>
      <w:r w:rsidR="009A338E" w:rsidRPr="009A338E">
        <w:rPr>
          <w:rFonts w:ascii="Times New Roman" w:hAnsi="Times New Roman" w:cs="Times New Roman"/>
          <w:sz w:val="24"/>
          <w:szCs w:val="24"/>
        </w:rPr>
        <w:t>supervisão parental para mitigar o alto risco</w:t>
      </w:r>
      <w:r w:rsidR="009A338E">
        <w:rPr>
          <w:rFonts w:ascii="Times New Roman" w:hAnsi="Times New Roman" w:cs="Times New Roman"/>
          <w:sz w:val="24"/>
          <w:szCs w:val="24"/>
        </w:rPr>
        <w:t xml:space="preserve"> </w:t>
      </w:r>
      <w:r w:rsidR="009A338E" w:rsidRPr="009A338E">
        <w:rPr>
          <w:rFonts w:ascii="Times New Roman" w:hAnsi="Times New Roman" w:cs="Times New Roman"/>
          <w:sz w:val="24"/>
          <w:szCs w:val="24"/>
        </w:rPr>
        <w:t>desses serviços.</w:t>
      </w:r>
      <w:r w:rsidR="009A338E">
        <w:rPr>
          <w:rFonts w:ascii="Times New Roman" w:hAnsi="Times New Roman" w:cs="Times New Roman"/>
          <w:sz w:val="24"/>
          <w:szCs w:val="24"/>
        </w:rPr>
        <w:t xml:space="preserve"> </w:t>
      </w:r>
    </w:p>
    <w:p w14:paraId="26228DE3" w14:textId="00F09988" w:rsidR="009A338E" w:rsidRPr="009A338E" w:rsidRDefault="00B331DE" w:rsidP="009A338E">
      <w:pPr>
        <w:pStyle w:val="t"/>
        <w:spacing w:before="120" w:after="120" w:line="360" w:lineRule="auto"/>
        <w:ind w:firstLine="1701"/>
        <w:rPr>
          <w:rFonts w:ascii="Times New Roman" w:hAnsi="Times New Roman" w:cs="Times New Roman"/>
          <w:sz w:val="24"/>
          <w:szCs w:val="24"/>
        </w:rPr>
      </w:pPr>
      <w:r>
        <w:rPr>
          <w:rFonts w:ascii="Times New Roman" w:hAnsi="Times New Roman" w:cs="Times New Roman"/>
          <w:sz w:val="24"/>
          <w:szCs w:val="24"/>
        </w:rPr>
        <w:t>O outro enunciado procura completar o a</w:t>
      </w:r>
      <w:r w:rsidR="009A338E" w:rsidRPr="009A338E">
        <w:rPr>
          <w:rFonts w:ascii="Times New Roman" w:hAnsi="Times New Roman" w:cs="Times New Roman"/>
          <w:sz w:val="24"/>
          <w:szCs w:val="24"/>
        </w:rPr>
        <w:t xml:space="preserve">rt. 6º </w:t>
      </w:r>
      <w:r>
        <w:rPr>
          <w:rFonts w:ascii="Times New Roman" w:hAnsi="Times New Roman" w:cs="Times New Roman"/>
          <w:sz w:val="24"/>
          <w:szCs w:val="24"/>
        </w:rPr>
        <w:t xml:space="preserve">da </w:t>
      </w:r>
      <w:r w:rsidRPr="00B331DE">
        <w:rPr>
          <w:rFonts w:ascii="Times New Roman" w:hAnsi="Times New Roman" w:cs="Times New Roman"/>
          <w:i/>
          <w:iCs/>
          <w:sz w:val="24"/>
          <w:szCs w:val="24"/>
        </w:rPr>
        <w:t>Lei Felca</w:t>
      </w:r>
      <w:r>
        <w:rPr>
          <w:rFonts w:ascii="Times New Roman" w:hAnsi="Times New Roman" w:cs="Times New Roman"/>
          <w:sz w:val="24"/>
          <w:szCs w:val="24"/>
        </w:rPr>
        <w:t>. Nos seus termos, os</w:t>
      </w:r>
      <w:r w:rsidR="009A338E" w:rsidRPr="009A338E">
        <w:rPr>
          <w:rFonts w:ascii="Times New Roman" w:hAnsi="Times New Roman" w:cs="Times New Roman"/>
          <w:sz w:val="24"/>
          <w:szCs w:val="24"/>
        </w:rPr>
        <w:t xml:space="preserve"> fornecedores de produtos ou serviços de tecnologia da informação direcionados a crianças e a adolescentes ou de acesso provável por eles deverão tomar medidas razoáveis</w:t>
      </w:r>
      <w:r w:rsidR="00412ABA">
        <w:rPr>
          <w:rFonts w:ascii="Times New Roman" w:hAnsi="Times New Roman" w:cs="Times New Roman"/>
          <w:sz w:val="24"/>
          <w:szCs w:val="24"/>
        </w:rPr>
        <w:t>,</w:t>
      </w:r>
      <w:r w:rsidR="009A338E" w:rsidRPr="009A338E">
        <w:rPr>
          <w:rFonts w:ascii="Times New Roman" w:hAnsi="Times New Roman" w:cs="Times New Roman"/>
          <w:sz w:val="24"/>
          <w:szCs w:val="24"/>
        </w:rPr>
        <w:t xml:space="preserve"> desde a concepção e ao longo da operação d</w:t>
      </w:r>
      <w:r w:rsidR="00412ABA">
        <w:rPr>
          <w:rFonts w:ascii="Times New Roman" w:hAnsi="Times New Roman" w:cs="Times New Roman"/>
          <w:sz w:val="24"/>
          <w:szCs w:val="24"/>
        </w:rPr>
        <w:t>as</w:t>
      </w:r>
      <w:r w:rsidR="009A338E" w:rsidRPr="009A338E">
        <w:rPr>
          <w:rFonts w:ascii="Times New Roman" w:hAnsi="Times New Roman" w:cs="Times New Roman"/>
          <w:sz w:val="24"/>
          <w:szCs w:val="24"/>
        </w:rPr>
        <w:t xml:space="preserve"> suas aplicações, com o objetivo de prevenir e mitigar riscos de acesso, exposição, recomendação ou facilitação de contato com os seguintes conteúdos, produtos ou práticas:</w:t>
      </w:r>
      <w:r>
        <w:rPr>
          <w:rFonts w:ascii="Times New Roman" w:hAnsi="Times New Roman" w:cs="Times New Roman"/>
          <w:sz w:val="24"/>
          <w:szCs w:val="24"/>
        </w:rPr>
        <w:t xml:space="preserve"> </w:t>
      </w:r>
      <w:r w:rsidRPr="00B331DE">
        <w:rPr>
          <w:rFonts w:ascii="Times New Roman" w:hAnsi="Times New Roman" w:cs="Times New Roman"/>
          <w:i/>
          <w:iCs/>
          <w:sz w:val="24"/>
          <w:szCs w:val="24"/>
        </w:rPr>
        <w:t>a)</w:t>
      </w:r>
      <w:r>
        <w:rPr>
          <w:rFonts w:ascii="Times New Roman" w:hAnsi="Times New Roman" w:cs="Times New Roman"/>
          <w:sz w:val="24"/>
          <w:szCs w:val="24"/>
        </w:rPr>
        <w:t xml:space="preserve"> </w:t>
      </w:r>
      <w:r w:rsidR="009A338E" w:rsidRPr="009A338E">
        <w:rPr>
          <w:rFonts w:ascii="Times New Roman" w:hAnsi="Times New Roman" w:cs="Times New Roman"/>
          <w:sz w:val="24"/>
          <w:szCs w:val="24"/>
        </w:rPr>
        <w:t>exploração e abuso sexual;</w:t>
      </w:r>
      <w:r>
        <w:rPr>
          <w:rFonts w:ascii="Times New Roman" w:hAnsi="Times New Roman" w:cs="Times New Roman"/>
          <w:sz w:val="24"/>
          <w:szCs w:val="24"/>
        </w:rPr>
        <w:t xml:space="preserve"> </w:t>
      </w:r>
      <w:r w:rsidRPr="00B331DE">
        <w:rPr>
          <w:rFonts w:ascii="Times New Roman" w:hAnsi="Times New Roman" w:cs="Times New Roman"/>
          <w:i/>
          <w:iCs/>
          <w:sz w:val="24"/>
          <w:szCs w:val="24"/>
        </w:rPr>
        <w:t>b)</w:t>
      </w:r>
      <w:r>
        <w:rPr>
          <w:rFonts w:ascii="Times New Roman" w:hAnsi="Times New Roman" w:cs="Times New Roman"/>
          <w:sz w:val="24"/>
          <w:szCs w:val="24"/>
        </w:rPr>
        <w:t xml:space="preserve"> </w:t>
      </w:r>
      <w:r w:rsidR="009A338E" w:rsidRPr="009A338E">
        <w:rPr>
          <w:rFonts w:ascii="Times New Roman" w:hAnsi="Times New Roman" w:cs="Times New Roman"/>
          <w:sz w:val="24"/>
          <w:szCs w:val="24"/>
        </w:rPr>
        <w:t>violência física, intimidação sistemática virtual e assédio;</w:t>
      </w:r>
      <w:r>
        <w:rPr>
          <w:rFonts w:ascii="Times New Roman" w:hAnsi="Times New Roman" w:cs="Times New Roman"/>
          <w:sz w:val="24"/>
          <w:szCs w:val="24"/>
        </w:rPr>
        <w:t xml:space="preserve"> </w:t>
      </w:r>
      <w:r w:rsidRPr="00B331DE">
        <w:rPr>
          <w:rFonts w:ascii="Times New Roman" w:hAnsi="Times New Roman" w:cs="Times New Roman"/>
          <w:i/>
          <w:iCs/>
          <w:sz w:val="24"/>
          <w:szCs w:val="24"/>
        </w:rPr>
        <w:t>c)</w:t>
      </w:r>
      <w:r>
        <w:rPr>
          <w:rFonts w:ascii="Times New Roman" w:hAnsi="Times New Roman" w:cs="Times New Roman"/>
          <w:sz w:val="24"/>
          <w:szCs w:val="24"/>
        </w:rPr>
        <w:t xml:space="preserve"> </w:t>
      </w:r>
      <w:r w:rsidR="009A338E" w:rsidRPr="009A338E">
        <w:rPr>
          <w:rFonts w:ascii="Times New Roman" w:hAnsi="Times New Roman" w:cs="Times New Roman"/>
          <w:sz w:val="24"/>
          <w:szCs w:val="24"/>
        </w:rPr>
        <w:t>indução, incitação, instigação ou auxílio, por meio de instruções ou orientações, a práticas ou comportamentos que levem a danos à saúde física ou mental de crianças e de adolescentes, tais como violência física ou assédio psicológico a outras crianças e adolescentes, uso de substâncias que causem dependência química ou psicológica, autodiagnóstico e automedicação, automutilação e suicídio;</w:t>
      </w:r>
      <w:r>
        <w:rPr>
          <w:rFonts w:ascii="Times New Roman" w:hAnsi="Times New Roman" w:cs="Times New Roman"/>
          <w:sz w:val="24"/>
          <w:szCs w:val="24"/>
        </w:rPr>
        <w:t xml:space="preserve"> </w:t>
      </w:r>
      <w:r w:rsidR="00D22681">
        <w:rPr>
          <w:rFonts w:ascii="Times New Roman" w:hAnsi="Times New Roman" w:cs="Times New Roman"/>
          <w:i/>
          <w:iCs/>
          <w:sz w:val="24"/>
          <w:szCs w:val="24"/>
        </w:rPr>
        <w:t xml:space="preserve">d) </w:t>
      </w:r>
      <w:r w:rsidR="009A338E" w:rsidRPr="009A338E">
        <w:rPr>
          <w:rFonts w:ascii="Times New Roman" w:hAnsi="Times New Roman" w:cs="Times New Roman"/>
          <w:sz w:val="24"/>
          <w:szCs w:val="24"/>
        </w:rPr>
        <w:t>promoção e comercialização de jogos de azar, apostas de quota fixa, loterias, produtos de tabaco, bebidas alcoólicas, narcóticos ou produtos de comercialização proibida a crianças e a adolescentes;</w:t>
      </w:r>
      <w:r>
        <w:rPr>
          <w:rFonts w:ascii="Times New Roman" w:hAnsi="Times New Roman" w:cs="Times New Roman"/>
          <w:sz w:val="24"/>
          <w:szCs w:val="24"/>
        </w:rPr>
        <w:t xml:space="preserve"> </w:t>
      </w:r>
      <w:r w:rsidRPr="00B331DE">
        <w:rPr>
          <w:rFonts w:ascii="Times New Roman" w:hAnsi="Times New Roman" w:cs="Times New Roman"/>
          <w:i/>
          <w:iCs/>
          <w:sz w:val="24"/>
          <w:szCs w:val="24"/>
        </w:rPr>
        <w:t>e)</w:t>
      </w:r>
      <w:r>
        <w:rPr>
          <w:rFonts w:ascii="Times New Roman" w:hAnsi="Times New Roman" w:cs="Times New Roman"/>
          <w:sz w:val="24"/>
          <w:szCs w:val="24"/>
        </w:rPr>
        <w:t xml:space="preserve"> </w:t>
      </w:r>
      <w:r w:rsidR="009A338E" w:rsidRPr="009A338E">
        <w:rPr>
          <w:rFonts w:ascii="Times New Roman" w:hAnsi="Times New Roman" w:cs="Times New Roman"/>
          <w:sz w:val="24"/>
          <w:szCs w:val="24"/>
        </w:rPr>
        <w:t>práticas publicitárias predatórias, injustas ou enganosas ou outras práticas conhecidas por acarretarem danos financeiros a crianças e a adolescentes; e</w:t>
      </w:r>
      <w:r>
        <w:rPr>
          <w:rFonts w:ascii="Times New Roman" w:hAnsi="Times New Roman" w:cs="Times New Roman"/>
          <w:sz w:val="24"/>
          <w:szCs w:val="24"/>
        </w:rPr>
        <w:t xml:space="preserve"> </w:t>
      </w:r>
      <w:r w:rsidRPr="00B331DE">
        <w:rPr>
          <w:rFonts w:ascii="Times New Roman" w:hAnsi="Times New Roman" w:cs="Times New Roman"/>
          <w:i/>
          <w:iCs/>
          <w:sz w:val="24"/>
          <w:szCs w:val="24"/>
        </w:rPr>
        <w:t>f)</w:t>
      </w:r>
      <w:r>
        <w:rPr>
          <w:rFonts w:ascii="Times New Roman" w:hAnsi="Times New Roman" w:cs="Times New Roman"/>
          <w:sz w:val="24"/>
          <w:szCs w:val="24"/>
        </w:rPr>
        <w:t xml:space="preserve"> </w:t>
      </w:r>
      <w:r w:rsidR="009A338E" w:rsidRPr="009A338E">
        <w:rPr>
          <w:rFonts w:ascii="Times New Roman" w:hAnsi="Times New Roman" w:cs="Times New Roman"/>
          <w:sz w:val="24"/>
          <w:szCs w:val="24"/>
        </w:rPr>
        <w:t>conteúdo pornográfico.</w:t>
      </w:r>
      <w:r w:rsidR="00412ABA">
        <w:rPr>
          <w:rFonts w:ascii="Times New Roman" w:hAnsi="Times New Roman" w:cs="Times New Roman"/>
          <w:sz w:val="24"/>
          <w:szCs w:val="24"/>
        </w:rPr>
        <w:t xml:space="preserve"> O desrespeito a esses deveres de prevenção e de mitigação de risco gera a responsabilidade objetiva dos fornecedores de produtos e serviços, uma vez que a </w:t>
      </w:r>
      <w:r w:rsidR="00412ABA" w:rsidRPr="00412ABA">
        <w:rPr>
          <w:rFonts w:ascii="Times New Roman" w:hAnsi="Times New Roman" w:cs="Times New Roman"/>
          <w:i/>
          <w:iCs/>
          <w:sz w:val="24"/>
          <w:szCs w:val="24"/>
        </w:rPr>
        <w:t>Lei Felca</w:t>
      </w:r>
      <w:r w:rsidR="00412ABA">
        <w:rPr>
          <w:rFonts w:ascii="Times New Roman" w:hAnsi="Times New Roman" w:cs="Times New Roman"/>
          <w:sz w:val="24"/>
          <w:szCs w:val="24"/>
        </w:rPr>
        <w:t xml:space="preserve"> menciona o Código de Defesa do Consumidor.  </w:t>
      </w:r>
    </w:p>
    <w:p w14:paraId="62D14E05" w14:textId="62EE60B4" w:rsidR="00B331DE" w:rsidRDefault="00B331DE" w:rsidP="009A338E">
      <w:pPr>
        <w:pStyle w:val="t"/>
        <w:spacing w:before="120" w:after="120" w:line="360" w:lineRule="auto"/>
        <w:ind w:firstLine="1701"/>
        <w:rPr>
          <w:rFonts w:ascii="Times New Roman" w:hAnsi="Times New Roman" w:cs="Times New Roman"/>
          <w:sz w:val="24"/>
          <w:szCs w:val="24"/>
        </w:rPr>
      </w:pPr>
      <w:r>
        <w:rPr>
          <w:rFonts w:ascii="Times New Roman" w:hAnsi="Times New Roman" w:cs="Times New Roman"/>
          <w:sz w:val="24"/>
          <w:szCs w:val="24"/>
        </w:rPr>
        <w:t xml:space="preserve">A norma também estabelece, em seu </w:t>
      </w:r>
      <w:r w:rsidR="009A338E" w:rsidRPr="009A338E">
        <w:rPr>
          <w:rFonts w:ascii="Times New Roman" w:hAnsi="Times New Roman" w:cs="Times New Roman"/>
          <w:sz w:val="24"/>
          <w:szCs w:val="24"/>
        </w:rPr>
        <w:t>§1º</w:t>
      </w:r>
      <w:r>
        <w:rPr>
          <w:rFonts w:ascii="Times New Roman" w:hAnsi="Times New Roman" w:cs="Times New Roman"/>
          <w:sz w:val="24"/>
          <w:szCs w:val="24"/>
        </w:rPr>
        <w:t>,</w:t>
      </w:r>
      <w:r w:rsidR="009A338E" w:rsidRPr="009A338E">
        <w:rPr>
          <w:rFonts w:ascii="Times New Roman" w:hAnsi="Times New Roman" w:cs="Times New Roman"/>
          <w:sz w:val="24"/>
          <w:szCs w:val="24"/>
        </w:rPr>
        <w:t xml:space="preserve"> </w:t>
      </w:r>
      <w:r>
        <w:rPr>
          <w:rFonts w:ascii="Times New Roman" w:hAnsi="Times New Roman" w:cs="Times New Roman"/>
          <w:sz w:val="24"/>
          <w:szCs w:val="24"/>
        </w:rPr>
        <w:t xml:space="preserve">que essas previsões </w:t>
      </w:r>
      <w:r w:rsidR="009A338E" w:rsidRPr="009A338E">
        <w:rPr>
          <w:rFonts w:ascii="Times New Roman" w:hAnsi="Times New Roman" w:cs="Times New Roman"/>
          <w:sz w:val="24"/>
          <w:szCs w:val="24"/>
        </w:rPr>
        <w:t>não exime</w:t>
      </w:r>
      <w:r>
        <w:rPr>
          <w:rFonts w:ascii="Times New Roman" w:hAnsi="Times New Roman" w:cs="Times New Roman"/>
          <w:sz w:val="24"/>
          <w:szCs w:val="24"/>
        </w:rPr>
        <w:t>m</w:t>
      </w:r>
      <w:r w:rsidR="009A338E" w:rsidRPr="009A338E">
        <w:rPr>
          <w:rFonts w:ascii="Times New Roman" w:hAnsi="Times New Roman" w:cs="Times New Roman"/>
          <w:sz w:val="24"/>
          <w:szCs w:val="24"/>
        </w:rPr>
        <w:t xml:space="preserve"> os pais e responsáveis legais, as pessoas que se beneficiam financeiramente da produção ou distribuição pública de qualquer representação visual de criança ou de adolescente e as autoridades administrativas, judiciárias e policiais de atuarem para impedir sua exposição </w:t>
      </w:r>
      <w:r w:rsidR="00614366">
        <w:rPr>
          <w:rFonts w:ascii="Times New Roman" w:hAnsi="Times New Roman" w:cs="Times New Roman"/>
          <w:sz w:val="24"/>
          <w:szCs w:val="24"/>
        </w:rPr>
        <w:t xml:space="preserve">a </w:t>
      </w:r>
      <w:r>
        <w:rPr>
          <w:rFonts w:ascii="Times New Roman" w:hAnsi="Times New Roman" w:cs="Times New Roman"/>
          <w:sz w:val="24"/>
          <w:szCs w:val="24"/>
        </w:rPr>
        <w:t>essas</w:t>
      </w:r>
      <w:r w:rsidR="009A338E" w:rsidRPr="009A338E">
        <w:rPr>
          <w:rFonts w:ascii="Times New Roman" w:hAnsi="Times New Roman" w:cs="Times New Roman"/>
          <w:sz w:val="24"/>
          <w:szCs w:val="24"/>
        </w:rPr>
        <w:t xml:space="preserve"> situações violadoras </w:t>
      </w:r>
      <w:r>
        <w:rPr>
          <w:rFonts w:ascii="Times New Roman" w:hAnsi="Times New Roman" w:cs="Times New Roman"/>
          <w:sz w:val="24"/>
          <w:szCs w:val="24"/>
        </w:rPr>
        <w:t xml:space="preserve">dos direitos das crianças e </w:t>
      </w:r>
      <w:r w:rsidR="00614366">
        <w:rPr>
          <w:rFonts w:ascii="Times New Roman" w:hAnsi="Times New Roman" w:cs="Times New Roman"/>
          <w:sz w:val="24"/>
          <w:szCs w:val="24"/>
        </w:rPr>
        <w:t xml:space="preserve">dos </w:t>
      </w:r>
      <w:r>
        <w:rPr>
          <w:rFonts w:ascii="Times New Roman" w:hAnsi="Times New Roman" w:cs="Times New Roman"/>
          <w:sz w:val="24"/>
          <w:szCs w:val="24"/>
        </w:rPr>
        <w:t xml:space="preserve">adolescentes. </w:t>
      </w:r>
    </w:p>
    <w:p w14:paraId="6281C9DC" w14:textId="34B7F321" w:rsidR="009A338E" w:rsidRDefault="009A338E" w:rsidP="009A338E">
      <w:pPr>
        <w:pStyle w:val="t"/>
        <w:spacing w:before="120" w:after="120" w:line="360" w:lineRule="auto"/>
        <w:ind w:firstLine="1701"/>
        <w:rPr>
          <w:rFonts w:ascii="Times New Roman" w:hAnsi="Times New Roman" w:cs="Times New Roman"/>
          <w:sz w:val="24"/>
          <w:szCs w:val="24"/>
        </w:rPr>
      </w:pPr>
      <w:r w:rsidRPr="009A338E">
        <w:rPr>
          <w:rFonts w:ascii="Times New Roman" w:hAnsi="Times New Roman" w:cs="Times New Roman"/>
          <w:sz w:val="24"/>
          <w:szCs w:val="24"/>
        </w:rPr>
        <w:t xml:space="preserve">Entre as medidas de prevenção </w:t>
      </w:r>
      <w:r w:rsidR="00B331DE">
        <w:rPr>
          <w:rFonts w:ascii="Times New Roman" w:hAnsi="Times New Roman" w:cs="Times New Roman"/>
          <w:sz w:val="24"/>
          <w:szCs w:val="24"/>
        </w:rPr>
        <w:t xml:space="preserve">desses eventos danosos, a lei enuncia que se </w:t>
      </w:r>
      <w:r w:rsidRPr="009A338E">
        <w:rPr>
          <w:rFonts w:ascii="Times New Roman" w:hAnsi="Times New Roman" w:cs="Times New Roman"/>
          <w:sz w:val="24"/>
          <w:szCs w:val="24"/>
        </w:rPr>
        <w:t>incluem políticas claras, eficazes e adequadas à legislação brasileira de prevenção à intimidação sistemática virtual e a outras formas de assédio na</w:t>
      </w:r>
      <w:r w:rsidRPr="00B331DE">
        <w:rPr>
          <w:rFonts w:ascii="Times New Roman" w:hAnsi="Times New Roman" w:cs="Times New Roman"/>
          <w:i/>
          <w:iCs/>
          <w:sz w:val="24"/>
          <w:szCs w:val="24"/>
        </w:rPr>
        <w:t xml:space="preserve"> internet</w:t>
      </w:r>
      <w:r w:rsidRPr="009A338E">
        <w:rPr>
          <w:rFonts w:ascii="Times New Roman" w:hAnsi="Times New Roman" w:cs="Times New Roman"/>
          <w:sz w:val="24"/>
          <w:szCs w:val="24"/>
        </w:rPr>
        <w:t>, com mecanismos de apoio adequado às vítimas, bem como o desenvolvimento e a disponibilização de programas educativos de conscientização direcionados a crianças, adolescentes, pais, educadores, funcionários e equipes de suporte sobre os riscos e as formas de prevenção e de enfrentamento dessas práticas</w:t>
      </w:r>
      <w:r w:rsidR="00B331DE">
        <w:rPr>
          <w:rFonts w:ascii="Times New Roman" w:hAnsi="Times New Roman" w:cs="Times New Roman"/>
          <w:sz w:val="24"/>
          <w:szCs w:val="24"/>
        </w:rPr>
        <w:t xml:space="preserve"> (art. 6º, §2º, da Lei n. 15.211/2025). </w:t>
      </w:r>
    </w:p>
    <w:p w14:paraId="6AB70641" w14:textId="39C30FD6" w:rsidR="009A338E" w:rsidRDefault="00B331DE" w:rsidP="009A338E">
      <w:pPr>
        <w:pStyle w:val="t"/>
        <w:spacing w:before="120" w:after="120" w:line="360" w:lineRule="auto"/>
        <w:ind w:firstLine="1701"/>
        <w:rPr>
          <w:rFonts w:ascii="Times New Roman" w:hAnsi="Times New Roman" w:cs="Times New Roman"/>
          <w:sz w:val="24"/>
          <w:szCs w:val="24"/>
        </w:rPr>
      </w:pPr>
      <w:r>
        <w:rPr>
          <w:rFonts w:ascii="Times New Roman" w:hAnsi="Times New Roman" w:cs="Times New Roman"/>
          <w:sz w:val="24"/>
          <w:szCs w:val="24"/>
        </w:rPr>
        <w:t xml:space="preserve">Pois bem, o enunciado doutrinário aprovado na </w:t>
      </w:r>
      <w:r w:rsidRPr="00412ABA">
        <w:rPr>
          <w:rFonts w:ascii="Times New Roman" w:hAnsi="Times New Roman" w:cs="Times New Roman"/>
          <w:i/>
          <w:iCs/>
          <w:sz w:val="24"/>
          <w:szCs w:val="24"/>
        </w:rPr>
        <w:t xml:space="preserve">X Jornada de Direito Civil </w:t>
      </w:r>
      <w:r>
        <w:rPr>
          <w:rFonts w:ascii="Times New Roman" w:hAnsi="Times New Roman" w:cs="Times New Roman"/>
          <w:sz w:val="24"/>
          <w:szCs w:val="24"/>
        </w:rPr>
        <w:t xml:space="preserve">preceitua que esse </w:t>
      </w:r>
      <w:r w:rsidR="009A338E" w:rsidRPr="009A338E">
        <w:rPr>
          <w:rFonts w:ascii="Times New Roman" w:hAnsi="Times New Roman" w:cs="Times New Roman"/>
          <w:sz w:val="24"/>
          <w:szCs w:val="24"/>
        </w:rPr>
        <w:t>rol previsto no art. 6º da Lei n. 15.211/2025,</w:t>
      </w:r>
      <w:r w:rsidR="009A338E">
        <w:rPr>
          <w:rFonts w:ascii="Times New Roman" w:hAnsi="Times New Roman" w:cs="Times New Roman"/>
          <w:sz w:val="24"/>
          <w:szCs w:val="24"/>
        </w:rPr>
        <w:t xml:space="preserve"> </w:t>
      </w:r>
      <w:r w:rsidR="009A338E" w:rsidRPr="009A338E">
        <w:rPr>
          <w:rFonts w:ascii="Times New Roman" w:hAnsi="Times New Roman" w:cs="Times New Roman"/>
          <w:sz w:val="24"/>
          <w:szCs w:val="24"/>
        </w:rPr>
        <w:t>relativo a conteúdos, práticas e produtos</w:t>
      </w:r>
      <w:r w:rsidR="009A338E">
        <w:rPr>
          <w:rFonts w:ascii="Times New Roman" w:hAnsi="Times New Roman" w:cs="Times New Roman"/>
          <w:sz w:val="24"/>
          <w:szCs w:val="24"/>
        </w:rPr>
        <w:t xml:space="preserve"> </w:t>
      </w:r>
      <w:r w:rsidR="009A338E" w:rsidRPr="009A338E">
        <w:rPr>
          <w:rFonts w:ascii="Times New Roman" w:hAnsi="Times New Roman" w:cs="Times New Roman"/>
          <w:sz w:val="24"/>
          <w:szCs w:val="24"/>
        </w:rPr>
        <w:t>nocivos a crianças e adolescentes, possui</w:t>
      </w:r>
      <w:r w:rsidR="009A338E">
        <w:rPr>
          <w:rFonts w:ascii="Times New Roman" w:hAnsi="Times New Roman" w:cs="Times New Roman"/>
          <w:sz w:val="24"/>
          <w:szCs w:val="24"/>
        </w:rPr>
        <w:t xml:space="preserve"> </w:t>
      </w:r>
      <w:r w:rsidR="009A338E" w:rsidRPr="009A338E">
        <w:rPr>
          <w:rFonts w:ascii="Times New Roman" w:hAnsi="Times New Roman" w:cs="Times New Roman"/>
          <w:sz w:val="24"/>
          <w:szCs w:val="24"/>
        </w:rPr>
        <w:t>natureza exemplificativa</w:t>
      </w:r>
      <w:r>
        <w:rPr>
          <w:rFonts w:ascii="Times New Roman" w:hAnsi="Times New Roman" w:cs="Times New Roman"/>
          <w:sz w:val="24"/>
          <w:szCs w:val="24"/>
        </w:rPr>
        <w:t xml:space="preserve"> ou </w:t>
      </w:r>
      <w:r w:rsidRPr="00B331DE">
        <w:rPr>
          <w:rFonts w:ascii="Times New Roman" w:hAnsi="Times New Roman" w:cs="Times New Roman"/>
          <w:i/>
          <w:iCs/>
          <w:sz w:val="24"/>
          <w:szCs w:val="24"/>
        </w:rPr>
        <w:t>numerus apertus</w:t>
      </w:r>
      <w:r w:rsidR="009A338E" w:rsidRPr="009A338E">
        <w:rPr>
          <w:rFonts w:ascii="Times New Roman" w:hAnsi="Times New Roman" w:cs="Times New Roman"/>
          <w:sz w:val="24"/>
          <w:szCs w:val="24"/>
        </w:rPr>
        <w:t>, devendo sua</w:t>
      </w:r>
      <w:r w:rsidR="009A338E">
        <w:rPr>
          <w:rFonts w:ascii="Times New Roman" w:hAnsi="Times New Roman" w:cs="Times New Roman"/>
          <w:sz w:val="24"/>
          <w:szCs w:val="24"/>
        </w:rPr>
        <w:t xml:space="preserve"> </w:t>
      </w:r>
      <w:r w:rsidR="009A338E" w:rsidRPr="009A338E">
        <w:rPr>
          <w:rFonts w:ascii="Times New Roman" w:hAnsi="Times New Roman" w:cs="Times New Roman"/>
          <w:sz w:val="24"/>
          <w:szCs w:val="24"/>
        </w:rPr>
        <w:t>interpretação ser orientada pelo princípio da</w:t>
      </w:r>
      <w:r w:rsidR="009A338E">
        <w:rPr>
          <w:rFonts w:ascii="Times New Roman" w:hAnsi="Times New Roman" w:cs="Times New Roman"/>
          <w:sz w:val="24"/>
          <w:szCs w:val="24"/>
        </w:rPr>
        <w:t xml:space="preserve"> </w:t>
      </w:r>
      <w:r w:rsidR="009A338E" w:rsidRPr="009A338E">
        <w:rPr>
          <w:rFonts w:ascii="Times New Roman" w:hAnsi="Times New Roman" w:cs="Times New Roman"/>
          <w:sz w:val="24"/>
          <w:szCs w:val="24"/>
        </w:rPr>
        <w:t>proteção integral (art. 227 da Constituição</w:t>
      </w:r>
      <w:r w:rsidR="009A338E">
        <w:rPr>
          <w:rFonts w:ascii="Times New Roman" w:hAnsi="Times New Roman" w:cs="Times New Roman"/>
          <w:sz w:val="24"/>
          <w:szCs w:val="24"/>
        </w:rPr>
        <w:t xml:space="preserve"> </w:t>
      </w:r>
      <w:r w:rsidR="009A338E" w:rsidRPr="009A338E">
        <w:rPr>
          <w:rFonts w:ascii="Times New Roman" w:hAnsi="Times New Roman" w:cs="Times New Roman"/>
          <w:sz w:val="24"/>
          <w:szCs w:val="24"/>
        </w:rPr>
        <w:t>Federal)</w:t>
      </w:r>
      <w:r>
        <w:rPr>
          <w:rFonts w:ascii="Times New Roman" w:hAnsi="Times New Roman" w:cs="Times New Roman"/>
          <w:sz w:val="24"/>
          <w:szCs w:val="24"/>
        </w:rPr>
        <w:t>. Assim, deve</w:t>
      </w:r>
      <w:r w:rsidR="009A338E" w:rsidRPr="009A338E">
        <w:rPr>
          <w:rFonts w:ascii="Times New Roman" w:hAnsi="Times New Roman" w:cs="Times New Roman"/>
          <w:sz w:val="24"/>
          <w:szCs w:val="24"/>
        </w:rPr>
        <w:t xml:space="preserve"> abranger também</w:t>
      </w:r>
      <w:r w:rsidR="009A338E">
        <w:rPr>
          <w:rFonts w:ascii="Times New Roman" w:hAnsi="Times New Roman" w:cs="Times New Roman"/>
          <w:sz w:val="24"/>
          <w:szCs w:val="24"/>
        </w:rPr>
        <w:t xml:space="preserve"> </w:t>
      </w:r>
      <w:r w:rsidR="009A338E" w:rsidRPr="009A338E">
        <w:rPr>
          <w:rFonts w:ascii="Times New Roman" w:hAnsi="Times New Roman" w:cs="Times New Roman"/>
          <w:sz w:val="24"/>
          <w:szCs w:val="24"/>
        </w:rPr>
        <w:t>conteúdos, práticas e produtos que, ainda</w:t>
      </w:r>
      <w:r w:rsidR="009A338E">
        <w:rPr>
          <w:rFonts w:ascii="Times New Roman" w:hAnsi="Times New Roman" w:cs="Times New Roman"/>
          <w:sz w:val="24"/>
          <w:szCs w:val="24"/>
        </w:rPr>
        <w:t xml:space="preserve"> </w:t>
      </w:r>
      <w:r w:rsidR="009A338E" w:rsidRPr="009A338E">
        <w:rPr>
          <w:rFonts w:ascii="Times New Roman" w:hAnsi="Times New Roman" w:cs="Times New Roman"/>
          <w:sz w:val="24"/>
          <w:szCs w:val="24"/>
        </w:rPr>
        <w:t>que não expressamente previstos, sejam</w:t>
      </w:r>
      <w:r w:rsidR="009A338E">
        <w:rPr>
          <w:rFonts w:ascii="Times New Roman" w:hAnsi="Times New Roman" w:cs="Times New Roman"/>
          <w:sz w:val="24"/>
          <w:szCs w:val="24"/>
        </w:rPr>
        <w:t xml:space="preserve"> </w:t>
      </w:r>
      <w:r w:rsidR="009A338E" w:rsidRPr="009A338E">
        <w:rPr>
          <w:rFonts w:ascii="Times New Roman" w:hAnsi="Times New Roman" w:cs="Times New Roman"/>
          <w:sz w:val="24"/>
          <w:szCs w:val="24"/>
        </w:rPr>
        <w:t>aptos a prejudicar o desenvolvimento físico,</w:t>
      </w:r>
      <w:r w:rsidR="009A338E">
        <w:rPr>
          <w:rFonts w:ascii="Times New Roman" w:hAnsi="Times New Roman" w:cs="Times New Roman"/>
          <w:sz w:val="24"/>
          <w:szCs w:val="24"/>
        </w:rPr>
        <w:t xml:space="preserve"> </w:t>
      </w:r>
      <w:r w:rsidR="009A338E" w:rsidRPr="009A338E">
        <w:rPr>
          <w:rFonts w:ascii="Times New Roman" w:hAnsi="Times New Roman" w:cs="Times New Roman"/>
          <w:sz w:val="24"/>
          <w:szCs w:val="24"/>
        </w:rPr>
        <w:t>psíquico, cognitivo, moral ou social de</w:t>
      </w:r>
      <w:r w:rsidR="009A338E">
        <w:rPr>
          <w:rFonts w:ascii="Times New Roman" w:hAnsi="Times New Roman" w:cs="Times New Roman"/>
          <w:sz w:val="24"/>
          <w:szCs w:val="24"/>
        </w:rPr>
        <w:t xml:space="preserve"> </w:t>
      </w:r>
      <w:r w:rsidR="009A338E" w:rsidRPr="009A338E">
        <w:rPr>
          <w:rFonts w:ascii="Times New Roman" w:hAnsi="Times New Roman" w:cs="Times New Roman"/>
          <w:sz w:val="24"/>
          <w:szCs w:val="24"/>
        </w:rPr>
        <w:t>crianças e adolescentes, inclusive por meio</w:t>
      </w:r>
      <w:r w:rsidR="009A338E">
        <w:rPr>
          <w:rFonts w:ascii="Times New Roman" w:hAnsi="Times New Roman" w:cs="Times New Roman"/>
          <w:sz w:val="24"/>
          <w:szCs w:val="24"/>
        </w:rPr>
        <w:t xml:space="preserve"> </w:t>
      </w:r>
      <w:r w:rsidR="009A338E" w:rsidRPr="009A338E">
        <w:rPr>
          <w:rFonts w:ascii="Times New Roman" w:hAnsi="Times New Roman" w:cs="Times New Roman"/>
          <w:sz w:val="24"/>
          <w:szCs w:val="24"/>
        </w:rPr>
        <w:t>de desinformação, manipulação, reforço de</w:t>
      </w:r>
      <w:r w:rsidR="009A338E">
        <w:rPr>
          <w:rFonts w:ascii="Times New Roman" w:hAnsi="Times New Roman" w:cs="Times New Roman"/>
          <w:sz w:val="24"/>
          <w:szCs w:val="24"/>
        </w:rPr>
        <w:t xml:space="preserve"> </w:t>
      </w:r>
      <w:r w:rsidR="009A338E" w:rsidRPr="009A338E">
        <w:rPr>
          <w:rFonts w:ascii="Times New Roman" w:hAnsi="Times New Roman" w:cs="Times New Roman"/>
          <w:sz w:val="24"/>
          <w:szCs w:val="24"/>
        </w:rPr>
        <w:t>estereótipos discriminatórios, sexualização</w:t>
      </w:r>
      <w:r w:rsidR="009A338E">
        <w:rPr>
          <w:rFonts w:ascii="Times New Roman" w:hAnsi="Times New Roman" w:cs="Times New Roman"/>
          <w:sz w:val="24"/>
          <w:szCs w:val="24"/>
        </w:rPr>
        <w:t xml:space="preserve"> </w:t>
      </w:r>
      <w:r w:rsidR="009A338E" w:rsidRPr="009A338E">
        <w:rPr>
          <w:rFonts w:ascii="Times New Roman" w:hAnsi="Times New Roman" w:cs="Times New Roman"/>
          <w:sz w:val="24"/>
          <w:szCs w:val="24"/>
        </w:rPr>
        <w:t>precoce ou exploração emocional</w:t>
      </w:r>
      <w:r w:rsidR="00412ABA">
        <w:rPr>
          <w:rFonts w:ascii="Times New Roman" w:hAnsi="Times New Roman" w:cs="Times New Roman"/>
          <w:sz w:val="24"/>
          <w:szCs w:val="24"/>
        </w:rPr>
        <w:t xml:space="preserve">; e que possam surgir dos avanços tecnológicos. </w:t>
      </w:r>
      <w:r w:rsidR="009A338E">
        <w:rPr>
          <w:rFonts w:ascii="Times New Roman" w:hAnsi="Times New Roman" w:cs="Times New Roman"/>
          <w:sz w:val="24"/>
          <w:szCs w:val="24"/>
        </w:rPr>
        <w:t xml:space="preserve">   </w:t>
      </w:r>
    </w:p>
    <w:p w14:paraId="1D858791" w14:textId="77777777" w:rsidR="00412ABA" w:rsidRDefault="00B331DE" w:rsidP="00B331DE">
      <w:pPr>
        <w:pStyle w:val="t"/>
        <w:spacing w:before="120" w:after="120" w:line="360" w:lineRule="auto"/>
        <w:ind w:firstLine="1701"/>
        <w:rPr>
          <w:rFonts w:ascii="Times New Roman" w:hAnsi="Times New Roman" w:cs="Times New Roman"/>
          <w:sz w:val="24"/>
          <w:szCs w:val="24"/>
        </w:rPr>
      </w:pPr>
      <w:r>
        <w:rPr>
          <w:rFonts w:ascii="Times New Roman" w:hAnsi="Times New Roman" w:cs="Times New Roman"/>
          <w:sz w:val="24"/>
          <w:szCs w:val="24"/>
        </w:rPr>
        <w:t xml:space="preserve">Como se pode perceber, os dois enunciados são fundamentais para a interpretação da </w:t>
      </w:r>
      <w:r w:rsidRPr="00412ABA">
        <w:rPr>
          <w:rFonts w:ascii="Times New Roman" w:hAnsi="Times New Roman" w:cs="Times New Roman"/>
          <w:i/>
          <w:iCs/>
          <w:sz w:val="24"/>
          <w:szCs w:val="24"/>
        </w:rPr>
        <w:t>Lei Felca</w:t>
      </w:r>
      <w:r>
        <w:rPr>
          <w:rFonts w:ascii="Times New Roman" w:hAnsi="Times New Roman" w:cs="Times New Roman"/>
          <w:sz w:val="24"/>
          <w:szCs w:val="24"/>
        </w:rPr>
        <w:t xml:space="preserve">, </w:t>
      </w:r>
      <w:r w:rsidR="00412ABA">
        <w:rPr>
          <w:rFonts w:ascii="Times New Roman" w:hAnsi="Times New Roman" w:cs="Times New Roman"/>
          <w:sz w:val="24"/>
          <w:szCs w:val="24"/>
        </w:rPr>
        <w:t xml:space="preserve">e para a consequente responsabilidade civil que dela deriva, </w:t>
      </w:r>
      <w:r>
        <w:rPr>
          <w:rFonts w:ascii="Times New Roman" w:hAnsi="Times New Roman" w:cs="Times New Roman"/>
          <w:sz w:val="24"/>
          <w:szCs w:val="24"/>
        </w:rPr>
        <w:t>havendo outro, que trata do uso de inteligência artificial, de imagens de nudez de t</w:t>
      </w:r>
      <w:r w:rsidR="009A338E" w:rsidRPr="009A338E">
        <w:rPr>
          <w:rFonts w:ascii="Times New Roman" w:hAnsi="Times New Roman" w:cs="Times New Roman"/>
          <w:sz w:val="24"/>
          <w:szCs w:val="24"/>
        </w:rPr>
        <w:t>erceiros</w:t>
      </w:r>
      <w:r>
        <w:rPr>
          <w:rFonts w:ascii="Times New Roman" w:hAnsi="Times New Roman" w:cs="Times New Roman"/>
          <w:sz w:val="24"/>
          <w:szCs w:val="24"/>
        </w:rPr>
        <w:t>,</w:t>
      </w:r>
      <w:r w:rsidR="009A338E" w:rsidRPr="009A338E">
        <w:rPr>
          <w:rFonts w:ascii="Times New Roman" w:hAnsi="Times New Roman" w:cs="Times New Roman"/>
          <w:sz w:val="24"/>
          <w:szCs w:val="24"/>
        </w:rPr>
        <w:t xml:space="preserve"> ou de crianças e adolescentes</w:t>
      </w:r>
      <w:r>
        <w:rPr>
          <w:rFonts w:ascii="Times New Roman" w:hAnsi="Times New Roman" w:cs="Times New Roman"/>
          <w:sz w:val="24"/>
          <w:szCs w:val="24"/>
        </w:rPr>
        <w:t xml:space="preserve">. </w:t>
      </w:r>
    </w:p>
    <w:p w14:paraId="76DF3D4D" w14:textId="1DEFAD62" w:rsidR="009A338E" w:rsidRDefault="00B331DE" w:rsidP="00B331DE">
      <w:pPr>
        <w:pStyle w:val="t"/>
        <w:spacing w:before="120" w:after="120" w:line="360" w:lineRule="auto"/>
        <w:ind w:firstLine="1701"/>
        <w:rPr>
          <w:rFonts w:ascii="Times New Roman" w:hAnsi="Times New Roman" w:cs="Times New Roman"/>
          <w:sz w:val="24"/>
          <w:szCs w:val="24"/>
        </w:rPr>
      </w:pPr>
      <w:r>
        <w:rPr>
          <w:rFonts w:ascii="Times New Roman" w:hAnsi="Times New Roman" w:cs="Times New Roman"/>
          <w:sz w:val="24"/>
          <w:szCs w:val="24"/>
        </w:rPr>
        <w:t xml:space="preserve">Tratarei do seu teor no próximo artigo desta série, além de outras propostas aprovadas que dizem respeito ao Direito Civil Digital, </w:t>
      </w:r>
      <w:r w:rsidR="00614366">
        <w:rPr>
          <w:rFonts w:ascii="Times New Roman" w:hAnsi="Times New Roman" w:cs="Times New Roman"/>
          <w:sz w:val="24"/>
          <w:szCs w:val="24"/>
        </w:rPr>
        <w:t>a</w:t>
      </w:r>
      <w:r>
        <w:rPr>
          <w:rFonts w:ascii="Times New Roman" w:hAnsi="Times New Roman" w:cs="Times New Roman"/>
          <w:sz w:val="24"/>
          <w:szCs w:val="24"/>
        </w:rPr>
        <w:t xml:space="preserve">o Direito de Família e </w:t>
      </w:r>
      <w:r w:rsidR="00D22681">
        <w:rPr>
          <w:rFonts w:ascii="Times New Roman" w:hAnsi="Times New Roman" w:cs="Times New Roman"/>
          <w:sz w:val="24"/>
          <w:szCs w:val="24"/>
        </w:rPr>
        <w:t xml:space="preserve">ao Direito </w:t>
      </w:r>
      <w:r>
        <w:rPr>
          <w:rFonts w:ascii="Times New Roman" w:hAnsi="Times New Roman" w:cs="Times New Roman"/>
          <w:sz w:val="24"/>
          <w:szCs w:val="24"/>
        </w:rPr>
        <w:t>das Sucessões, tema</w:t>
      </w:r>
      <w:r w:rsidR="00D654A8">
        <w:rPr>
          <w:rFonts w:ascii="Times New Roman" w:hAnsi="Times New Roman" w:cs="Times New Roman"/>
          <w:sz w:val="24"/>
          <w:szCs w:val="24"/>
        </w:rPr>
        <w:t>s</w:t>
      </w:r>
      <w:r>
        <w:rPr>
          <w:rFonts w:ascii="Times New Roman" w:hAnsi="Times New Roman" w:cs="Times New Roman"/>
          <w:sz w:val="24"/>
          <w:szCs w:val="24"/>
        </w:rPr>
        <w:t xml:space="preserve"> que t</w:t>
      </w:r>
      <w:r w:rsidR="00D654A8">
        <w:rPr>
          <w:rFonts w:ascii="Times New Roman" w:hAnsi="Times New Roman" w:cs="Times New Roman"/>
          <w:sz w:val="24"/>
          <w:szCs w:val="24"/>
        </w:rPr>
        <w:t xml:space="preserve">êm </w:t>
      </w:r>
      <w:r>
        <w:rPr>
          <w:rFonts w:ascii="Times New Roman" w:hAnsi="Times New Roman" w:cs="Times New Roman"/>
          <w:sz w:val="24"/>
          <w:szCs w:val="24"/>
        </w:rPr>
        <w:t>sido objeto do</w:t>
      </w:r>
      <w:r w:rsidR="00D22681">
        <w:rPr>
          <w:rFonts w:ascii="Times New Roman" w:hAnsi="Times New Roman" w:cs="Times New Roman"/>
          <w:sz w:val="24"/>
          <w:szCs w:val="24"/>
        </w:rPr>
        <w:t>s</w:t>
      </w:r>
      <w:r>
        <w:rPr>
          <w:rFonts w:ascii="Times New Roman" w:hAnsi="Times New Roman" w:cs="Times New Roman"/>
          <w:sz w:val="24"/>
          <w:szCs w:val="24"/>
        </w:rPr>
        <w:t xml:space="preserve"> meu</w:t>
      </w:r>
      <w:r w:rsidR="00D22681">
        <w:rPr>
          <w:rFonts w:ascii="Times New Roman" w:hAnsi="Times New Roman" w:cs="Times New Roman"/>
          <w:sz w:val="24"/>
          <w:szCs w:val="24"/>
        </w:rPr>
        <w:t>s</w:t>
      </w:r>
      <w:r>
        <w:rPr>
          <w:rFonts w:ascii="Times New Roman" w:hAnsi="Times New Roman" w:cs="Times New Roman"/>
          <w:sz w:val="24"/>
          <w:szCs w:val="24"/>
        </w:rPr>
        <w:t xml:space="preserve"> estudo</w:t>
      </w:r>
      <w:r w:rsidR="00D22681">
        <w:rPr>
          <w:rFonts w:ascii="Times New Roman" w:hAnsi="Times New Roman" w:cs="Times New Roman"/>
          <w:sz w:val="24"/>
          <w:szCs w:val="24"/>
        </w:rPr>
        <w:t>s</w:t>
      </w:r>
      <w:r>
        <w:rPr>
          <w:rFonts w:ascii="Times New Roman" w:hAnsi="Times New Roman" w:cs="Times New Roman"/>
          <w:sz w:val="24"/>
          <w:szCs w:val="24"/>
        </w:rPr>
        <w:t xml:space="preserve"> nos últimos anos. </w:t>
      </w:r>
    </w:p>
    <w:p w14:paraId="586CEBB7" w14:textId="77777777" w:rsidR="009A338E" w:rsidRPr="009A338E" w:rsidRDefault="009A338E" w:rsidP="009A338E">
      <w:pPr>
        <w:rPr>
          <w:lang w:eastAsia="pt-BR"/>
        </w:rPr>
      </w:pPr>
    </w:p>
    <w:p w14:paraId="081A6E5C" w14:textId="77777777" w:rsidR="00447D60" w:rsidRPr="00447D60" w:rsidRDefault="00447D60" w:rsidP="00447D60">
      <w:pPr>
        <w:rPr>
          <w:lang w:eastAsia="pt-BR"/>
        </w:rPr>
      </w:pPr>
    </w:p>
    <w:p w14:paraId="1CBF15AC" w14:textId="77777777" w:rsidR="00447D60" w:rsidRPr="00447D60" w:rsidRDefault="00447D60" w:rsidP="00447D60">
      <w:pPr>
        <w:rPr>
          <w:lang w:eastAsia="pt-BR"/>
        </w:rPr>
      </w:pPr>
    </w:p>
    <w:sectPr w:rsidR="00447D60" w:rsidRPr="00447D60" w:rsidSect="007F14FB">
      <w:footerReference w:type="default" r:id="rId8"/>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8E3D0BF" w14:textId="77777777" w:rsidR="00632D73" w:rsidRPr="00506A24" w:rsidRDefault="00632D73" w:rsidP="00B15AD0">
      <w:pPr>
        <w:spacing w:after="0" w:line="240" w:lineRule="auto"/>
      </w:pPr>
      <w:r w:rsidRPr="00506A24">
        <w:separator/>
      </w:r>
    </w:p>
  </w:endnote>
  <w:endnote w:type="continuationSeparator" w:id="0">
    <w:p w14:paraId="77A2A041" w14:textId="77777777" w:rsidR="00632D73" w:rsidRPr="00506A24" w:rsidRDefault="00632D73" w:rsidP="00B15AD0">
      <w:pPr>
        <w:spacing w:after="0" w:line="240" w:lineRule="auto"/>
      </w:pPr>
      <w:r w:rsidRPr="00506A24">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MinionPro-Regular">
    <w:altName w:val="Calibri"/>
    <w:panose1 w:val="00000000000000000000"/>
    <w:charset w:val="00"/>
    <w:family w:val="auto"/>
    <w:notTrueType/>
    <w:pitch w:val="default"/>
    <w:sig w:usb0="00000003" w:usb1="00000000" w:usb2="00000000" w:usb3="00000000" w:csb0="00000001" w:csb1="00000000"/>
  </w:font>
  <w:font w:name="Yu Mincho">
    <w:panose1 w:val="02020400000000000000"/>
    <w:charset w:val="80"/>
    <w:family w:val="roman"/>
    <w:pitch w:val="variable"/>
    <w:sig w:usb0="800002E7" w:usb1="2AC7FCFF" w:usb2="00000012" w:usb3="00000000" w:csb0="0002009F" w:csb1="00000000"/>
  </w:font>
  <w:font w:name="MyriadPro-Regular">
    <w:altName w:val="Malgun Gothic"/>
    <w:panose1 w:val="00000000000000000000"/>
    <w:charset w:val="00"/>
    <w:family w:val="auto"/>
    <w:notTrueType/>
    <w:pitch w:val="default"/>
    <w:sig w:usb0="00000003" w:usb1="00000000" w:usb2="00000000" w:usb3="00000000" w:csb0="00000001"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559919016"/>
      <w:docPartObj>
        <w:docPartGallery w:val="Page Numbers (Bottom of Page)"/>
        <w:docPartUnique/>
      </w:docPartObj>
    </w:sdtPr>
    <w:sdtContent>
      <w:p w14:paraId="5C9B0961" w14:textId="1488891B" w:rsidR="00313722" w:rsidRPr="00506A24" w:rsidRDefault="00B06309">
        <w:pPr>
          <w:pStyle w:val="Rodap"/>
          <w:jc w:val="right"/>
        </w:pPr>
        <w:r w:rsidRPr="00506A24">
          <w:fldChar w:fldCharType="begin"/>
        </w:r>
        <w:r w:rsidRPr="00506A24">
          <w:instrText xml:space="preserve"> PAGE   \* MERGEFORMAT </w:instrText>
        </w:r>
        <w:r w:rsidRPr="00506A24">
          <w:fldChar w:fldCharType="separate"/>
        </w:r>
        <w:r w:rsidR="009F5F3F">
          <w:rPr>
            <w:noProof/>
          </w:rPr>
          <w:t>1</w:t>
        </w:r>
        <w:r w:rsidRPr="00506A24">
          <w:fldChar w:fldCharType="end"/>
        </w:r>
      </w:p>
    </w:sdtContent>
  </w:sdt>
  <w:p w14:paraId="42C3C8E5" w14:textId="77777777" w:rsidR="00313722" w:rsidRPr="00506A24" w:rsidRDefault="00313722">
    <w:pPr>
      <w:pStyle w:val="Rodap"/>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6749092" w14:textId="77777777" w:rsidR="00632D73" w:rsidRPr="00506A24" w:rsidRDefault="00632D73" w:rsidP="00B15AD0">
      <w:pPr>
        <w:spacing w:after="0" w:line="240" w:lineRule="auto"/>
      </w:pPr>
      <w:r w:rsidRPr="00506A24">
        <w:separator/>
      </w:r>
    </w:p>
  </w:footnote>
  <w:footnote w:type="continuationSeparator" w:id="0">
    <w:p w14:paraId="0145487F" w14:textId="77777777" w:rsidR="00632D73" w:rsidRPr="00506A24" w:rsidRDefault="00632D73" w:rsidP="00B15AD0">
      <w:pPr>
        <w:spacing w:after="0" w:line="240" w:lineRule="auto"/>
      </w:pPr>
      <w:r w:rsidRPr="00506A24">
        <w:continuationSeparator/>
      </w:r>
    </w:p>
  </w:footnote>
  <w:footnote w:id="1">
    <w:p w14:paraId="1C5C5CE1" w14:textId="77777777" w:rsidR="00313722" w:rsidRPr="00197971" w:rsidRDefault="00313722" w:rsidP="00B15AD0">
      <w:pPr>
        <w:pStyle w:val="Textodenotaderodap"/>
        <w:jc w:val="both"/>
      </w:pPr>
      <w:r w:rsidRPr="00506A24">
        <w:rPr>
          <w:rStyle w:val="Refdenotaderodap"/>
        </w:rPr>
        <w:footnoteRef/>
      </w:r>
      <w:r w:rsidRPr="00506A24">
        <w:t xml:space="preserve"> Pós-Doutor e Doutor em Direito Civil pela USP. Mestre em Direito Civil Comparado pela PUCSP. Professor Titular permanente e coordenador do mestrado da Escola Paulista de Direito (EPD). Professor e coordenador dos cursos de pós-graduação </w:t>
      </w:r>
      <w:r w:rsidRPr="00506A24">
        <w:rPr>
          <w:i/>
        </w:rPr>
        <w:t>lato sensu</w:t>
      </w:r>
      <w:r w:rsidRPr="00506A24">
        <w:t xml:space="preserve"> em Direito Privado da EPD. Relator do Projeto de Reforma do Código Civil. Primeiro Presidente e Fundador do Instituto Brasileiro de Direito Contratual (IBDCONT). Conselheiro Federal da OAB, pela OABSP. Advogado em São Paulo, parecerista, árbitro e consultor jurídico. </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0666753"/>
    <w:multiLevelType w:val="hybridMultilevel"/>
    <w:tmpl w:val="54162384"/>
    <w:lvl w:ilvl="0" w:tplc="F97CC47C">
      <w:start w:val="1"/>
      <w:numFmt w:val="decimal"/>
      <w:lvlText w:val="%1)"/>
      <w:lvlJc w:val="left"/>
      <w:pPr>
        <w:ind w:left="1020" w:hanging="360"/>
      </w:pPr>
    </w:lvl>
    <w:lvl w:ilvl="1" w:tplc="4D3C6446">
      <w:start w:val="1"/>
      <w:numFmt w:val="decimal"/>
      <w:lvlText w:val="%2)"/>
      <w:lvlJc w:val="left"/>
      <w:pPr>
        <w:ind w:left="1020" w:hanging="360"/>
      </w:pPr>
    </w:lvl>
    <w:lvl w:ilvl="2" w:tplc="579EAB1A">
      <w:start w:val="1"/>
      <w:numFmt w:val="decimal"/>
      <w:lvlText w:val="%3)"/>
      <w:lvlJc w:val="left"/>
      <w:pPr>
        <w:ind w:left="1020" w:hanging="360"/>
      </w:pPr>
    </w:lvl>
    <w:lvl w:ilvl="3" w:tplc="952E9B12">
      <w:start w:val="1"/>
      <w:numFmt w:val="decimal"/>
      <w:lvlText w:val="%4)"/>
      <w:lvlJc w:val="left"/>
      <w:pPr>
        <w:ind w:left="1020" w:hanging="360"/>
      </w:pPr>
    </w:lvl>
    <w:lvl w:ilvl="4" w:tplc="6D360AEA">
      <w:start w:val="1"/>
      <w:numFmt w:val="decimal"/>
      <w:lvlText w:val="%5)"/>
      <w:lvlJc w:val="left"/>
      <w:pPr>
        <w:ind w:left="1020" w:hanging="360"/>
      </w:pPr>
    </w:lvl>
    <w:lvl w:ilvl="5" w:tplc="2E0E23EA">
      <w:start w:val="1"/>
      <w:numFmt w:val="decimal"/>
      <w:lvlText w:val="%6)"/>
      <w:lvlJc w:val="left"/>
      <w:pPr>
        <w:ind w:left="1020" w:hanging="360"/>
      </w:pPr>
    </w:lvl>
    <w:lvl w:ilvl="6" w:tplc="4BD0F8E6">
      <w:start w:val="1"/>
      <w:numFmt w:val="decimal"/>
      <w:lvlText w:val="%7)"/>
      <w:lvlJc w:val="left"/>
      <w:pPr>
        <w:ind w:left="1020" w:hanging="360"/>
      </w:pPr>
    </w:lvl>
    <w:lvl w:ilvl="7" w:tplc="4296E6EA">
      <w:start w:val="1"/>
      <w:numFmt w:val="decimal"/>
      <w:lvlText w:val="%8)"/>
      <w:lvlJc w:val="left"/>
      <w:pPr>
        <w:ind w:left="1020" w:hanging="360"/>
      </w:pPr>
    </w:lvl>
    <w:lvl w:ilvl="8" w:tplc="3DD4651E">
      <w:start w:val="1"/>
      <w:numFmt w:val="decimal"/>
      <w:lvlText w:val="%9)"/>
      <w:lvlJc w:val="left"/>
      <w:pPr>
        <w:ind w:left="1020" w:hanging="360"/>
      </w:pPr>
    </w:lvl>
  </w:abstractNum>
  <w:abstractNum w:abstractNumId="1" w15:restartNumberingAfterBreak="0">
    <w:nsid w:val="6C6E78FF"/>
    <w:multiLevelType w:val="hybridMultilevel"/>
    <w:tmpl w:val="3A94B62E"/>
    <w:lvl w:ilvl="0" w:tplc="04160001">
      <w:start w:val="1"/>
      <w:numFmt w:val="bullet"/>
      <w:lvlText w:val=""/>
      <w:lvlJc w:val="left"/>
      <w:pPr>
        <w:ind w:left="1287" w:hanging="360"/>
      </w:pPr>
      <w:rPr>
        <w:rFonts w:ascii="Symbol" w:hAnsi="Symbol" w:hint="default"/>
      </w:rPr>
    </w:lvl>
    <w:lvl w:ilvl="1" w:tplc="04160003" w:tentative="1">
      <w:start w:val="1"/>
      <w:numFmt w:val="bullet"/>
      <w:lvlText w:val="o"/>
      <w:lvlJc w:val="left"/>
      <w:pPr>
        <w:ind w:left="2007" w:hanging="360"/>
      </w:pPr>
      <w:rPr>
        <w:rFonts w:ascii="Courier New" w:hAnsi="Courier New" w:cs="Courier New" w:hint="default"/>
      </w:rPr>
    </w:lvl>
    <w:lvl w:ilvl="2" w:tplc="04160005" w:tentative="1">
      <w:start w:val="1"/>
      <w:numFmt w:val="bullet"/>
      <w:lvlText w:val=""/>
      <w:lvlJc w:val="left"/>
      <w:pPr>
        <w:ind w:left="2727" w:hanging="360"/>
      </w:pPr>
      <w:rPr>
        <w:rFonts w:ascii="Wingdings" w:hAnsi="Wingdings" w:hint="default"/>
      </w:rPr>
    </w:lvl>
    <w:lvl w:ilvl="3" w:tplc="04160001" w:tentative="1">
      <w:start w:val="1"/>
      <w:numFmt w:val="bullet"/>
      <w:lvlText w:val=""/>
      <w:lvlJc w:val="left"/>
      <w:pPr>
        <w:ind w:left="3447" w:hanging="360"/>
      </w:pPr>
      <w:rPr>
        <w:rFonts w:ascii="Symbol" w:hAnsi="Symbol" w:hint="default"/>
      </w:rPr>
    </w:lvl>
    <w:lvl w:ilvl="4" w:tplc="04160003" w:tentative="1">
      <w:start w:val="1"/>
      <w:numFmt w:val="bullet"/>
      <w:lvlText w:val="o"/>
      <w:lvlJc w:val="left"/>
      <w:pPr>
        <w:ind w:left="4167" w:hanging="360"/>
      </w:pPr>
      <w:rPr>
        <w:rFonts w:ascii="Courier New" w:hAnsi="Courier New" w:cs="Courier New" w:hint="default"/>
      </w:rPr>
    </w:lvl>
    <w:lvl w:ilvl="5" w:tplc="04160005" w:tentative="1">
      <w:start w:val="1"/>
      <w:numFmt w:val="bullet"/>
      <w:lvlText w:val=""/>
      <w:lvlJc w:val="left"/>
      <w:pPr>
        <w:ind w:left="4887" w:hanging="360"/>
      </w:pPr>
      <w:rPr>
        <w:rFonts w:ascii="Wingdings" w:hAnsi="Wingdings" w:hint="default"/>
      </w:rPr>
    </w:lvl>
    <w:lvl w:ilvl="6" w:tplc="04160001" w:tentative="1">
      <w:start w:val="1"/>
      <w:numFmt w:val="bullet"/>
      <w:lvlText w:val=""/>
      <w:lvlJc w:val="left"/>
      <w:pPr>
        <w:ind w:left="5607" w:hanging="360"/>
      </w:pPr>
      <w:rPr>
        <w:rFonts w:ascii="Symbol" w:hAnsi="Symbol" w:hint="default"/>
      </w:rPr>
    </w:lvl>
    <w:lvl w:ilvl="7" w:tplc="04160003" w:tentative="1">
      <w:start w:val="1"/>
      <w:numFmt w:val="bullet"/>
      <w:lvlText w:val="o"/>
      <w:lvlJc w:val="left"/>
      <w:pPr>
        <w:ind w:left="6327" w:hanging="360"/>
      </w:pPr>
      <w:rPr>
        <w:rFonts w:ascii="Courier New" w:hAnsi="Courier New" w:cs="Courier New" w:hint="default"/>
      </w:rPr>
    </w:lvl>
    <w:lvl w:ilvl="8" w:tplc="04160005" w:tentative="1">
      <w:start w:val="1"/>
      <w:numFmt w:val="bullet"/>
      <w:lvlText w:val=""/>
      <w:lvlJc w:val="left"/>
      <w:pPr>
        <w:ind w:left="7047" w:hanging="360"/>
      </w:pPr>
      <w:rPr>
        <w:rFonts w:ascii="Wingdings" w:hAnsi="Wingdings" w:hint="default"/>
      </w:rPr>
    </w:lvl>
  </w:abstractNum>
  <w:num w:numId="1" w16cid:durableId="297148060">
    <w:abstractNumId w:val="1"/>
  </w:num>
  <w:num w:numId="2" w16cid:durableId="15433992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90"/>
  <w:proofState w:spelling="clean" w:grammar="clean"/>
  <w:defaultTabStop w:val="708"/>
  <w:hyphenationZone w:val="425"/>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9684D"/>
    <w:rsid w:val="00002059"/>
    <w:rsid w:val="00004278"/>
    <w:rsid w:val="00010B62"/>
    <w:rsid w:val="00012D24"/>
    <w:rsid w:val="00013106"/>
    <w:rsid w:val="00014A13"/>
    <w:rsid w:val="000163F9"/>
    <w:rsid w:val="000165B6"/>
    <w:rsid w:val="0002246D"/>
    <w:rsid w:val="000272D3"/>
    <w:rsid w:val="00042DD9"/>
    <w:rsid w:val="0006022B"/>
    <w:rsid w:val="000618D8"/>
    <w:rsid w:val="00061D0E"/>
    <w:rsid w:val="00061D24"/>
    <w:rsid w:val="00061D89"/>
    <w:rsid w:val="00065809"/>
    <w:rsid w:val="00071A54"/>
    <w:rsid w:val="00081B5A"/>
    <w:rsid w:val="00081F89"/>
    <w:rsid w:val="00084038"/>
    <w:rsid w:val="00090984"/>
    <w:rsid w:val="00091C4D"/>
    <w:rsid w:val="00092468"/>
    <w:rsid w:val="000967F8"/>
    <w:rsid w:val="000A0500"/>
    <w:rsid w:val="000A1BE1"/>
    <w:rsid w:val="000A1DAE"/>
    <w:rsid w:val="000A20A3"/>
    <w:rsid w:val="000A4AFE"/>
    <w:rsid w:val="000A6A8E"/>
    <w:rsid w:val="000B00D7"/>
    <w:rsid w:val="000B0D00"/>
    <w:rsid w:val="000B199E"/>
    <w:rsid w:val="000B3C12"/>
    <w:rsid w:val="000B4F9A"/>
    <w:rsid w:val="000B6EDD"/>
    <w:rsid w:val="000C0579"/>
    <w:rsid w:val="000C5F8E"/>
    <w:rsid w:val="000D4EB5"/>
    <w:rsid w:val="000D5EE0"/>
    <w:rsid w:val="000D6AB7"/>
    <w:rsid w:val="000D7B84"/>
    <w:rsid w:val="000E69A0"/>
    <w:rsid w:val="000E76DF"/>
    <w:rsid w:val="000E7C7A"/>
    <w:rsid w:val="000F397F"/>
    <w:rsid w:val="00101681"/>
    <w:rsid w:val="00103B8D"/>
    <w:rsid w:val="001115BE"/>
    <w:rsid w:val="001164E8"/>
    <w:rsid w:val="00121038"/>
    <w:rsid w:val="001257FC"/>
    <w:rsid w:val="00127619"/>
    <w:rsid w:val="00130044"/>
    <w:rsid w:val="0013242A"/>
    <w:rsid w:val="00140F1A"/>
    <w:rsid w:val="001431C6"/>
    <w:rsid w:val="0014589B"/>
    <w:rsid w:val="00147FD2"/>
    <w:rsid w:val="0015250A"/>
    <w:rsid w:val="00154A54"/>
    <w:rsid w:val="00155FF7"/>
    <w:rsid w:val="0015785B"/>
    <w:rsid w:val="001604A2"/>
    <w:rsid w:val="00162445"/>
    <w:rsid w:val="00163219"/>
    <w:rsid w:val="0017096B"/>
    <w:rsid w:val="00174761"/>
    <w:rsid w:val="00176E7D"/>
    <w:rsid w:val="001A1246"/>
    <w:rsid w:val="001A33D9"/>
    <w:rsid w:val="001A3BB7"/>
    <w:rsid w:val="001A3C52"/>
    <w:rsid w:val="001B0CD7"/>
    <w:rsid w:val="001B36E1"/>
    <w:rsid w:val="001B45D7"/>
    <w:rsid w:val="001B648E"/>
    <w:rsid w:val="001C0743"/>
    <w:rsid w:val="001C0BF5"/>
    <w:rsid w:val="001C20B6"/>
    <w:rsid w:val="001C3F9C"/>
    <w:rsid w:val="001D10F0"/>
    <w:rsid w:val="001D23C5"/>
    <w:rsid w:val="001D248B"/>
    <w:rsid w:val="001D26B5"/>
    <w:rsid w:val="001D2D3A"/>
    <w:rsid w:val="001D2FCE"/>
    <w:rsid w:val="001D4C59"/>
    <w:rsid w:val="001E3A72"/>
    <w:rsid w:val="001E5FD0"/>
    <w:rsid w:val="001F0B30"/>
    <w:rsid w:val="001F7416"/>
    <w:rsid w:val="00204797"/>
    <w:rsid w:val="00205620"/>
    <w:rsid w:val="002057D0"/>
    <w:rsid w:val="00216BE4"/>
    <w:rsid w:val="002173DE"/>
    <w:rsid w:val="00223883"/>
    <w:rsid w:val="00226F9E"/>
    <w:rsid w:val="00227988"/>
    <w:rsid w:val="00231DBA"/>
    <w:rsid w:val="00231DCF"/>
    <w:rsid w:val="00234405"/>
    <w:rsid w:val="00240103"/>
    <w:rsid w:val="00240B32"/>
    <w:rsid w:val="002628DD"/>
    <w:rsid w:val="0027030E"/>
    <w:rsid w:val="00270AAC"/>
    <w:rsid w:val="00275DC5"/>
    <w:rsid w:val="0027678B"/>
    <w:rsid w:val="00276D6A"/>
    <w:rsid w:val="0027700F"/>
    <w:rsid w:val="002809A2"/>
    <w:rsid w:val="00283304"/>
    <w:rsid w:val="00283C6E"/>
    <w:rsid w:val="0028639A"/>
    <w:rsid w:val="002876ED"/>
    <w:rsid w:val="00295705"/>
    <w:rsid w:val="00295C84"/>
    <w:rsid w:val="00296B3B"/>
    <w:rsid w:val="00297F8D"/>
    <w:rsid w:val="002A1A09"/>
    <w:rsid w:val="002A471D"/>
    <w:rsid w:val="002A4A94"/>
    <w:rsid w:val="002A60FF"/>
    <w:rsid w:val="002B12EB"/>
    <w:rsid w:val="002B7539"/>
    <w:rsid w:val="002B77B1"/>
    <w:rsid w:val="002B7E62"/>
    <w:rsid w:val="002C0424"/>
    <w:rsid w:val="002C20BD"/>
    <w:rsid w:val="002C5F94"/>
    <w:rsid w:val="002D2CA8"/>
    <w:rsid w:val="002D7126"/>
    <w:rsid w:val="002D75F5"/>
    <w:rsid w:val="002E06BF"/>
    <w:rsid w:val="002E0A51"/>
    <w:rsid w:val="002E174E"/>
    <w:rsid w:val="002E1E6F"/>
    <w:rsid w:val="002E2013"/>
    <w:rsid w:val="002F013F"/>
    <w:rsid w:val="002F1032"/>
    <w:rsid w:val="002F1121"/>
    <w:rsid w:val="002F1277"/>
    <w:rsid w:val="002F6BCE"/>
    <w:rsid w:val="003045A4"/>
    <w:rsid w:val="003079E0"/>
    <w:rsid w:val="00310780"/>
    <w:rsid w:val="00311DC8"/>
    <w:rsid w:val="00313722"/>
    <w:rsid w:val="003156EB"/>
    <w:rsid w:val="00316B68"/>
    <w:rsid w:val="00325274"/>
    <w:rsid w:val="0032631E"/>
    <w:rsid w:val="00331477"/>
    <w:rsid w:val="003358E3"/>
    <w:rsid w:val="00341469"/>
    <w:rsid w:val="00341F09"/>
    <w:rsid w:val="003509A8"/>
    <w:rsid w:val="00351820"/>
    <w:rsid w:val="00353FDF"/>
    <w:rsid w:val="00354174"/>
    <w:rsid w:val="00356BC1"/>
    <w:rsid w:val="00357109"/>
    <w:rsid w:val="0037094A"/>
    <w:rsid w:val="00376D27"/>
    <w:rsid w:val="0038223F"/>
    <w:rsid w:val="003869F0"/>
    <w:rsid w:val="00394C9F"/>
    <w:rsid w:val="00395C20"/>
    <w:rsid w:val="003964F7"/>
    <w:rsid w:val="00396C5B"/>
    <w:rsid w:val="003A2D67"/>
    <w:rsid w:val="003B0F36"/>
    <w:rsid w:val="003C0ADC"/>
    <w:rsid w:val="003D1130"/>
    <w:rsid w:val="003D758C"/>
    <w:rsid w:val="003E6BFA"/>
    <w:rsid w:val="003F45B3"/>
    <w:rsid w:val="00412ABA"/>
    <w:rsid w:val="00416565"/>
    <w:rsid w:val="00416BAE"/>
    <w:rsid w:val="00420F7D"/>
    <w:rsid w:val="00421AAD"/>
    <w:rsid w:val="004231D8"/>
    <w:rsid w:val="004263CC"/>
    <w:rsid w:val="00440E97"/>
    <w:rsid w:val="0044129B"/>
    <w:rsid w:val="004420C9"/>
    <w:rsid w:val="004459BC"/>
    <w:rsid w:val="00447D60"/>
    <w:rsid w:val="00451CC8"/>
    <w:rsid w:val="00461BBB"/>
    <w:rsid w:val="00463CAE"/>
    <w:rsid w:val="0046464F"/>
    <w:rsid w:val="00465B35"/>
    <w:rsid w:val="004702C9"/>
    <w:rsid w:val="00473561"/>
    <w:rsid w:val="00475A7F"/>
    <w:rsid w:val="00486631"/>
    <w:rsid w:val="00494160"/>
    <w:rsid w:val="004B0CC8"/>
    <w:rsid w:val="004B1ABA"/>
    <w:rsid w:val="004C28CC"/>
    <w:rsid w:val="004C2B01"/>
    <w:rsid w:val="004C50B9"/>
    <w:rsid w:val="004C6716"/>
    <w:rsid w:val="004C6CAD"/>
    <w:rsid w:val="004D192A"/>
    <w:rsid w:val="004D3C8B"/>
    <w:rsid w:val="004E68BF"/>
    <w:rsid w:val="004F108D"/>
    <w:rsid w:val="004F5A0C"/>
    <w:rsid w:val="005019A9"/>
    <w:rsid w:val="00505C0B"/>
    <w:rsid w:val="00505F81"/>
    <w:rsid w:val="00506A24"/>
    <w:rsid w:val="00507514"/>
    <w:rsid w:val="00510D5E"/>
    <w:rsid w:val="0051186F"/>
    <w:rsid w:val="00513172"/>
    <w:rsid w:val="00520F3F"/>
    <w:rsid w:val="00521AD5"/>
    <w:rsid w:val="00525923"/>
    <w:rsid w:val="005264F9"/>
    <w:rsid w:val="00537B7E"/>
    <w:rsid w:val="00540A1C"/>
    <w:rsid w:val="00550067"/>
    <w:rsid w:val="00551126"/>
    <w:rsid w:val="00552DBC"/>
    <w:rsid w:val="00554A9A"/>
    <w:rsid w:val="00555174"/>
    <w:rsid w:val="00560AB1"/>
    <w:rsid w:val="00565371"/>
    <w:rsid w:val="005662A2"/>
    <w:rsid w:val="00572FB3"/>
    <w:rsid w:val="005803EC"/>
    <w:rsid w:val="00581D80"/>
    <w:rsid w:val="00582E0D"/>
    <w:rsid w:val="0058340B"/>
    <w:rsid w:val="005937B9"/>
    <w:rsid w:val="00594F57"/>
    <w:rsid w:val="005A0224"/>
    <w:rsid w:val="005A1CA7"/>
    <w:rsid w:val="005A5520"/>
    <w:rsid w:val="005A5D67"/>
    <w:rsid w:val="005A6CC3"/>
    <w:rsid w:val="005B6FDC"/>
    <w:rsid w:val="005C2B81"/>
    <w:rsid w:val="005C3438"/>
    <w:rsid w:val="005C3619"/>
    <w:rsid w:val="005C4502"/>
    <w:rsid w:val="005D3299"/>
    <w:rsid w:val="005D6822"/>
    <w:rsid w:val="005E4456"/>
    <w:rsid w:val="005E4E1C"/>
    <w:rsid w:val="005E57AA"/>
    <w:rsid w:val="005E5BC0"/>
    <w:rsid w:val="005F0E14"/>
    <w:rsid w:val="005F164A"/>
    <w:rsid w:val="005F1820"/>
    <w:rsid w:val="005F25C9"/>
    <w:rsid w:val="005F41FE"/>
    <w:rsid w:val="005F6BE4"/>
    <w:rsid w:val="005F7883"/>
    <w:rsid w:val="006067E7"/>
    <w:rsid w:val="00606C96"/>
    <w:rsid w:val="00610691"/>
    <w:rsid w:val="00613516"/>
    <w:rsid w:val="00614366"/>
    <w:rsid w:val="006169A5"/>
    <w:rsid w:val="00620620"/>
    <w:rsid w:val="00623FF3"/>
    <w:rsid w:val="00632D73"/>
    <w:rsid w:val="0063474C"/>
    <w:rsid w:val="00635A77"/>
    <w:rsid w:val="0063631C"/>
    <w:rsid w:val="00637D4E"/>
    <w:rsid w:val="0064646B"/>
    <w:rsid w:val="006503ED"/>
    <w:rsid w:val="0065126D"/>
    <w:rsid w:val="0065327B"/>
    <w:rsid w:val="00653C19"/>
    <w:rsid w:val="00653FEF"/>
    <w:rsid w:val="006551BA"/>
    <w:rsid w:val="0065579F"/>
    <w:rsid w:val="00664651"/>
    <w:rsid w:val="00666DBB"/>
    <w:rsid w:val="00667AAB"/>
    <w:rsid w:val="00674CF0"/>
    <w:rsid w:val="006815B4"/>
    <w:rsid w:val="00682647"/>
    <w:rsid w:val="00684049"/>
    <w:rsid w:val="00684EAE"/>
    <w:rsid w:val="00687D4D"/>
    <w:rsid w:val="00687F6F"/>
    <w:rsid w:val="00692442"/>
    <w:rsid w:val="006931D3"/>
    <w:rsid w:val="00693231"/>
    <w:rsid w:val="0069517F"/>
    <w:rsid w:val="00696537"/>
    <w:rsid w:val="00696E45"/>
    <w:rsid w:val="006A1DE3"/>
    <w:rsid w:val="006A20BD"/>
    <w:rsid w:val="006A24C2"/>
    <w:rsid w:val="006A3397"/>
    <w:rsid w:val="006A4626"/>
    <w:rsid w:val="006A67A7"/>
    <w:rsid w:val="006B0194"/>
    <w:rsid w:val="006B1CDC"/>
    <w:rsid w:val="006B4DC9"/>
    <w:rsid w:val="006B64C9"/>
    <w:rsid w:val="006D2259"/>
    <w:rsid w:val="006D389F"/>
    <w:rsid w:val="006D7C66"/>
    <w:rsid w:val="006E0C8C"/>
    <w:rsid w:val="006E1F16"/>
    <w:rsid w:val="006E434B"/>
    <w:rsid w:val="006F37FB"/>
    <w:rsid w:val="006F666B"/>
    <w:rsid w:val="006F7018"/>
    <w:rsid w:val="0070123D"/>
    <w:rsid w:val="007018A3"/>
    <w:rsid w:val="0070682D"/>
    <w:rsid w:val="00711BF6"/>
    <w:rsid w:val="0071408C"/>
    <w:rsid w:val="007154AD"/>
    <w:rsid w:val="007161E4"/>
    <w:rsid w:val="00722CAC"/>
    <w:rsid w:val="007318C7"/>
    <w:rsid w:val="007406B8"/>
    <w:rsid w:val="00741F35"/>
    <w:rsid w:val="00747200"/>
    <w:rsid w:val="0075158E"/>
    <w:rsid w:val="007522CF"/>
    <w:rsid w:val="00752FEE"/>
    <w:rsid w:val="007662FB"/>
    <w:rsid w:val="00771074"/>
    <w:rsid w:val="007713AD"/>
    <w:rsid w:val="007745E9"/>
    <w:rsid w:val="00774964"/>
    <w:rsid w:val="00777567"/>
    <w:rsid w:val="00777A2F"/>
    <w:rsid w:val="0078277B"/>
    <w:rsid w:val="00783334"/>
    <w:rsid w:val="00784107"/>
    <w:rsid w:val="00786CE4"/>
    <w:rsid w:val="007914E9"/>
    <w:rsid w:val="0079684D"/>
    <w:rsid w:val="007A0FB1"/>
    <w:rsid w:val="007A1060"/>
    <w:rsid w:val="007A54E4"/>
    <w:rsid w:val="007A6C76"/>
    <w:rsid w:val="007B113F"/>
    <w:rsid w:val="007B2E42"/>
    <w:rsid w:val="007B30A7"/>
    <w:rsid w:val="007B3258"/>
    <w:rsid w:val="007B355F"/>
    <w:rsid w:val="007B5E1B"/>
    <w:rsid w:val="007C17F4"/>
    <w:rsid w:val="007C1C26"/>
    <w:rsid w:val="007C517C"/>
    <w:rsid w:val="007D079B"/>
    <w:rsid w:val="007D0849"/>
    <w:rsid w:val="007D7E1C"/>
    <w:rsid w:val="007E25B9"/>
    <w:rsid w:val="007E6471"/>
    <w:rsid w:val="007F14FB"/>
    <w:rsid w:val="00801384"/>
    <w:rsid w:val="00802F39"/>
    <w:rsid w:val="00805969"/>
    <w:rsid w:val="0080683F"/>
    <w:rsid w:val="00806EDD"/>
    <w:rsid w:val="00824E4B"/>
    <w:rsid w:val="00830464"/>
    <w:rsid w:val="00831927"/>
    <w:rsid w:val="00832AE4"/>
    <w:rsid w:val="00851514"/>
    <w:rsid w:val="00851601"/>
    <w:rsid w:val="00852A04"/>
    <w:rsid w:val="00852DEB"/>
    <w:rsid w:val="00855774"/>
    <w:rsid w:val="008674E3"/>
    <w:rsid w:val="00867E84"/>
    <w:rsid w:val="00873645"/>
    <w:rsid w:val="00880709"/>
    <w:rsid w:val="00880ACE"/>
    <w:rsid w:val="00880B27"/>
    <w:rsid w:val="00885120"/>
    <w:rsid w:val="00895E9B"/>
    <w:rsid w:val="008A46FF"/>
    <w:rsid w:val="008A6200"/>
    <w:rsid w:val="008B65F8"/>
    <w:rsid w:val="008C19E7"/>
    <w:rsid w:val="008D1456"/>
    <w:rsid w:val="008D1E6F"/>
    <w:rsid w:val="008E513D"/>
    <w:rsid w:val="008F2C5D"/>
    <w:rsid w:val="008F63CA"/>
    <w:rsid w:val="0090223A"/>
    <w:rsid w:val="00902BB5"/>
    <w:rsid w:val="00906135"/>
    <w:rsid w:val="00907993"/>
    <w:rsid w:val="0091232E"/>
    <w:rsid w:val="00920A9B"/>
    <w:rsid w:val="00920C6E"/>
    <w:rsid w:val="0092561C"/>
    <w:rsid w:val="00925730"/>
    <w:rsid w:val="00932490"/>
    <w:rsid w:val="00932B41"/>
    <w:rsid w:val="009368C3"/>
    <w:rsid w:val="0094649F"/>
    <w:rsid w:val="009464A7"/>
    <w:rsid w:val="00946888"/>
    <w:rsid w:val="00952AB1"/>
    <w:rsid w:val="00953982"/>
    <w:rsid w:val="00954C6F"/>
    <w:rsid w:val="00955726"/>
    <w:rsid w:val="00956D2B"/>
    <w:rsid w:val="00960F98"/>
    <w:rsid w:val="00961295"/>
    <w:rsid w:val="00964A37"/>
    <w:rsid w:val="00965DB6"/>
    <w:rsid w:val="009661A3"/>
    <w:rsid w:val="009667C7"/>
    <w:rsid w:val="00971484"/>
    <w:rsid w:val="009715B4"/>
    <w:rsid w:val="00975C0F"/>
    <w:rsid w:val="0097659D"/>
    <w:rsid w:val="00977772"/>
    <w:rsid w:val="0098731E"/>
    <w:rsid w:val="009926B6"/>
    <w:rsid w:val="009A338E"/>
    <w:rsid w:val="009B1CDE"/>
    <w:rsid w:val="009B666C"/>
    <w:rsid w:val="009B75BF"/>
    <w:rsid w:val="009C00DA"/>
    <w:rsid w:val="009C3361"/>
    <w:rsid w:val="009C4399"/>
    <w:rsid w:val="009C5018"/>
    <w:rsid w:val="009D12E8"/>
    <w:rsid w:val="009D17EF"/>
    <w:rsid w:val="009D6C03"/>
    <w:rsid w:val="009E1D79"/>
    <w:rsid w:val="009E65DC"/>
    <w:rsid w:val="009F1929"/>
    <w:rsid w:val="009F594A"/>
    <w:rsid w:val="009F5F3F"/>
    <w:rsid w:val="009F6476"/>
    <w:rsid w:val="00A01D37"/>
    <w:rsid w:val="00A02347"/>
    <w:rsid w:val="00A06093"/>
    <w:rsid w:val="00A07A6F"/>
    <w:rsid w:val="00A1091B"/>
    <w:rsid w:val="00A109C6"/>
    <w:rsid w:val="00A10A11"/>
    <w:rsid w:val="00A1578D"/>
    <w:rsid w:val="00A15C1C"/>
    <w:rsid w:val="00A17286"/>
    <w:rsid w:val="00A20C07"/>
    <w:rsid w:val="00A21CE5"/>
    <w:rsid w:val="00A2489D"/>
    <w:rsid w:val="00A327F6"/>
    <w:rsid w:val="00A43AFD"/>
    <w:rsid w:val="00A442CF"/>
    <w:rsid w:val="00A44ECC"/>
    <w:rsid w:val="00A51146"/>
    <w:rsid w:val="00A57D4B"/>
    <w:rsid w:val="00A62ABF"/>
    <w:rsid w:val="00A73016"/>
    <w:rsid w:val="00A76A82"/>
    <w:rsid w:val="00A76C5C"/>
    <w:rsid w:val="00A80308"/>
    <w:rsid w:val="00A81FFC"/>
    <w:rsid w:val="00A82E3B"/>
    <w:rsid w:val="00A84FDB"/>
    <w:rsid w:val="00A86B2F"/>
    <w:rsid w:val="00A8793F"/>
    <w:rsid w:val="00A90F25"/>
    <w:rsid w:val="00A97842"/>
    <w:rsid w:val="00AA00C0"/>
    <w:rsid w:val="00AA1666"/>
    <w:rsid w:val="00AA56AC"/>
    <w:rsid w:val="00AB0E85"/>
    <w:rsid w:val="00AB462C"/>
    <w:rsid w:val="00AB7223"/>
    <w:rsid w:val="00AC193D"/>
    <w:rsid w:val="00AC7940"/>
    <w:rsid w:val="00AD19E0"/>
    <w:rsid w:val="00AD4060"/>
    <w:rsid w:val="00AD4158"/>
    <w:rsid w:val="00AD4464"/>
    <w:rsid w:val="00AE2D47"/>
    <w:rsid w:val="00AE43D6"/>
    <w:rsid w:val="00AE6358"/>
    <w:rsid w:val="00AE6736"/>
    <w:rsid w:val="00AF079D"/>
    <w:rsid w:val="00AF3E95"/>
    <w:rsid w:val="00AF41E1"/>
    <w:rsid w:val="00AF5CA9"/>
    <w:rsid w:val="00B005B5"/>
    <w:rsid w:val="00B01459"/>
    <w:rsid w:val="00B02847"/>
    <w:rsid w:val="00B06309"/>
    <w:rsid w:val="00B11339"/>
    <w:rsid w:val="00B15AD0"/>
    <w:rsid w:val="00B15C5A"/>
    <w:rsid w:val="00B23807"/>
    <w:rsid w:val="00B24B08"/>
    <w:rsid w:val="00B25CA7"/>
    <w:rsid w:val="00B26B79"/>
    <w:rsid w:val="00B30B9D"/>
    <w:rsid w:val="00B3241B"/>
    <w:rsid w:val="00B331DE"/>
    <w:rsid w:val="00B35B11"/>
    <w:rsid w:val="00B36E19"/>
    <w:rsid w:val="00B40CF5"/>
    <w:rsid w:val="00B41824"/>
    <w:rsid w:val="00B46C1C"/>
    <w:rsid w:val="00B47D6E"/>
    <w:rsid w:val="00B50585"/>
    <w:rsid w:val="00B5085B"/>
    <w:rsid w:val="00B5467F"/>
    <w:rsid w:val="00B57D95"/>
    <w:rsid w:val="00B61C0C"/>
    <w:rsid w:val="00B62174"/>
    <w:rsid w:val="00B65451"/>
    <w:rsid w:val="00B70649"/>
    <w:rsid w:val="00B70904"/>
    <w:rsid w:val="00B80F6E"/>
    <w:rsid w:val="00B82C9B"/>
    <w:rsid w:val="00B83A19"/>
    <w:rsid w:val="00B87B12"/>
    <w:rsid w:val="00B92183"/>
    <w:rsid w:val="00B92548"/>
    <w:rsid w:val="00B92F1F"/>
    <w:rsid w:val="00B96C3E"/>
    <w:rsid w:val="00B96D42"/>
    <w:rsid w:val="00B975F2"/>
    <w:rsid w:val="00BA23C3"/>
    <w:rsid w:val="00BA5F05"/>
    <w:rsid w:val="00BB1251"/>
    <w:rsid w:val="00BB144D"/>
    <w:rsid w:val="00BB541E"/>
    <w:rsid w:val="00BB60D6"/>
    <w:rsid w:val="00BB7705"/>
    <w:rsid w:val="00BC1801"/>
    <w:rsid w:val="00BC23E3"/>
    <w:rsid w:val="00BC3E67"/>
    <w:rsid w:val="00BD0315"/>
    <w:rsid w:val="00BD35D8"/>
    <w:rsid w:val="00BD40C8"/>
    <w:rsid w:val="00BD437B"/>
    <w:rsid w:val="00BE1CB2"/>
    <w:rsid w:val="00BE49BF"/>
    <w:rsid w:val="00BE77F7"/>
    <w:rsid w:val="00BE7A99"/>
    <w:rsid w:val="00BF00AE"/>
    <w:rsid w:val="00BF18DC"/>
    <w:rsid w:val="00BF45D8"/>
    <w:rsid w:val="00BF7D04"/>
    <w:rsid w:val="00C002DB"/>
    <w:rsid w:val="00C06F0A"/>
    <w:rsid w:val="00C11874"/>
    <w:rsid w:val="00C26650"/>
    <w:rsid w:val="00C31189"/>
    <w:rsid w:val="00C404EB"/>
    <w:rsid w:val="00C45AC9"/>
    <w:rsid w:val="00C53FB9"/>
    <w:rsid w:val="00C55C23"/>
    <w:rsid w:val="00C55F21"/>
    <w:rsid w:val="00C5797D"/>
    <w:rsid w:val="00C650C5"/>
    <w:rsid w:val="00C73750"/>
    <w:rsid w:val="00C73DE8"/>
    <w:rsid w:val="00C75E3D"/>
    <w:rsid w:val="00C81C6B"/>
    <w:rsid w:val="00C81D18"/>
    <w:rsid w:val="00C81F81"/>
    <w:rsid w:val="00C82083"/>
    <w:rsid w:val="00C92E87"/>
    <w:rsid w:val="00C94ADB"/>
    <w:rsid w:val="00C94D42"/>
    <w:rsid w:val="00C94F2F"/>
    <w:rsid w:val="00CA0E59"/>
    <w:rsid w:val="00CA24B4"/>
    <w:rsid w:val="00CA27DC"/>
    <w:rsid w:val="00CA41F7"/>
    <w:rsid w:val="00CA5D25"/>
    <w:rsid w:val="00CA6B4A"/>
    <w:rsid w:val="00CA6F54"/>
    <w:rsid w:val="00CA7E3B"/>
    <w:rsid w:val="00CB291F"/>
    <w:rsid w:val="00CB34BC"/>
    <w:rsid w:val="00CC320E"/>
    <w:rsid w:val="00CC5417"/>
    <w:rsid w:val="00CC5480"/>
    <w:rsid w:val="00CD2BEF"/>
    <w:rsid w:val="00CD50B1"/>
    <w:rsid w:val="00CE435B"/>
    <w:rsid w:val="00CE43E1"/>
    <w:rsid w:val="00CE530B"/>
    <w:rsid w:val="00CE63DB"/>
    <w:rsid w:val="00CE7C6D"/>
    <w:rsid w:val="00CF55C8"/>
    <w:rsid w:val="00D01AB6"/>
    <w:rsid w:val="00D0211A"/>
    <w:rsid w:val="00D046C6"/>
    <w:rsid w:val="00D046F1"/>
    <w:rsid w:val="00D04F1C"/>
    <w:rsid w:val="00D07EB8"/>
    <w:rsid w:val="00D13683"/>
    <w:rsid w:val="00D146BD"/>
    <w:rsid w:val="00D166F9"/>
    <w:rsid w:val="00D167BF"/>
    <w:rsid w:val="00D22681"/>
    <w:rsid w:val="00D22AC7"/>
    <w:rsid w:val="00D2308A"/>
    <w:rsid w:val="00D26334"/>
    <w:rsid w:val="00D31F45"/>
    <w:rsid w:val="00D35C63"/>
    <w:rsid w:val="00D373E2"/>
    <w:rsid w:val="00D4240B"/>
    <w:rsid w:val="00D44E5A"/>
    <w:rsid w:val="00D57E74"/>
    <w:rsid w:val="00D57F00"/>
    <w:rsid w:val="00D61255"/>
    <w:rsid w:val="00D623D8"/>
    <w:rsid w:val="00D63892"/>
    <w:rsid w:val="00D654A8"/>
    <w:rsid w:val="00D70256"/>
    <w:rsid w:val="00D73535"/>
    <w:rsid w:val="00D75992"/>
    <w:rsid w:val="00D76315"/>
    <w:rsid w:val="00D81FAD"/>
    <w:rsid w:val="00D84097"/>
    <w:rsid w:val="00D8419E"/>
    <w:rsid w:val="00D85EFE"/>
    <w:rsid w:val="00D85FDA"/>
    <w:rsid w:val="00D87DAF"/>
    <w:rsid w:val="00D91A06"/>
    <w:rsid w:val="00D9380E"/>
    <w:rsid w:val="00D94656"/>
    <w:rsid w:val="00D97E3F"/>
    <w:rsid w:val="00DA104A"/>
    <w:rsid w:val="00DA5F58"/>
    <w:rsid w:val="00DB007B"/>
    <w:rsid w:val="00DB1C32"/>
    <w:rsid w:val="00DB2F2A"/>
    <w:rsid w:val="00DC0085"/>
    <w:rsid w:val="00DC17C3"/>
    <w:rsid w:val="00DC2D95"/>
    <w:rsid w:val="00DC49FD"/>
    <w:rsid w:val="00DC5ACF"/>
    <w:rsid w:val="00DD25AE"/>
    <w:rsid w:val="00DD4193"/>
    <w:rsid w:val="00DD4DDC"/>
    <w:rsid w:val="00DD65DA"/>
    <w:rsid w:val="00DE12D5"/>
    <w:rsid w:val="00DE4010"/>
    <w:rsid w:val="00DF4529"/>
    <w:rsid w:val="00DF5F89"/>
    <w:rsid w:val="00DF7B7C"/>
    <w:rsid w:val="00E03BC8"/>
    <w:rsid w:val="00E0689A"/>
    <w:rsid w:val="00E10301"/>
    <w:rsid w:val="00E1042B"/>
    <w:rsid w:val="00E10CC7"/>
    <w:rsid w:val="00E10FD6"/>
    <w:rsid w:val="00E12C52"/>
    <w:rsid w:val="00E144F9"/>
    <w:rsid w:val="00E154BB"/>
    <w:rsid w:val="00E16C47"/>
    <w:rsid w:val="00E209D4"/>
    <w:rsid w:val="00E24444"/>
    <w:rsid w:val="00E25C3F"/>
    <w:rsid w:val="00E25D63"/>
    <w:rsid w:val="00E32682"/>
    <w:rsid w:val="00E35493"/>
    <w:rsid w:val="00E35E71"/>
    <w:rsid w:val="00E36342"/>
    <w:rsid w:val="00E405B6"/>
    <w:rsid w:val="00E4119F"/>
    <w:rsid w:val="00E41630"/>
    <w:rsid w:val="00E44CDE"/>
    <w:rsid w:val="00E52B01"/>
    <w:rsid w:val="00E53BFA"/>
    <w:rsid w:val="00E5446C"/>
    <w:rsid w:val="00E552E6"/>
    <w:rsid w:val="00E577F6"/>
    <w:rsid w:val="00E611F8"/>
    <w:rsid w:val="00E621E1"/>
    <w:rsid w:val="00E62628"/>
    <w:rsid w:val="00E64137"/>
    <w:rsid w:val="00E67C9F"/>
    <w:rsid w:val="00E74015"/>
    <w:rsid w:val="00E75ACA"/>
    <w:rsid w:val="00E80E0C"/>
    <w:rsid w:val="00E821F9"/>
    <w:rsid w:val="00E827C1"/>
    <w:rsid w:val="00E83783"/>
    <w:rsid w:val="00E84574"/>
    <w:rsid w:val="00E866C6"/>
    <w:rsid w:val="00E97DED"/>
    <w:rsid w:val="00E97E60"/>
    <w:rsid w:val="00EA72D1"/>
    <w:rsid w:val="00EB139C"/>
    <w:rsid w:val="00EC15F6"/>
    <w:rsid w:val="00EC5820"/>
    <w:rsid w:val="00EC6643"/>
    <w:rsid w:val="00EC6D8C"/>
    <w:rsid w:val="00EC6F29"/>
    <w:rsid w:val="00ED029D"/>
    <w:rsid w:val="00ED11CD"/>
    <w:rsid w:val="00ED7CE4"/>
    <w:rsid w:val="00EE402C"/>
    <w:rsid w:val="00EE4E8D"/>
    <w:rsid w:val="00EE5673"/>
    <w:rsid w:val="00EE56AE"/>
    <w:rsid w:val="00EE67EA"/>
    <w:rsid w:val="00EF7463"/>
    <w:rsid w:val="00F049DE"/>
    <w:rsid w:val="00F11002"/>
    <w:rsid w:val="00F17013"/>
    <w:rsid w:val="00F215A0"/>
    <w:rsid w:val="00F226FD"/>
    <w:rsid w:val="00F24B9B"/>
    <w:rsid w:val="00F2527F"/>
    <w:rsid w:val="00F265DF"/>
    <w:rsid w:val="00F27A97"/>
    <w:rsid w:val="00F327F5"/>
    <w:rsid w:val="00F33B33"/>
    <w:rsid w:val="00F36722"/>
    <w:rsid w:val="00F374A4"/>
    <w:rsid w:val="00F37CBA"/>
    <w:rsid w:val="00F40467"/>
    <w:rsid w:val="00F4508D"/>
    <w:rsid w:val="00F47016"/>
    <w:rsid w:val="00F63D06"/>
    <w:rsid w:val="00F67913"/>
    <w:rsid w:val="00F6792C"/>
    <w:rsid w:val="00F74B0F"/>
    <w:rsid w:val="00F857F3"/>
    <w:rsid w:val="00F95D83"/>
    <w:rsid w:val="00F97FE1"/>
    <w:rsid w:val="00FA4B9B"/>
    <w:rsid w:val="00FA5943"/>
    <w:rsid w:val="00FB11D8"/>
    <w:rsid w:val="00FB52CB"/>
    <w:rsid w:val="00FC17DC"/>
    <w:rsid w:val="00FC70DB"/>
    <w:rsid w:val="00FD72D8"/>
    <w:rsid w:val="00FE09D7"/>
    <w:rsid w:val="00FE20A8"/>
    <w:rsid w:val="00FE3106"/>
    <w:rsid w:val="00FE55D2"/>
    <w:rsid w:val="00FF0F7C"/>
    <w:rsid w:val="00FF1A0B"/>
    <w:rsid w:val="00FF2F67"/>
    <w:rsid w:val="00FF3081"/>
    <w:rsid w:val="00FF4191"/>
    <w:rsid w:val="00FF6E58"/>
    <w:rsid w:val="00FF7EB6"/>
  </w:rsids>
  <m:mathPr>
    <m:mathFont m:val="Cambria Math"/>
    <m:brkBin m:val="before"/>
    <m:brkBinSub m:val="--"/>
    <m:smallFrac m:val="0"/>
    <m:dispDef/>
    <m:lMargin m:val="0"/>
    <m:rMargin m:val="0"/>
    <m:defJc m:val="centerGroup"/>
    <m:wrapIndent m:val="1440"/>
    <m:intLim m:val="subSup"/>
    <m:naryLim m:val="undOvr"/>
  </m:mathPr>
  <w:themeFontLang w:val="pt-BR"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AFC60F"/>
  <w15:docId w15:val="{86AFA64C-D2D1-40F4-B3DD-E82BB43388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85FDA"/>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styleId="Hyperlink">
    <w:name w:val="Hyperlink"/>
    <w:basedOn w:val="Fontepargpadro"/>
    <w:uiPriority w:val="99"/>
    <w:unhideWhenUsed/>
    <w:rsid w:val="00C81C6B"/>
    <w:rPr>
      <w:color w:val="0563C1" w:themeColor="hyperlink"/>
      <w:u w:val="single"/>
    </w:rPr>
  </w:style>
  <w:style w:type="character" w:customStyle="1" w:styleId="MenoPendente1">
    <w:name w:val="Menção Pendente1"/>
    <w:basedOn w:val="Fontepargpadro"/>
    <w:uiPriority w:val="99"/>
    <w:semiHidden/>
    <w:unhideWhenUsed/>
    <w:rsid w:val="00C81C6B"/>
    <w:rPr>
      <w:color w:val="605E5C"/>
      <w:shd w:val="clear" w:color="auto" w:fill="E1DFDD"/>
    </w:rPr>
  </w:style>
  <w:style w:type="paragraph" w:styleId="Textodenotaderodap">
    <w:name w:val="footnote text"/>
    <w:aliases w:val=" Char Char,Char Char, Char Char Char Char,Nota de rodapé,fn,ALTS FOOTNOTE,Footnote Text Char,footnote text char, Char3,Char3,Texto de rodapé,Char3 Char Char Char Char, Char3 Char Char Char Char, Char3 Char Char,Char3 Char Char,f"/>
    <w:basedOn w:val="Normal"/>
    <w:link w:val="TextodenotaderodapChar"/>
    <w:uiPriority w:val="99"/>
    <w:qFormat/>
    <w:rsid w:val="00B15AD0"/>
    <w:pPr>
      <w:spacing w:after="0" w:line="240" w:lineRule="auto"/>
    </w:pPr>
    <w:rPr>
      <w:rFonts w:ascii="Times New Roman" w:eastAsia="Times New Roman" w:hAnsi="Times New Roman" w:cs="Times New Roman"/>
      <w:sz w:val="20"/>
      <w:szCs w:val="20"/>
      <w:lang w:eastAsia="pt-BR"/>
    </w:rPr>
  </w:style>
  <w:style w:type="character" w:customStyle="1" w:styleId="TextodenotaderodapChar">
    <w:name w:val="Texto de nota de rodapé Char"/>
    <w:aliases w:val=" Char Char Char,Char Char Char, Char Char Char Char Char,Nota de rodapé Char,fn Char,ALTS FOOTNOTE Char,Footnote Text Char Char,footnote text char Char, Char3 Char,Char3 Char,Texto de rodapé Char, Char3 Char Char Char,f Char"/>
    <w:basedOn w:val="Fontepargpadro"/>
    <w:link w:val="Textodenotaderodap"/>
    <w:uiPriority w:val="99"/>
    <w:qFormat/>
    <w:rsid w:val="00B15AD0"/>
    <w:rPr>
      <w:rFonts w:ascii="Times New Roman" w:eastAsia="Times New Roman" w:hAnsi="Times New Roman" w:cs="Times New Roman"/>
      <w:sz w:val="20"/>
      <w:szCs w:val="20"/>
      <w:lang w:eastAsia="pt-BR"/>
    </w:rPr>
  </w:style>
  <w:style w:type="character" w:styleId="Refdenotaderodap">
    <w:name w:val="footnote reference"/>
    <w:aliases w:val="sobrescrito,Ref,de nota al pie,FC,_Footnote Reference,_Footnote text,_Footnote,_Footnote Text,_Footnote base Reference,Footnote symbol,Style 12,(NECG) Footnote Reference,Referência de rodapé,Ref. de nota de rodapé monografia.,fr,o"/>
    <w:link w:val="frCharChar1"/>
    <w:uiPriority w:val="99"/>
    <w:qFormat/>
    <w:rsid w:val="00B15AD0"/>
    <w:rPr>
      <w:vertAlign w:val="superscript"/>
    </w:rPr>
  </w:style>
  <w:style w:type="paragraph" w:styleId="Cabealho">
    <w:name w:val="header"/>
    <w:basedOn w:val="Normal"/>
    <w:link w:val="CabealhoChar"/>
    <w:uiPriority w:val="99"/>
    <w:unhideWhenUsed/>
    <w:rsid w:val="00A327F6"/>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A327F6"/>
  </w:style>
  <w:style w:type="paragraph" w:styleId="Rodap">
    <w:name w:val="footer"/>
    <w:basedOn w:val="Normal"/>
    <w:link w:val="RodapChar"/>
    <w:uiPriority w:val="99"/>
    <w:unhideWhenUsed/>
    <w:rsid w:val="00A327F6"/>
    <w:pPr>
      <w:tabs>
        <w:tab w:val="center" w:pos="4252"/>
        <w:tab w:val="right" w:pos="8504"/>
      </w:tabs>
      <w:spacing w:after="0" w:line="240" w:lineRule="auto"/>
    </w:pPr>
  </w:style>
  <w:style w:type="character" w:customStyle="1" w:styleId="RodapChar">
    <w:name w:val="Rodapé Char"/>
    <w:basedOn w:val="Fontepargpadro"/>
    <w:link w:val="Rodap"/>
    <w:uiPriority w:val="99"/>
    <w:rsid w:val="00A327F6"/>
  </w:style>
  <w:style w:type="character" w:styleId="Refdecomentrio">
    <w:name w:val="annotation reference"/>
    <w:basedOn w:val="Fontepargpadro"/>
    <w:uiPriority w:val="99"/>
    <w:semiHidden/>
    <w:unhideWhenUsed/>
    <w:rsid w:val="00D87DAF"/>
    <w:rPr>
      <w:sz w:val="16"/>
      <w:szCs w:val="16"/>
    </w:rPr>
  </w:style>
  <w:style w:type="paragraph" w:styleId="Textodecomentrio">
    <w:name w:val="annotation text"/>
    <w:basedOn w:val="Normal"/>
    <w:link w:val="TextodecomentrioChar"/>
    <w:uiPriority w:val="99"/>
    <w:unhideWhenUsed/>
    <w:rsid w:val="00D87DAF"/>
    <w:pPr>
      <w:spacing w:line="240" w:lineRule="auto"/>
    </w:pPr>
    <w:rPr>
      <w:sz w:val="20"/>
      <w:szCs w:val="20"/>
    </w:rPr>
  </w:style>
  <w:style w:type="character" w:customStyle="1" w:styleId="TextodecomentrioChar">
    <w:name w:val="Texto de comentário Char"/>
    <w:basedOn w:val="Fontepargpadro"/>
    <w:link w:val="Textodecomentrio"/>
    <w:uiPriority w:val="99"/>
    <w:rsid w:val="00D87DAF"/>
    <w:rPr>
      <w:sz w:val="20"/>
      <w:szCs w:val="20"/>
    </w:rPr>
  </w:style>
  <w:style w:type="paragraph" w:styleId="Assuntodocomentrio">
    <w:name w:val="annotation subject"/>
    <w:basedOn w:val="Textodecomentrio"/>
    <w:next w:val="Textodecomentrio"/>
    <w:link w:val="AssuntodocomentrioChar"/>
    <w:uiPriority w:val="99"/>
    <w:semiHidden/>
    <w:unhideWhenUsed/>
    <w:rsid w:val="00D87DAF"/>
    <w:rPr>
      <w:b/>
      <w:bCs/>
    </w:rPr>
  </w:style>
  <w:style w:type="character" w:customStyle="1" w:styleId="AssuntodocomentrioChar">
    <w:name w:val="Assunto do comentário Char"/>
    <w:basedOn w:val="TextodecomentrioChar"/>
    <w:link w:val="Assuntodocomentrio"/>
    <w:uiPriority w:val="99"/>
    <w:semiHidden/>
    <w:rsid w:val="00D87DAF"/>
    <w:rPr>
      <w:b/>
      <w:bCs/>
      <w:sz w:val="20"/>
      <w:szCs w:val="20"/>
    </w:rPr>
  </w:style>
  <w:style w:type="paragraph" w:styleId="Textodebalo">
    <w:name w:val="Balloon Text"/>
    <w:basedOn w:val="Normal"/>
    <w:link w:val="TextodebaloChar"/>
    <w:uiPriority w:val="99"/>
    <w:semiHidden/>
    <w:unhideWhenUsed/>
    <w:rsid w:val="002628DD"/>
    <w:pPr>
      <w:spacing w:after="0" w:line="240" w:lineRule="auto"/>
    </w:pPr>
    <w:rPr>
      <w:rFonts w:ascii="Segoe UI" w:hAnsi="Segoe UI" w:cs="Segoe UI"/>
      <w:sz w:val="18"/>
      <w:szCs w:val="18"/>
    </w:rPr>
  </w:style>
  <w:style w:type="character" w:customStyle="1" w:styleId="TextodebaloChar">
    <w:name w:val="Texto de balão Char"/>
    <w:basedOn w:val="Fontepargpadro"/>
    <w:link w:val="Textodebalo"/>
    <w:uiPriority w:val="99"/>
    <w:semiHidden/>
    <w:rsid w:val="002628DD"/>
    <w:rPr>
      <w:rFonts w:ascii="Segoe UI" w:hAnsi="Segoe UI" w:cs="Segoe UI"/>
      <w:sz w:val="18"/>
      <w:szCs w:val="18"/>
    </w:rPr>
  </w:style>
  <w:style w:type="paragraph" w:customStyle="1" w:styleId="recmenor">
    <w:name w:val="rec menor"/>
    <w:basedOn w:val="Normal"/>
    <w:uiPriority w:val="99"/>
    <w:rsid w:val="00C92E87"/>
    <w:pPr>
      <w:widowControl w:val="0"/>
      <w:suppressAutoHyphens/>
      <w:autoSpaceDE w:val="0"/>
      <w:autoSpaceDN w:val="0"/>
      <w:adjustRightInd w:val="0"/>
      <w:spacing w:before="170" w:after="283" w:line="220" w:lineRule="atLeast"/>
      <w:ind w:left="454" w:right="397"/>
      <w:jc w:val="both"/>
      <w:textAlignment w:val="center"/>
    </w:pPr>
    <w:rPr>
      <w:rFonts w:ascii="MinionPro-Regular" w:eastAsiaTheme="minorEastAsia" w:hAnsi="MinionPro-Regular" w:cs="MinionPro-Regular"/>
      <w:color w:val="000000"/>
      <w:w w:val="101"/>
      <w:sz w:val="20"/>
      <w:szCs w:val="20"/>
      <w:lang w:eastAsia="pt-BR"/>
    </w:rPr>
  </w:style>
  <w:style w:type="paragraph" w:customStyle="1" w:styleId="nota">
    <w:name w:val="nota"/>
    <w:basedOn w:val="Normal"/>
    <w:uiPriority w:val="99"/>
    <w:rsid w:val="00C92E87"/>
    <w:pPr>
      <w:widowControl w:val="0"/>
      <w:tabs>
        <w:tab w:val="left" w:pos="320"/>
      </w:tabs>
      <w:autoSpaceDE w:val="0"/>
      <w:autoSpaceDN w:val="0"/>
      <w:adjustRightInd w:val="0"/>
      <w:spacing w:after="57" w:line="200" w:lineRule="atLeast"/>
      <w:ind w:left="227" w:hanging="227"/>
      <w:jc w:val="both"/>
      <w:textAlignment w:val="center"/>
    </w:pPr>
    <w:rPr>
      <w:rFonts w:ascii="MyriadPro-Regular" w:eastAsiaTheme="minorEastAsia" w:hAnsi="MyriadPro-Regular" w:cs="MyriadPro-Regular"/>
      <w:color w:val="000000"/>
      <w:sz w:val="17"/>
      <w:szCs w:val="17"/>
      <w:lang w:eastAsia="pt-BR"/>
    </w:rPr>
  </w:style>
  <w:style w:type="character" w:customStyle="1" w:styleId="italico">
    <w:name w:val="italico"/>
    <w:uiPriority w:val="99"/>
    <w:rsid w:val="00C92E87"/>
    <w:rPr>
      <w:i/>
      <w:color w:val="000000"/>
    </w:rPr>
  </w:style>
  <w:style w:type="character" w:customStyle="1" w:styleId="elevado">
    <w:name w:val="elevado"/>
    <w:uiPriority w:val="99"/>
    <w:rsid w:val="00C92E87"/>
    <w:rPr>
      <w:color w:val="000000"/>
      <w:vertAlign w:val="superscript"/>
    </w:rPr>
  </w:style>
  <w:style w:type="paragraph" w:customStyle="1" w:styleId="t">
    <w:name w:val="t"/>
    <w:basedOn w:val="Normal"/>
    <w:next w:val="Normal"/>
    <w:uiPriority w:val="99"/>
    <w:rsid w:val="00D167BF"/>
    <w:pPr>
      <w:widowControl w:val="0"/>
      <w:autoSpaceDE w:val="0"/>
      <w:autoSpaceDN w:val="0"/>
      <w:adjustRightInd w:val="0"/>
      <w:spacing w:after="57" w:line="240" w:lineRule="atLeast"/>
      <w:ind w:firstLine="454"/>
      <w:jc w:val="both"/>
      <w:textAlignment w:val="center"/>
    </w:pPr>
    <w:rPr>
      <w:rFonts w:ascii="MinionPro-Regular" w:eastAsiaTheme="minorEastAsia" w:hAnsi="MinionPro-Regular" w:cs="MinionPro-Regular"/>
      <w:color w:val="000000"/>
      <w:sz w:val="21"/>
      <w:szCs w:val="21"/>
      <w:lang w:eastAsia="pt-BR"/>
    </w:rPr>
  </w:style>
  <w:style w:type="paragraph" w:styleId="PargrafodaLista">
    <w:name w:val="List Paragraph"/>
    <w:basedOn w:val="Normal"/>
    <w:uiPriority w:val="34"/>
    <w:qFormat/>
    <w:rsid w:val="00FC17DC"/>
    <w:pPr>
      <w:ind w:left="720"/>
      <w:contextualSpacing/>
    </w:pPr>
  </w:style>
  <w:style w:type="paragraph" w:styleId="Reviso">
    <w:name w:val="Revision"/>
    <w:hidden/>
    <w:uiPriority w:val="99"/>
    <w:semiHidden/>
    <w:rsid w:val="00174761"/>
    <w:pPr>
      <w:spacing w:after="0" w:line="240" w:lineRule="auto"/>
    </w:pPr>
  </w:style>
  <w:style w:type="paragraph" w:customStyle="1" w:styleId="recmenorfim">
    <w:name w:val="rec menor fim"/>
    <w:basedOn w:val="t"/>
    <w:uiPriority w:val="99"/>
    <w:rsid w:val="00A97842"/>
    <w:pPr>
      <w:suppressAutoHyphens/>
      <w:spacing w:after="283" w:line="220" w:lineRule="atLeast"/>
      <w:ind w:left="454" w:right="397" w:firstLine="0"/>
    </w:pPr>
    <w:rPr>
      <w:rFonts w:eastAsia="Times New Roman"/>
      <w:sz w:val="20"/>
      <w:szCs w:val="20"/>
    </w:rPr>
  </w:style>
  <w:style w:type="paragraph" w:customStyle="1" w:styleId="recmenorinicio">
    <w:name w:val="rec menor inicio"/>
    <w:basedOn w:val="t"/>
    <w:uiPriority w:val="99"/>
    <w:rsid w:val="00A97842"/>
    <w:pPr>
      <w:suppressAutoHyphens/>
      <w:spacing w:before="170" w:line="220" w:lineRule="atLeast"/>
      <w:ind w:left="454" w:right="397" w:firstLine="0"/>
    </w:pPr>
    <w:rPr>
      <w:rFonts w:eastAsia="Times New Roman"/>
      <w:sz w:val="20"/>
      <w:szCs w:val="20"/>
    </w:rPr>
  </w:style>
  <w:style w:type="paragraph" w:customStyle="1" w:styleId="recmenormeio">
    <w:name w:val="rec menor meio"/>
    <w:basedOn w:val="t"/>
    <w:uiPriority w:val="99"/>
    <w:rsid w:val="00A97842"/>
    <w:pPr>
      <w:suppressAutoHyphens/>
      <w:spacing w:line="220" w:lineRule="atLeast"/>
      <w:ind w:left="454" w:right="397" w:firstLine="0"/>
    </w:pPr>
    <w:rPr>
      <w:rFonts w:eastAsia="Times New Roman"/>
      <w:sz w:val="20"/>
      <w:szCs w:val="20"/>
    </w:rPr>
  </w:style>
  <w:style w:type="paragraph" w:customStyle="1" w:styleId="07-Citaolegal-CLG">
    <w:name w:val="07 - Citação legal - CLG"/>
    <w:qFormat/>
    <w:rsid w:val="00E5446C"/>
    <w:pPr>
      <w:spacing w:after="120" w:line="240" w:lineRule="auto"/>
      <w:ind w:left="1985" w:firstLine="567"/>
      <w:jc w:val="both"/>
    </w:pPr>
    <w:rPr>
      <w:rFonts w:ascii="Times New Roman" w:eastAsia="Times New Roman" w:hAnsi="Times New Roman" w:cs="Times New Roman"/>
      <w:bCs/>
      <w:sz w:val="24"/>
      <w:szCs w:val="20"/>
      <w:lang w:eastAsia="pt-BR"/>
    </w:rPr>
  </w:style>
  <w:style w:type="character" w:customStyle="1" w:styleId="MenoPendente2">
    <w:name w:val="Menção Pendente2"/>
    <w:basedOn w:val="Fontepargpadro"/>
    <w:uiPriority w:val="99"/>
    <w:semiHidden/>
    <w:unhideWhenUsed/>
    <w:rsid w:val="008B65F8"/>
    <w:rPr>
      <w:color w:val="605E5C"/>
      <w:shd w:val="clear" w:color="auto" w:fill="E1DFDD"/>
    </w:rPr>
  </w:style>
  <w:style w:type="paragraph" w:customStyle="1" w:styleId="05-PargrafodetextoPROJETO-CLG">
    <w:name w:val="05 - Parágrafo de texto PROJETO- CLG"/>
    <w:qFormat/>
    <w:rsid w:val="00B62174"/>
    <w:pPr>
      <w:spacing w:after="360" w:line="240" w:lineRule="auto"/>
      <w:ind w:firstLine="1418"/>
      <w:jc w:val="both"/>
    </w:pPr>
    <w:rPr>
      <w:rFonts w:ascii="Times New Roman" w:eastAsia="Times New Roman" w:hAnsi="Times New Roman" w:cs="Times New Roman"/>
      <w:sz w:val="28"/>
      <w:szCs w:val="20"/>
      <w:lang w:eastAsia="pt-BR"/>
    </w:rPr>
  </w:style>
  <w:style w:type="paragraph" w:customStyle="1" w:styleId="frCharChar1">
    <w:name w:val="fr Char Char1"/>
    <w:aliases w:val="fr Char Char Char, Char Char6 Char Char Char Char Char Char Char Char Char Char Char, Char6 Char Char Char Char Char Char Char Char Char Char Char Char,Char Char6 Char Char Char Char Char Char Char Char Char Char Char"/>
    <w:basedOn w:val="Normal"/>
    <w:link w:val="Refdenotaderodap"/>
    <w:uiPriority w:val="99"/>
    <w:rsid w:val="00B62174"/>
    <w:pPr>
      <w:spacing w:after="120" w:line="360" w:lineRule="auto"/>
      <w:jc w:val="center"/>
    </w:pPr>
    <w:rPr>
      <w:vertAlign w:val="superscript"/>
    </w:rPr>
  </w:style>
  <w:style w:type="paragraph" w:styleId="Textodenotadefim">
    <w:name w:val="endnote text"/>
    <w:basedOn w:val="Normal"/>
    <w:link w:val="TextodenotadefimChar"/>
    <w:uiPriority w:val="99"/>
    <w:semiHidden/>
    <w:unhideWhenUsed/>
    <w:rsid w:val="00E4119F"/>
    <w:pPr>
      <w:spacing w:after="0" w:line="240" w:lineRule="auto"/>
    </w:pPr>
    <w:rPr>
      <w:sz w:val="20"/>
      <w:szCs w:val="20"/>
    </w:rPr>
  </w:style>
  <w:style w:type="character" w:customStyle="1" w:styleId="TextodenotadefimChar">
    <w:name w:val="Texto de nota de fim Char"/>
    <w:basedOn w:val="Fontepargpadro"/>
    <w:link w:val="Textodenotadefim"/>
    <w:uiPriority w:val="99"/>
    <w:semiHidden/>
    <w:rsid w:val="00E4119F"/>
    <w:rPr>
      <w:sz w:val="20"/>
      <w:szCs w:val="20"/>
    </w:rPr>
  </w:style>
  <w:style w:type="character" w:styleId="Refdenotadefim">
    <w:name w:val="endnote reference"/>
    <w:basedOn w:val="Fontepargpadro"/>
    <w:uiPriority w:val="99"/>
    <w:semiHidden/>
    <w:unhideWhenUsed/>
    <w:rsid w:val="00E4119F"/>
    <w:rPr>
      <w:vertAlign w:val="superscript"/>
    </w:rPr>
  </w:style>
  <w:style w:type="paragraph" w:customStyle="1" w:styleId="boxiniciorec">
    <w:name w:val="box inicio_rec"/>
    <w:basedOn w:val="Normal"/>
    <w:uiPriority w:val="99"/>
    <w:rsid w:val="00F049DE"/>
    <w:pPr>
      <w:widowControl w:val="0"/>
      <w:shd w:val="clear" w:color="auto" w:fill="000000"/>
      <w:autoSpaceDE w:val="0"/>
      <w:autoSpaceDN w:val="0"/>
      <w:adjustRightInd w:val="0"/>
      <w:spacing w:before="283" w:after="57" w:line="220" w:lineRule="atLeast"/>
      <w:ind w:left="850" w:right="454" w:hanging="283"/>
      <w:jc w:val="both"/>
      <w:textAlignment w:val="center"/>
    </w:pPr>
    <w:rPr>
      <w:rFonts w:ascii="MyriadPro-Regular" w:eastAsia="Times New Roman" w:hAnsi="MyriadPro-Regular" w:cs="MyriadPro-Regular"/>
      <w:color w:val="000000"/>
      <w:sz w:val="20"/>
      <w:szCs w:val="20"/>
      <w:lang w:eastAsia="pt-BR"/>
    </w:rPr>
  </w:style>
  <w:style w:type="paragraph" w:customStyle="1" w:styleId="boxfinalrec">
    <w:name w:val="box final_rec"/>
    <w:basedOn w:val="Normal"/>
    <w:uiPriority w:val="99"/>
    <w:rsid w:val="00F049DE"/>
    <w:pPr>
      <w:widowControl w:val="0"/>
      <w:shd w:val="clear" w:color="auto" w:fill="000000"/>
      <w:autoSpaceDE w:val="0"/>
      <w:autoSpaceDN w:val="0"/>
      <w:adjustRightInd w:val="0"/>
      <w:spacing w:after="283" w:line="220" w:lineRule="atLeast"/>
      <w:ind w:left="850" w:right="454" w:hanging="283"/>
      <w:jc w:val="both"/>
      <w:textAlignment w:val="center"/>
    </w:pPr>
    <w:rPr>
      <w:rFonts w:ascii="MyriadPro-Regular" w:eastAsia="Times New Roman" w:hAnsi="MyriadPro-Regular" w:cs="MyriadPro-Regular"/>
      <w:color w:val="000000"/>
      <w:sz w:val="20"/>
      <w:szCs w:val="20"/>
      <w:lang w:eastAsia="pt-B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094809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0F66612-ADC3-4909-A7BB-1E8403B5D62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Pages>
  <Words>2729</Words>
  <Characters>14082</Characters>
  <Application>Microsoft Office Word</Application>
  <DocSecurity>0</DocSecurity>
  <Lines>485</Lines>
  <Paragraphs>560</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16251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lider</dc:creator>
  <cp:lastModifiedBy>Flávio Tartuce</cp:lastModifiedBy>
  <cp:revision>2</cp:revision>
  <dcterms:created xsi:type="dcterms:W3CDTF">2026-06-22T13:42:00Z</dcterms:created>
  <dcterms:modified xsi:type="dcterms:W3CDTF">2026-06-22T13:42:00Z</dcterms:modified>
</cp:coreProperties>
</file>