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C5F" w:rsidRPr="00984C5F" w:rsidRDefault="00984C5F" w:rsidP="00984C5F">
      <w:pPr>
        <w:pStyle w:val="t"/>
        <w:spacing w:before="120" w:after="120" w:line="360" w:lineRule="auto"/>
        <w:ind w:firstLine="0"/>
        <w:jc w:val="center"/>
        <w:rPr>
          <w:rFonts w:ascii="Times New Roman" w:hAnsi="Times New Roman" w:cs="Times New Roman"/>
          <w:b/>
          <w:sz w:val="24"/>
          <w:szCs w:val="24"/>
        </w:rPr>
      </w:pPr>
      <w:r>
        <w:rPr>
          <w:rFonts w:ascii="Times New Roman" w:hAnsi="Times New Roman" w:cs="Times New Roman"/>
          <w:b/>
          <w:sz w:val="24"/>
          <w:szCs w:val="24"/>
        </w:rPr>
        <w:t xml:space="preserve">A REFORMA DO CÓDIGO CIVIL E ALGUMAS PROPOSTAS QUANTO AOS </w:t>
      </w:r>
      <w:r w:rsidRPr="00984C5F">
        <w:rPr>
          <w:rFonts w:ascii="Times New Roman" w:hAnsi="Times New Roman" w:cs="Times New Roman"/>
          <w:b/>
          <w:i/>
          <w:sz w:val="24"/>
          <w:szCs w:val="24"/>
        </w:rPr>
        <w:t>ALIMENTOS FAMILIARES.</w:t>
      </w:r>
      <w:r>
        <w:rPr>
          <w:rFonts w:ascii="Times New Roman" w:hAnsi="Times New Roman" w:cs="Times New Roman"/>
          <w:b/>
          <w:sz w:val="24"/>
          <w:szCs w:val="24"/>
        </w:rPr>
        <w:t xml:space="preserve">  </w:t>
      </w:r>
    </w:p>
    <w:p w:rsidR="004B0C73" w:rsidRDefault="004B0C73" w:rsidP="003B2F06"/>
    <w:p w:rsidR="00B27CE0" w:rsidRPr="001F47C3" w:rsidRDefault="00B27CE0" w:rsidP="003B2F06"/>
    <w:p w:rsidR="001C3F0B" w:rsidRPr="001F47C3" w:rsidRDefault="001C3F0B" w:rsidP="003B6A73">
      <w:pPr>
        <w:jc w:val="right"/>
      </w:pPr>
    </w:p>
    <w:p w:rsidR="00470DA9" w:rsidRPr="0027030E" w:rsidRDefault="00470DA9" w:rsidP="00470DA9">
      <w:pPr>
        <w:spacing w:before="120" w:after="120" w:line="360" w:lineRule="auto"/>
        <w:jc w:val="right"/>
        <w:rPr>
          <w:bCs/>
        </w:rPr>
      </w:pPr>
      <w:r w:rsidRPr="0027030E">
        <w:rPr>
          <w:bCs/>
        </w:rPr>
        <w:t>Flávio Tartuce</w:t>
      </w:r>
      <w:r w:rsidRPr="0027030E">
        <w:rPr>
          <w:bCs/>
          <w:vertAlign w:val="superscript"/>
        </w:rPr>
        <w:footnoteReference w:id="1"/>
      </w:r>
    </w:p>
    <w:p w:rsidR="002116B9" w:rsidRPr="001F47C3" w:rsidRDefault="002116B9" w:rsidP="002116B9"/>
    <w:p w:rsidR="005F4DB7" w:rsidRDefault="00984C5F" w:rsidP="00FC5D2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Seguindo-se na análise de algumas das propostas formuladas pelas Comissão de Juristas nomeada no âmbito do Senado Federal para Reforma do Código Civil, iniciarei uma nova série de </w:t>
      </w:r>
      <w:r w:rsidR="005F4DB7">
        <w:rPr>
          <w:rFonts w:ascii="Times New Roman" w:hAnsi="Times New Roman" w:cs="Times New Roman"/>
          <w:sz w:val="24"/>
          <w:szCs w:val="24"/>
        </w:rPr>
        <w:t>artigos</w:t>
      </w:r>
      <w:r>
        <w:rPr>
          <w:rFonts w:ascii="Times New Roman" w:hAnsi="Times New Roman" w:cs="Times New Roman"/>
          <w:sz w:val="24"/>
          <w:szCs w:val="24"/>
        </w:rPr>
        <w:t xml:space="preserve">, a tratar dos </w:t>
      </w:r>
      <w:r w:rsidRPr="00984C5F">
        <w:rPr>
          <w:rFonts w:ascii="Times New Roman" w:hAnsi="Times New Roman" w:cs="Times New Roman"/>
          <w:i/>
          <w:sz w:val="24"/>
          <w:szCs w:val="24"/>
        </w:rPr>
        <w:t>alimentos familiares</w:t>
      </w:r>
      <w:r>
        <w:rPr>
          <w:rFonts w:ascii="Times New Roman" w:hAnsi="Times New Roman" w:cs="Times New Roman"/>
          <w:sz w:val="24"/>
          <w:szCs w:val="24"/>
        </w:rPr>
        <w:t>, devidos por vínculo de parentesco, casamento ou união estável, um dos assuntos de maior relevância para o Direito Privado Brasileiro.</w:t>
      </w:r>
      <w:r w:rsidR="005F4DB7">
        <w:rPr>
          <w:rFonts w:ascii="Times New Roman" w:hAnsi="Times New Roman" w:cs="Times New Roman"/>
          <w:sz w:val="24"/>
          <w:szCs w:val="24"/>
        </w:rPr>
        <w:t xml:space="preserve"> </w:t>
      </w:r>
    </w:p>
    <w:p w:rsidR="00984C5F" w:rsidRDefault="00984C5F" w:rsidP="00FC5D2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Vale destacar, sobre a metodologia do seu tratamento da Lei Geral Privada, que s</w:t>
      </w:r>
      <w:r w:rsidRPr="00984C5F">
        <w:rPr>
          <w:rFonts w:ascii="Times New Roman" w:hAnsi="Times New Roman" w:cs="Times New Roman"/>
          <w:sz w:val="24"/>
          <w:szCs w:val="24"/>
        </w:rPr>
        <w:t>eguindo</w:t>
      </w:r>
      <w:r>
        <w:rPr>
          <w:rFonts w:ascii="Times New Roman" w:hAnsi="Times New Roman" w:cs="Times New Roman"/>
          <w:sz w:val="24"/>
          <w:szCs w:val="24"/>
        </w:rPr>
        <w:t>-se</w:t>
      </w:r>
      <w:r w:rsidRPr="00984C5F">
        <w:rPr>
          <w:rFonts w:ascii="Times New Roman" w:hAnsi="Times New Roman" w:cs="Times New Roman"/>
          <w:sz w:val="24"/>
          <w:szCs w:val="24"/>
        </w:rPr>
        <w:t xml:space="preserve"> sugestão da Relatora-Geral, Professora Rosa Maria de Andrade Nery, propõe</w:t>
      </w:r>
      <w:r>
        <w:rPr>
          <w:rFonts w:ascii="Times New Roman" w:hAnsi="Times New Roman" w:cs="Times New Roman"/>
          <w:sz w:val="24"/>
          <w:szCs w:val="24"/>
        </w:rPr>
        <w:t>-se</w:t>
      </w:r>
      <w:r w:rsidRPr="00984C5F">
        <w:rPr>
          <w:rFonts w:ascii="Times New Roman" w:hAnsi="Times New Roman" w:cs="Times New Roman"/>
          <w:sz w:val="24"/>
          <w:szCs w:val="24"/>
        </w:rPr>
        <w:t xml:space="preserve"> a divisão do tratamento dos alimentos nos seguintes capítulos</w:t>
      </w:r>
      <w:r w:rsidR="005F4DB7">
        <w:rPr>
          <w:rFonts w:ascii="Times New Roman" w:hAnsi="Times New Roman" w:cs="Times New Roman"/>
          <w:sz w:val="24"/>
          <w:szCs w:val="24"/>
        </w:rPr>
        <w:t>, de forma mais coerente e técnica</w:t>
      </w:r>
      <w:r w:rsidRPr="00984C5F">
        <w:rPr>
          <w:rFonts w:ascii="Times New Roman" w:hAnsi="Times New Roman" w:cs="Times New Roman"/>
          <w:sz w:val="24"/>
          <w:szCs w:val="24"/>
        </w:rPr>
        <w:t xml:space="preserve">: "Subtítulo III. Dos Alimentos. Capítulo I. Disposições Gerais. Capítulo II. Dos alimentos devidos ao nascituro e à gestante. Capítulo III. Dos Alimentos devidos às Famílias Conjugais e Convivenciais. Capítulo IV. Dos Alimentos Compensatórios". </w:t>
      </w:r>
    </w:p>
    <w:p w:rsidR="00F67B86"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Quanto ao art. 1.694</w:t>
      </w:r>
      <w:r>
        <w:rPr>
          <w:rFonts w:ascii="Times New Roman" w:hAnsi="Times New Roman" w:cs="Times New Roman"/>
          <w:sz w:val="24"/>
          <w:szCs w:val="24"/>
        </w:rPr>
        <w:t xml:space="preserve"> da codificação privada</w:t>
      </w:r>
      <w:r w:rsidRPr="00984C5F">
        <w:rPr>
          <w:rFonts w:ascii="Times New Roman" w:hAnsi="Times New Roman" w:cs="Times New Roman"/>
          <w:sz w:val="24"/>
          <w:szCs w:val="24"/>
        </w:rPr>
        <w:t xml:space="preserve">, </w:t>
      </w:r>
      <w:r>
        <w:rPr>
          <w:rFonts w:ascii="Times New Roman" w:hAnsi="Times New Roman" w:cs="Times New Roman"/>
          <w:sz w:val="24"/>
          <w:szCs w:val="24"/>
        </w:rPr>
        <w:t>primeira norma sobre o instituto</w:t>
      </w:r>
      <w:r w:rsidR="00F67B86">
        <w:rPr>
          <w:rFonts w:ascii="Times New Roman" w:hAnsi="Times New Roman" w:cs="Times New Roman"/>
          <w:sz w:val="24"/>
          <w:szCs w:val="24"/>
        </w:rPr>
        <w:t xml:space="preserve"> e que traz os pressupostos da obrigação dos </w:t>
      </w:r>
      <w:r w:rsidR="00F67B86" w:rsidRPr="00F67B86">
        <w:rPr>
          <w:rFonts w:ascii="Times New Roman" w:hAnsi="Times New Roman" w:cs="Times New Roman"/>
          <w:i/>
          <w:sz w:val="24"/>
          <w:szCs w:val="24"/>
        </w:rPr>
        <w:t>alimentos familiares</w:t>
      </w:r>
      <w:r>
        <w:rPr>
          <w:rFonts w:ascii="Times New Roman" w:hAnsi="Times New Roman" w:cs="Times New Roman"/>
          <w:sz w:val="24"/>
          <w:szCs w:val="24"/>
        </w:rPr>
        <w:t xml:space="preserve">, </w:t>
      </w:r>
      <w:r w:rsidRPr="00984C5F">
        <w:rPr>
          <w:rFonts w:ascii="Times New Roman" w:hAnsi="Times New Roman" w:cs="Times New Roman"/>
          <w:sz w:val="24"/>
          <w:szCs w:val="24"/>
        </w:rPr>
        <w:t xml:space="preserve">há proposta de menção aos conviventes, e não mais aos companheiros, pela opção feita à primeira expressão no Anteprojeto, tida como mais </w:t>
      </w:r>
      <w:r w:rsidR="005F4DB7">
        <w:rPr>
          <w:rFonts w:ascii="Times New Roman" w:hAnsi="Times New Roman" w:cs="Times New Roman"/>
          <w:sz w:val="24"/>
          <w:szCs w:val="24"/>
        </w:rPr>
        <w:t>correta</w:t>
      </w:r>
      <w:r w:rsidRPr="00984C5F">
        <w:rPr>
          <w:rFonts w:ascii="Times New Roman" w:hAnsi="Times New Roman" w:cs="Times New Roman"/>
          <w:sz w:val="24"/>
          <w:szCs w:val="24"/>
        </w:rPr>
        <w:t xml:space="preserve"> pelos membros da Comissão</w:t>
      </w:r>
      <w:r>
        <w:rPr>
          <w:rFonts w:ascii="Times New Roman" w:hAnsi="Times New Roman" w:cs="Times New Roman"/>
          <w:sz w:val="24"/>
          <w:szCs w:val="24"/>
        </w:rPr>
        <w:t xml:space="preserve"> de Juristas</w:t>
      </w:r>
      <w:r w:rsidRPr="00984C5F">
        <w:rPr>
          <w:rFonts w:ascii="Times New Roman" w:hAnsi="Times New Roman" w:cs="Times New Roman"/>
          <w:sz w:val="24"/>
          <w:szCs w:val="24"/>
        </w:rPr>
        <w:t xml:space="preserve">. </w:t>
      </w:r>
    </w:p>
    <w:p w:rsidR="00984C5F"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 xml:space="preserve">Também </w:t>
      </w:r>
      <w:r>
        <w:rPr>
          <w:rFonts w:ascii="Times New Roman" w:hAnsi="Times New Roman" w:cs="Times New Roman"/>
          <w:sz w:val="24"/>
          <w:szCs w:val="24"/>
        </w:rPr>
        <w:t xml:space="preserve">passam a ser limitados expressamente nessa norma </w:t>
      </w:r>
      <w:r w:rsidRPr="00984C5F">
        <w:rPr>
          <w:rFonts w:ascii="Times New Roman" w:hAnsi="Times New Roman" w:cs="Times New Roman"/>
          <w:sz w:val="24"/>
          <w:szCs w:val="24"/>
        </w:rPr>
        <w:t xml:space="preserve">os parentes que podem pleitear os alimentos: em linha reta até o infinito e os colaterais de segundo grau, ou seja, os irmãos. Nesse contexto, o </w:t>
      </w:r>
      <w:r>
        <w:rPr>
          <w:rFonts w:ascii="Times New Roman" w:hAnsi="Times New Roman" w:cs="Times New Roman"/>
          <w:sz w:val="24"/>
          <w:szCs w:val="24"/>
        </w:rPr>
        <w:t xml:space="preserve">dispositivo </w:t>
      </w:r>
      <w:r w:rsidR="00F67B86">
        <w:rPr>
          <w:rFonts w:ascii="Times New Roman" w:hAnsi="Times New Roman" w:cs="Times New Roman"/>
          <w:sz w:val="24"/>
          <w:szCs w:val="24"/>
        </w:rPr>
        <w:t>enunciará</w:t>
      </w:r>
      <w:r w:rsidRPr="00984C5F">
        <w:rPr>
          <w:rFonts w:ascii="Times New Roman" w:hAnsi="Times New Roman" w:cs="Times New Roman"/>
          <w:sz w:val="24"/>
          <w:szCs w:val="24"/>
        </w:rPr>
        <w:t xml:space="preserve"> o seguinte: "podem os parentes em linha reta, os cônjuges ou conviventes e os irmãos pedir uns aos </w:t>
      </w:r>
      <w:r w:rsidRPr="00984C5F">
        <w:rPr>
          <w:rFonts w:ascii="Times New Roman" w:hAnsi="Times New Roman" w:cs="Times New Roman"/>
          <w:sz w:val="24"/>
          <w:szCs w:val="24"/>
        </w:rPr>
        <w:lastRenderedPageBreak/>
        <w:t xml:space="preserve">outros os alimentos de que necessitem para viver de modo compatível com a sua condição social, inclusive para atender às necessidades de sua educação". </w:t>
      </w:r>
      <w:r w:rsidR="005F4DB7">
        <w:rPr>
          <w:rFonts w:ascii="Times New Roman" w:hAnsi="Times New Roman" w:cs="Times New Roman"/>
          <w:sz w:val="24"/>
          <w:szCs w:val="24"/>
        </w:rPr>
        <w:t xml:space="preserve">Com isso, encerra-se de forma definitiva o debate quanto a possibilidade de tios, sobrinhos, primos e outros parentes pleitearem os alimentos.  </w:t>
      </w:r>
    </w:p>
    <w:p w:rsidR="00984C5F"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 xml:space="preserve">Também não se denomina </w:t>
      </w:r>
      <w:r w:rsidR="00F67B86">
        <w:rPr>
          <w:rFonts w:ascii="Times New Roman" w:hAnsi="Times New Roman" w:cs="Times New Roman"/>
          <w:sz w:val="24"/>
          <w:szCs w:val="24"/>
        </w:rPr>
        <w:t xml:space="preserve">mais </w:t>
      </w:r>
      <w:r w:rsidRPr="00984C5F">
        <w:rPr>
          <w:rFonts w:ascii="Times New Roman" w:hAnsi="Times New Roman" w:cs="Times New Roman"/>
          <w:sz w:val="24"/>
          <w:szCs w:val="24"/>
        </w:rPr>
        <w:t xml:space="preserve">as partes como credor e devedor, diante </w:t>
      </w:r>
      <w:r w:rsidR="00F67B86">
        <w:rPr>
          <w:rFonts w:ascii="Times New Roman" w:hAnsi="Times New Roman" w:cs="Times New Roman"/>
          <w:sz w:val="24"/>
          <w:szCs w:val="24"/>
        </w:rPr>
        <w:t xml:space="preserve">de todas </w:t>
      </w:r>
      <w:r w:rsidRPr="00984C5F">
        <w:rPr>
          <w:rFonts w:ascii="Times New Roman" w:hAnsi="Times New Roman" w:cs="Times New Roman"/>
          <w:sz w:val="24"/>
          <w:szCs w:val="24"/>
        </w:rPr>
        <w:t>peculiaridades</w:t>
      </w:r>
      <w:r w:rsidR="00F67B86">
        <w:rPr>
          <w:rFonts w:ascii="Times New Roman" w:hAnsi="Times New Roman" w:cs="Times New Roman"/>
          <w:sz w:val="24"/>
          <w:szCs w:val="24"/>
        </w:rPr>
        <w:t xml:space="preserve"> muito bem conhecidas e delineadas</w:t>
      </w:r>
      <w:r w:rsidRPr="00984C5F">
        <w:rPr>
          <w:rFonts w:ascii="Times New Roman" w:hAnsi="Times New Roman" w:cs="Times New Roman"/>
          <w:sz w:val="24"/>
          <w:szCs w:val="24"/>
        </w:rPr>
        <w:t xml:space="preserve"> da obrigação alimentar, diferente de todas as demais, e passando o seu § 1º a ter a seguinte redação: "os alimentos devem ser fixados na proporção das necessidades do reclamante e dos recursos da pessoa obrigada". </w:t>
      </w:r>
    </w:p>
    <w:p w:rsidR="00984C5F"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Na sequência, insere-se previsão necessária, no sentido de que pode haver a obrigação de alimentos em qualquer modalidade de parentesco, inclusive havendo vínculo socioafetivo ou multiparentalidade: "§ 2º A obrigação de prestar alimentos independe da natureza do parentesco e da existência de multiparentalidade". Deve ficar claro, contudo, que, ao contrário do que foi afirmado de modo totalmente equivocado por alguns</w:t>
      </w:r>
      <w:r w:rsidR="00F67B86">
        <w:rPr>
          <w:rFonts w:ascii="Times New Roman" w:hAnsi="Times New Roman" w:cs="Times New Roman"/>
          <w:sz w:val="24"/>
          <w:szCs w:val="24"/>
        </w:rPr>
        <w:t xml:space="preserve"> juristas</w:t>
      </w:r>
      <w:r w:rsidRPr="00984C5F">
        <w:rPr>
          <w:rFonts w:ascii="Times New Roman" w:hAnsi="Times New Roman" w:cs="Times New Roman"/>
          <w:sz w:val="24"/>
          <w:szCs w:val="24"/>
        </w:rPr>
        <w:t xml:space="preserve">, não há </w:t>
      </w:r>
      <w:r w:rsidR="00F67B86">
        <w:rPr>
          <w:rFonts w:ascii="Times New Roman" w:hAnsi="Times New Roman" w:cs="Times New Roman"/>
          <w:sz w:val="24"/>
          <w:szCs w:val="24"/>
        </w:rPr>
        <w:t xml:space="preserve">pela proposição </w:t>
      </w:r>
      <w:r w:rsidRPr="00984C5F">
        <w:rPr>
          <w:rFonts w:ascii="Times New Roman" w:hAnsi="Times New Roman" w:cs="Times New Roman"/>
          <w:sz w:val="24"/>
          <w:szCs w:val="24"/>
        </w:rPr>
        <w:t xml:space="preserve">vínculo alimentar </w:t>
      </w:r>
      <w:r w:rsidR="00F67B86">
        <w:rPr>
          <w:rFonts w:ascii="Times New Roman" w:hAnsi="Times New Roman" w:cs="Times New Roman"/>
          <w:sz w:val="24"/>
          <w:szCs w:val="24"/>
        </w:rPr>
        <w:t xml:space="preserve">automático </w:t>
      </w:r>
      <w:r w:rsidRPr="00984C5F">
        <w:rPr>
          <w:rFonts w:ascii="Times New Roman" w:hAnsi="Times New Roman" w:cs="Times New Roman"/>
          <w:sz w:val="24"/>
          <w:szCs w:val="24"/>
        </w:rPr>
        <w:t>entre padrastos, madrastas e enteados</w:t>
      </w:r>
      <w:r w:rsidR="00F67B86">
        <w:rPr>
          <w:rFonts w:ascii="Times New Roman" w:hAnsi="Times New Roman" w:cs="Times New Roman"/>
          <w:sz w:val="24"/>
          <w:szCs w:val="24"/>
        </w:rPr>
        <w:t>,</w:t>
      </w:r>
      <w:r w:rsidRPr="00984C5F">
        <w:rPr>
          <w:rFonts w:ascii="Times New Roman" w:hAnsi="Times New Roman" w:cs="Times New Roman"/>
          <w:sz w:val="24"/>
          <w:szCs w:val="24"/>
        </w:rPr>
        <w:t xml:space="preserve"> tão somente em virtude do parentesco por afinidade na linha reta, sendo necessária a comprovação dos elementos da posse de estado de filhos para que essa obrigação esteja presente</w:t>
      </w:r>
      <w:r>
        <w:rPr>
          <w:rFonts w:ascii="Times New Roman" w:hAnsi="Times New Roman" w:cs="Times New Roman"/>
          <w:sz w:val="24"/>
          <w:szCs w:val="24"/>
        </w:rPr>
        <w:t xml:space="preserve">. </w:t>
      </w:r>
    </w:p>
    <w:p w:rsidR="00984C5F"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 xml:space="preserve">Além da regra do </w:t>
      </w:r>
      <w:r w:rsidRPr="00984C5F">
        <w:rPr>
          <w:rFonts w:ascii="Times New Roman" w:hAnsi="Times New Roman" w:cs="Times New Roman"/>
          <w:i/>
          <w:sz w:val="24"/>
          <w:szCs w:val="24"/>
        </w:rPr>
        <w:t>caput</w:t>
      </w:r>
      <w:r w:rsidRPr="00984C5F">
        <w:rPr>
          <w:rFonts w:ascii="Times New Roman" w:hAnsi="Times New Roman" w:cs="Times New Roman"/>
          <w:sz w:val="24"/>
          <w:szCs w:val="24"/>
        </w:rPr>
        <w:t>, o binômio ou trinômio alimentar é mantido no § 3º do art. 1.694</w:t>
      </w:r>
      <w:r w:rsidR="00F67B86">
        <w:rPr>
          <w:rFonts w:ascii="Times New Roman" w:hAnsi="Times New Roman" w:cs="Times New Roman"/>
          <w:sz w:val="24"/>
          <w:szCs w:val="24"/>
        </w:rPr>
        <w:t xml:space="preserve"> do CC/2002</w:t>
      </w:r>
      <w:r w:rsidRPr="00984C5F">
        <w:rPr>
          <w:rFonts w:ascii="Times New Roman" w:hAnsi="Times New Roman" w:cs="Times New Roman"/>
          <w:sz w:val="24"/>
          <w:szCs w:val="24"/>
        </w:rPr>
        <w:t>, ao mencionar</w:t>
      </w:r>
      <w:r>
        <w:rPr>
          <w:rFonts w:ascii="Times New Roman" w:hAnsi="Times New Roman" w:cs="Times New Roman"/>
          <w:sz w:val="24"/>
          <w:szCs w:val="24"/>
        </w:rPr>
        <w:t xml:space="preserve">, na projeção, </w:t>
      </w:r>
      <w:r w:rsidRPr="00984C5F">
        <w:rPr>
          <w:rFonts w:ascii="Times New Roman" w:hAnsi="Times New Roman" w:cs="Times New Roman"/>
          <w:sz w:val="24"/>
          <w:szCs w:val="24"/>
        </w:rPr>
        <w:t xml:space="preserve">que "para a manutenção dos filhos, os cônjuges ou conviventes contribuirão na proporção de seus recursos". Insere-se, ainda, regra a respeito relativa à da possibilidade de o alimentante, aquele que paga os alimentos, solicitar esclarecimentos a respeito da utilização da verba alimentar, independentemente do pedido de prestação de contas: "§ 4º Havendo fundados indícios sobre a adequada utilização da verba alimentar, o alimentante pode solicitar esclarecimentos, que não exigem a apresentação de prestação de contas". </w:t>
      </w:r>
    </w:p>
    <w:p w:rsidR="00984C5F"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Por fim</w:t>
      </w:r>
      <w:r w:rsidR="00F67B86">
        <w:rPr>
          <w:rFonts w:ascii="Times New Roman" w:hAnsi="Times New Roman" w:cs="Times New Roman"/>
          <w:sz w:val="24"/>
          <w:szCs w:val="24"/>
        </w:rPr>
        <w:t xml:space="preserve"> quanto a esse comando</w:t>
      </w:r>
      <w:r w:rsidRPr="00984C5F">
        <w:rPr>
          <w:rFonts w:ascii="Times New Roman" w:hAnsi="Times New Roman" w:cs="Times New Roman"/>
          <w:sz w:val="24"/>
          <w:szCs w:val="24"/>
        </w:rPr>
        <w:t xml:space="preserve">, atendendo a sugestão da Defensora Pública Fernanda Fernandes, membro consultora da Comissão de Juristas nomeada no âmbito do Senado Federal, foi incluído no art. 1.694 um § 5º, segundo o qual "a violência doméstica impede o surgimento da obrigação de alimentos em favor de quem praticou a agressão”. A </w:t>
      </w:r>
      <w:r>
        <w:rPr>
          <w:rFonts w:ascii="Times New Roman" w:hAnsi="Times New Roman" w:cs="Times New Roman"/>
          <w:sz w:val="24"/>
          <w:szCs w:val="24"/>
        </w:rPr>
        <w:t xml:space="preserve">proposta, em boa hora, </w:t>
      </w:r>
      <w:r w:rsidRPr="00984C5F">
        <w:rPr>
          <w:rFonts w:ascii="Times New Roman" w:hAnsi="Times New Roman" w:cs="Times New Roman"/>
          <w:sz w:val="24"/>
          <w:szCs w:val="24"/>
        </w:rPr>
        <w:t>terá aplicação não somente em relação a cônjuges e conviventes, mas também quanto aos parentes do alimentante, obstando o surgimento da obrigação alimentar em relação a filhos, pais, irmãos e outros</w:t>
      </w:r>
      <w:r>
        <w:rPr>
          <w:rFonts w:ascii="Times New Roman" w:hAnsi="Times New Roman" w:cs="Times New Roman"/>
          <w:sz w:val="24"/>
          <w:szCs w:val="24"/>
        </w:rPr>
        <w:t xml:space="preserve">; visando a </w:t>
      </w:r>
      <w:r w:rsidRPr="00984C5F">
        <w:rPr>
          <w:rFonts w:ascii="Times New Roman" w:hAnsi="Times New Roman" w:cs="Times New Roman"/>
          <w:sz w:val="24"/>
          <w:szCs w:val="24"/>
        </w:rPr>
        <w:lastRenderedPageBreak/>
        <w:t xml:space="preserve">tutela e </w:t>
      </w:r>
      <w:r>
        <w:rPr>
          <w:rFonts w:ascii="Times New Roman" w:hAnsi="Times New Roman" w:cs="Times New Roman"/>
          <w:sz w:val="24"/>
          <w:szCs w:val="24"/>
        </w:rPr>
        <w:t xml:space="preserve">a </w:t>
      </w:r>
      <w:r w:rsidRPr="00984C5F">
        <w:rPr>
          <w:rFonts w:ascii="Times New Roman" w:hAnsi="Times New Roman" w:cs="Times New Roman"/>
          <w:sz w:val="24"/>
          <w:szCs w:val="24"/>
        </w:rPr>
        <w:t>proteção dos direitos das mulheres</w:t>
      </w:r>
      <w:r>
        <w:rPr>
          <w:rFonts w:ascii="Times New Roman" w:hAnsi="Times New Roman" w:cs="Times New Roman"/>
          <w:sz w:val="24"/>
          <w:szCs w:val="24"/>
        </w:rPr>
        <w:t xml:space="preserve">. </w:t>
      </w:r>
    </w:p>
    <w:p w:rsidR="00F67B86" w:rsidRDefault="00984C5F" w:rsidP="00FC5D2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Seguindo, </w:t>
      </w:r>
      <w:r w:rsidRPr="00984C5F">
        <w:rPr>
          <w:rFonts w:ascii="Times New Roman" w:hAnsi="Times New Roman" w:cs="Times New Roman"/>
          <w:sz w:val="24"/>
          <w:szCs w:val="24"/>
        </w:rPr>
        <w:t xml:space="preserve">há </w:t>
      </w:r>
      <w:r w:rsidR="00200326">
        <w:rPr>
          <w:rFonts w:ascii="Times New Roman" w:hAnsi="Times New Roman" w:cs="Times New Roman"/>
          <w:sz w:val="24"/>
          <w:szCs w:val="24"/>
        </w:rPr>
        <w:t>sugestão</w:t>
      </w:r>
      <w:r w:rsidRPr="00984C5F">
        <w:rPr>
          <w:rFonts w:ascii="Times New Roman" w:hAnsi="Times New Roman" w:cs="Times New Roman"/>
          <w:sz w:val="24"/>
          <w:szCs w:val="24"/>
        </w:rPr>
        <w:t xml:space="preserve"> de inclusão de três regras a respeito dos alimentos compensatóri</w:t>
      </w:r>
      <w:r>
        <w:rPr>
          <w:rFonts w:ascii="Times New Roman" w:hAnsi="Times New Roman" w:cs="Times New Roman"/>
          <w:sz w:val="24"/>
          <w:szCs w:val="24"/>
        </w:rPr>
        <w:t>o</w:t>
      </w:r>
      <w:r w:rsidRPr="00984C5F">
        <w:rPr>
          <w:rFonts w:ascii="Times New Roman" w:hAnsi="Times New Roman" w:cs="Times New Roman"/>
          <w:sz w:val="24"/>
          <w:szCs w:val="24"/>
        </w:rPr>
        <w:t xml:space="preserve">s, </w:t>
      </w:r>
      <w:r>
        <w:rPr>
          <w:rFonts w:ascii="Times New Roman" w:hAnsi="Times New Roman" w:cs="Times New Roman"/>
          <w:sz w:val="24"/>
          <w:szCs w:val="24"/>
        </w:rPr>
        <w:t xml:space="preserve">seguindo-se sugestões aprestadas pelo Professor Rolf Madaleno, integrante da subcomissão de Direito de Família. </w:t>
      </w:r>
      <w:r w:rsidRPr="00984C5F">
        <w:rPr>
          <w:rFonts w:ascii="Times New Roman" w:hAnsi="Times New Roman" w:cs="Times New Roman"/>
          <w:sz w:val="24"/>
          <w:szCs w:val="24"/>
        </w:rPr>
        <w:t xml:space="preserve">Com a inclusão do instituto na lei civil, todas as resistências a respeito dessa categoria </w:t>
      </w:r>
      <w:r w:rsidR="00F67B86">
        <w:rPr>
          <w:rFonts w:ascii="Times New Roman" w:hAnsi="Times New Roman" w:cs="Times New Roman"/>
          <w:sz w:val="24"/>
          <w:szCs w:val="24"/>
        </w:rPr>
        <w:t>tendem a desparecer</w:t>
      </w:r>
      <w:r w:rsidRPr="00984C5F">
        <w:rPr>
          <w:rFonts w:ascii="Times New Roman" w:hAnsi="Times New Roman" w:cs="Times New Roman"/>
          <w:sz w:val="24"/>
          <w:szCs w:val="24"/>
        </w:rPr>
        <w:t xml:space="preserve">, diante do seu </w:t>
      </w:r>
      <w:r w:rsidR="005F4DB7">
        <w:rPr>
          <w:rFonts w:ascii="Times New Roman" w:hAnsi="Times New Roman" w:cs="Times New Roman"/>
          <w:sz w:val="24"/>
          <w:szCs w:val="24"/>
        </w:rPr>
        <w:t xml:space="preserve">futuro </w:t>
      </w:r>
      <w:r w:rsidRPr="00984C5F">
        <w:rPr>
          <w:rFonts w:ascii="Times New Roman" w:hAnsi="Times New Roman" w:cs="Times New Roman"/>
          <w:sz w:val="24"/>
          <w:szCs w:val="24"/>
        </w:rPr>
        <w:t xml:space="preserve">amparo legal. </w:t>
      </w:r>
    </w:p>
    <w:p w:rsidR="00984C5F" w:rsidRDefault="00F67B86" w:rsidP="00FC5D2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w:t>
      </w:r>
      <w:r w:rsidR="00984C5F" w:rsidRPr="00984C5F">
        <w:rPr>
          <w:rFonts w:ascii="Times New Roman" w:hAnsi="Times New Roman" w:cs="Times New Roman"/>
          <w:sz w:val="24"/>
          <w:szCs w:val="24"/>
        </w:rPr>
        <w:t>conforme o novo art. 1.709-A do C</w:t>
      </w:r>
      <w:r w:rsidR="00984C5F">
        <w:rPr>
          <w:rFonts w:ascii="Times New Roman" w:hAnsi="Times New Roman" w:cs="Times New Roman"/>
          <w:sz w:val="24"/>
          <w:szCs w:val="24"/>
        </w:rPr>
        <w:t>ódigo Civil</w:t>
      </w:r>
      <w:r w:rsidR="00984C5F" w:rsidRPr="00984C5F">
        <w:rPr>
          <w:rFonts w:ascii="Times New Roman" w:hAnsi="Times New Roman" w:cs="Times New Roman"/>
          <w:sz w:val="24"/>
          <w:szCs w:val="24"/>
        </w:rPr>
        <w:t xml:space="preserve">, "o cônjuge ou convivente cuja dissolução do casamento ou da união estável produza um desequilíbrio econômico que importe em uma queda brusca do seu padrão de vida, terá direito aos alimentos compensatórios que poderão ser por prazo determinado ou não, pagos em uma prestação única, ou mediante a entrega de bens particulares do devedor”. </w:t>
      </w:r>
      <w:r>
        <w:rPr>
          <w:rFonts w:ascii="Times New Roman" w:hAnsi="Times New Roman" w:cs="Times New Roman"/>
          <w:sz w:val="24"/>
          <w:szCs w:val="24"/>
        </w:rPr>
        <w:t xml:space="preserve">Como se pode perceber, trata-se de proposição clara, técnica e objetiva a respeito do conceito e do conteúdo dos chamados alimentos compensatórios. </w:t>
      </w:r>
    </w:p>
    <w:p w:rsidR="00984C5F"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 xml:space="preserve">Além disso, </w:t>
      </w:r>
      <w:r>
        <w:rPr>
          <w:rFonts w:ascii="Times New Roman" w:hAnsi="Times New Roman" w:cs="Times New Roman"/>
          <w:sz w:val="24"/>
          <w:szCs w:val="24"/>
        </w:rPr>
        <w:t xml:space="preserve">na linha da melhor doutrina e de julgados superiores, </w:t>
      </w:r>
      <w:r w:rsidRPr="00984C5F">
        <w:rPr>
          <w:rFonts w:ascii="Times New Roman" w:hAnsi="Times New Roman" w:cs="Times New Roman"/>
          <w:sz w:val="24"/>
          <w:szCs w:val="24"/>
        </w:rPr>
        <w:t xml:space="preserve">sugere-se a inclusão do art. 1.709-B, prevendo que "o cônjuge ou convivente, cuja meação seja formada por bens que geram rendas, e que se encontrem sob a posse e a administração exclusiva do seu parceiro, poderá requerer que lhe sejam pagos mensalmente pelo outro consorte ou convivente, parte da renda líquida destes bens comuns, a título de alimentos compensatórios patrimoniais, e que serão devidos até a efetiva partilha dos bens comuns”. Inclui-se na norma, portanto, o tratamento dos </w:t>
      </w:r>
      <w:r w:rsidRPr="00984C5F">
        <w:rPr>
          <w:rFonts w:ascii="Times New Roman" w:hAnsi="Times New Roman" w:cs="Times New Roman"/>
          <w:i/>
          <w:sz w:val="24"/>
          <w:szCs w:val="24"/>
        </w:rPr>
        <w:t>alimentos compensatórios patrimoniais</w:t>
      </w:r>
      <w:r w:rsidRPr="00984C5F">
        <w:rPr>
          <w:rFonts w:ascii="Times New Roman" w:hAnsi="Times New Roman" w:cs="Times New Roman"/>
          <w:sz w:val="24"/>
          <w:szCs w:val="24"/>
        </w:rPr>
        <w:t>, que, segundo a Subcomissão de Direito de Família e seguindo</w:t>
      </w:r>
      <w:r w:rsidR="00F67B86">
        <w:rPr>
          <w:rFonts w:ascii="Times New Roman" w:hAnsi="Times New Roman" w:cs="Times New Roman"/>
          <w:sz w:val="24"/>
          <w:szCs w:val="24"/>
        </w:rPr>
        <w:t>-se</w:t>
      </w:r>
      <w:r w:rsidRPr="00984C5F">
        <w:rPr>
          <w:rFonts w:ascii="Times New Roman" w:hAnsi="Times New Roman" w:cs="Times New Roman"/>
          <w:sz w:val="24"/>
          <w:szCs w:val="24"/>
        </w:rPr>
        <w:t xml:space="preserve"> a doutrina de Rolf Madaleno, "têm sua gênese no parágrafo único do artigo 4º da Lei 5.478/1968, e que consiste na entrega de parte da renda líquida dos bens comuns, que geram renda e que estão sendo administrados pelo outro consorte ou companheiro, permitindo também, a aceleração do processo de partilha dos bens comuns". </w:t>
      </w:r>
    </w:p>
    <w:p w:rsidR="00984C5F" w:rsidRDefault="005F4DB7" w:rsidP="00F67B86">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última proposição a respeito dos alimentos compensatórios, </w:t>
      </w:r>
      <w:r w:rsidR="00984C5F">
        <w:rPr>
          <w:rFonts w:ascii="Times New Roman" w:hAnsi="Times New Roman" w:cs="Times New Roman"/>
          <w:sz w:val="24"/>
          <w:szCs w:val="24"/>
        </w:rPr>
        <w:t xml:space="preserve">mais uma vez </w:t>
      </w:r>
      <w:r w:rsidR="00984C5F" w:rsidRPr="00984C5F">
        <w:rPr>
          <w:rFonts w:ascii="Times New Roman" w:hAnsi="Times New Roman" w:cs="Times New Roman"/>
          <w:sz w:val="24"/>
          <w:szCs w:val="24"/>
        </w:rPr>
        <w:t xml:space="preserve">na linha da jurisprudência superior hoje consolidada, é incluída previsão que veda a prisão civil do devedor dos alimentos compensatórios: “Art. 1.709-C. A falta de pagamento dos alimentos compensatórios não enseja a prisão civil do seu devedor”. </w:t>
      </w:r>
      <w:r w:rsidR="00984C5F">
        <w:rPr>
          <w:rFonts w:ascii="Times New Roman" w:hAnsi="Times New Roman" w:cs="Times New Roman"/>
          <w:sz w:val="24"/>
          <w:szCs w:val="24"/>
        </w:rPr>
        <w:t>A propósito, do Superior Tribunal de Justiça, no mesmo sentido, merece destaque</w:t>
      </w:r>
      <w:r w:rsidR="00F67B86">
        <w:rPr>
          <w:rFonts w:ascii="Times New Roman" w:hAnsi="Times New Roman" w:cs="Times New Roman"/>
          <w:sz w:val="24"/>
          <w:szCs w:val="24"/>
        </w:rPr>
        <w:t xml:space="preserve"> entre os arestos mais recentes e por todos</w:t>
      </w:r>
      <w:r w:rsidR="00984C5F">
        <w:rPr>
          <w:rFonts w:ascii="Times New Roman" w:hAnsi="Times New Roman" w:cs="Times New Roman"/>
          <w:sz w:val="24"/>
          <w:szCs w:val="24"/>
        </w:rPr>
        <w:t>:</w:t>
      </w:r>
      <w:r w:rsidR="00F67B86">
        <w:rPr>
          <w:rFonts w:ascii="Times New Roman" w:hAnsi="Times New Roman" w:cs="Times New Roman"/>
          <w:sz w:val="24"/>
          <w:szCs w:val="24"/>
        </w:rPr>
        <w:t xml:space="preserve"> "o</w:t>
      </w:r>
      <w:r w:rsidR="00F67B86" w:rsidRPr="00F67B86">
        <w:rPr>
          <w:rFonts w:ascii="Times New Roman" w:hAnsi="Times New Roman" w:cs="Times New Roman"/>
          <w:sz w:val="24"/>
          <w:szCs w:val="24"/>
        </w:rPr>
        <w:t xml:space="preserve"> inadimplemento de alimentos compensatórios, destinados à manutenção do padrão de vida de ex-cônjuge em razão da ruptura da </w:t>
      </w:r>
      <w:r w:rsidR="00F67B86" w:rsidRPr="00F67B86">
        <w:rPr>
          <w:rFonts w:ascii="Times New Roman" w:hAnsi="Times New Roman" w:cs="Times New Roman"/>
          <w:sz w:val="24"/>
          <w:szCs w:val="24"/>
        </w:rPr>
        <w:lastRenderedPageBreak/>
        <w:t>sociedade conjugal, não justifica a execução pelo rito da prisão, dada a natureza indenizatória e não propriamente alimentar de tal pensionamento (RHC 117.996/RS, Relator Ministro MARCO AURÉLIO BELLIZZE, Terceira Turma, j. em 2/6/2020, DJe de 8/6/2020)</w:t>
      </w:r>
      <w:r w:rsidR="00F67B86">
        <w:rPr>
          <w:rFonts w:ascii="Times New Roman" w:hAnsi="Times New Roman" w:cs="Times New Roman"/>
          <w:sz w:val="24"/>
          <w:szCs w:val="24"/>
        </w:rPr>
        <w:t xml:space="preserve">" </w:t>
      </w:r>
      <w:r w:rsidR="00F67B86" w:rsidRPr="00F67B86">
        <w:rPr>
          <w:rFonts w:ascii="Times New Roman" w:hAnsi="Times New Roman" w:cs="Times New Roman"/>
          <w:sz w:val="24"/>
          <w:szCs w:val="24"/>
        </w:rPr>
        <w:t>(</w:t>
      </w:r>
      <w:r w:rsidR="00F67B86">
        <w:rPr>
          <w:rFonts w:ascii="Times New Roman" w:hAnsi="Times New Roman" w:cs="Times New Roman"/>
          <w:sz w:val="24"/>
          <w:szCs w:val="24"/>
        </w:rPr>
        <w:t xml:space="preserve">STJ, </w:t>
      </w:r>
      <w:r w:rsidR="00F67B86" w:rsidRPr="00F67B86">
        <w:rPr>
          <w:rFonts w:ascii="Times New Roman" w:hAnsi="Times New Roman" w:cs="Times New Roman"/>
          <w:sz w:val="24"/>
          <w:szCs w:val="24"/>
        </w:rPr>
        <w:t>HC n. 744.673/SP, relator Ministro Raul Araújo, Quarta Turma, julgado em 13/9/2022, DJe de 20/9/2022)</w:t>
      </w:r>
      <w:r w:rsidR="00F67B86">
        <w:rPr>
          <w:rFonts w:ascii="Times New Roman" w:hAnsi="Times New Roman" w:cs="Times New Roman"/>
          <w:sz w:val="24"/>
          <w:szCs w:val="24"/>
        </w:rPr>
        <w:t xml:space="preserve">. </w:t>
      </w:r>
      <w:r w:rsidR="00984C5F">
        <w:rPr>
          <w:rFonts w:ascii="Times New Roman" w:hAnsi="Times New Roman" w:cs="Times New Roman"/>
          <w:sz w:val="24"/>
          <w:szCs w:val="24"/>
        </w:rPr>
        <w:t xml:space="preserve"> </w:t>
      </w:r>
    </w:p>
    <w:p w:rsidR="00F67B86" w:rsidRDefault="00984C5F" w:rsidP="00FC5D2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 </w:t>
      </w:r>
      <w:r w:rsidR="00F67B86">
        <w:rPr>
          <w:rFonts w:ascii="Times New Roman" w:hAnsi="Times New Roman" w:cs="Times New Roman"/>
          <w:sz w:val="24"/>
          <w:szCs w:val="24"/>
        </w:rPr>
        <w:t>Como já ficou evidente, a</w:t>
      </w:r>
      <w:r w:rsidRPr="00984C5F">
        <w:rPr>
          <w:rFonts w:ascii="Times New Roman" w:hAnsi="Times New Roman" w:cs="Times New Roman"/>
          <w:sz w:val="24"/>
          <w:szCs w:val="24"/>
        </w:rPr>
        <w:t xml:space="preserve"> Comissão de Juristas sugere </w:t>
      </w:r>
      <w:r w:rsidR="00F67B86">
        <w:rPr>
          <w:rFonts w:ascii="Times New Roman" w:hAnsi="Times New Roman" w:cs="Times New Roman"/>
          <w:sz w:val="24"/>
          <w:szCs w:val="24"/>
        </w:rPr>
        <w:t xml:space="preserve">ainda </w:t>
      </w:r>
      <w:r w:rsidRPr="00984C5F">
        <w:rPr>
          <w:rFonts w:ascii="Times New Roman" w:hAnsi="Times New Roman" w:cs="Times New Roman"/>
          <w:sz w:val="24"/>
          <w:szCs w:val="24"/>
        </w:rPr>
        <w:t xml:space="preserve">regras mais claras a respeito dos alimentos entre parentes, com destaque para a inclusão da parentalidade socioafetiva e da multiparentalidade, desde que presentes os requisitos da posse de estado de filhos: </w:t>
      </w:r>
      <w:r w:rsidRPr="00F67B86">
        <w:rPr>
          <w:rFonts w:ascii="Times New Roman" w:hAnsi="Times New Roman" w:cs="Times New Roman"/>
          <w:i/>
          <w:sz w:val="24"/>
          <w:szCs w:val="24"/>
        </w:rPr>
        <w:t>tratamento</w:t>
      </w:r>
      <w:r w:rsidR="00F67B86">
        <w:rPr>
          <w:rFonts w:ascii="Times New Roman" w:hAnsi="Times New Roman" w:cs="Times New Roman"/>
          <w:i/>
          <w:sz w:val="24"/>
          <w:szCs w:val="24"/>
        </w:rPr>
        <w:t xml:space="preserve"> (tractatio)</w:t>
      </w:r>
      <w:r w:rsidRPr="00984C5F">
        <w:rPr>
          <w:rFonts w:ascii="Times New Roman" w:hAnsi="Times New Roman" w:cs="Times New Roman"/>
          <w:sz w:val="24"/>
          <w:szCs w:val="24"/>
        </w:rPr>
        <w:t xml:space="preserve">, </w:t>
      </w:r>
      <w:r w:rsidRPr="00F67B86">
        <w:rPr>
          <w:rFonts w:ascii="Times New Roman" w:hAnsi="Times New Roman" w:cs="Times New Roman"/>
          <w:i/>
          <w:sz w:val="24"/>
          <w:szCs w:val="24"/>
        </w:rPr>
        <w:t>reputação</w:t>
      </w:r>
      <w:r w:rsidR="00F67B86">
        <w:rPr>
          <w:rFonts w:ascii="Times New Roman" w:hAnsi="Times New Roman" w:cs="Times New Roman"/>
          <w:i/>
          <w:sz w:val="24"/>
          <w:szCs w:val="24"/>
        </w:rPr>
        <w:t xml:space="preserve"> (reputatio)</w:t>
      </w:r>
      <w:r w:rsidRPr="00984C5F">
        <w:rPr>
          <w:rFonts w:ascii="Times New Roman" w:hAnsi="Times New Roman" w:cs="Times New Roman"/>
          <w:sz w:val="24"/>
          <w:szCs w:val="24"/>
        </w:rPr>
        <w:t xml:space="preserve"> e </w:t>
      </w:r>
      <w:r w:rsidRPr="00F67B86">
        <w:rPr>
          <w:rFonts w:ascii="Times New Roman" w:hAnsi="Times New Roman" w:cs="Times New Roman"/>
          <w:i/>
          <w:sz w:val="24"/>
          <w:szCs w:val="24"/>
        </w:rPr>
        <w:t>nome</w:t>
      </w:r>
      <w:r w:rsidR="00F67B86">
        <w:rPr>
          <w:rFonts w:ascii="Times New Roman" w:hAnsi="Times New Roman" w:cs="Times New Roman"/>
          <w:i/>
          <w:sz w:val="24"/>
          <w:szCs w:val="24"/>
        </w:rPr>
        <w:t xml:space="preserve"> (nominatio)</w:t>
      </w:r>
      <w:r w:rsidRPr="00F67B86">
        <w:rPr>
          <w:rFonts w:ascii="Times New Roman" w:hAnsi="Times New Roman" w:cs="Times New Roman"/>
          <w:i/>
          <w:sz w:val="24"/>
          <w:szCs w:val="24"/>
        </w:rPr>
        <w:t>.</w:t>
      </w:r>
      <w:r w:rsidR="005F4DB7">
        <w:rPr>
          <w:rFonts w:ascii="Times New Roman" w:hAnsi="Times New Roman" w:cs="Times New Roman"/>
          <w:sz w:val="24"/>
          <w:szCs w:val="24"/>
        </w:rPr>
        <w:t xml:space="preserve"> Mantém-se no Anteprojeto </w:t>
      </w:r>
      <w:r w:rsidRPr="00984C5F">
        <w:rPr>
          <w:rFonts w:ascii="Times New Roman" w:hAnsi="Times New Roman" w:cs="Times New Roman"/>
          <w:sz w:val="24"/>
          <w:szCs w:val="24"/>
        </w:rPr>
        <w:t>o art. 1.696</w:t>
      </w:r>
      <w:r w:rsidR="00F67B86">
        <w:rPr>
          <w:rFonts w:ascii="Times New Roman" w:hAnsi="Times New Roman" w:cs="Times New Roman"/>
          <w:sz w:val="24"/>
          <w:szCs w:val="24"/>
        </w:rPr>
        <w:t xml:space="preserve"> do vigente Código Civil</w:t>
      </w:r>
      <w:r w:rsidR="005F4DB7">
        <w:rPr>
          <w:rFonts w:ascii="Times New Roman" w:hAnsi="Times New Roman" w:cs="Times New Roman"/>
          <w:sz w:val="24"/>
          <w:szCs w:val="24"/>
        </w:rPr>
        <w:t>, que traz a ordem de pleito dos alimentos quanto aos parentes</w:t>
      </w:r>
      <w:r w:rsidRPr="00984C5F">
        <w:rPr>
          <w:rFonts w:ascii="Times New Roman" w:hAnsi="Times New Roman" w:cs="Times New Roman"/>
          <w:sz w:val="24"/>
          <w:szCs w:val="24"/>
        </w:rPr>
        <w:t>: "O direito à prestação de alimentos é recíproco entre pais e filhos, e extensivo a todos os ascendentes e descendentes, recaindo a obrigação nos mais próximos em grau, uns em falta de outros</w:t>
      </w:r>
      <w:r w:rsidR="00F67B86">
        <w:rPr>
          <w:rFonts w:ascii="Times New Roman" w:hAnsi="Times New Roman" w:cs="Times New Roman"/>
          <w:sz w:val="24"/>
          <w:szCs w:val="24"/>
        </w:rPr>
        <w:t>"</w:t>
      </w:r>
      <w:r w:rsidRPr="00984C5F">
        <w:rPr>
          <w:rFonts w:ascii="Times New Roman" w:hAnsi="Times New Roman" w:cs="Times New Roman"/>
          <w:sz w:val="24"/>
          <w:szCs w:val="24"/>
        </w:rPr>
        <w:t xml:space="preserve">. </w:t>
      </w:r>
      <w:r w:rsidR="005F4DB7" w:rsidRPr="005F4DB7">
        <w:rPr>
          <w:rFonts w:ascii="Times New Roman" w:hAnsi="Times New Roman" w:cs="Times New Roman"/>
          <w:sz w:val="24"/>
          <w:szCs w:val="24"/>
        </w:rPr>
        <w:t xml:space="preserve"> </w:t>
      </w:r>
      <w:r w:rsidR="00F67B86">
        <w:rPr>
          <w:rFonts w:ascii="Times New Roman" w:hAnsi="Times New Roman" w:cs="Times New Roman"/>
          <w:sz w:val="24"/>
          <w:szCs w:val="24"/>
        </w:rPr>
        <w:t>E mais, nos termos do projetado p</w:t>
      </w:r>
      <w:r w:rsidRPr="00984C5F">
        <w:rPr>
          <w:rFonts w:ascii="Times New Roman" w:hAnsi="Times New Roman" w:cs="Times New Roman"/>
          <w:sz w:val="24"/>
          <w:szCs w:val="24"/>
        </w:rPr>
        <w:t>arágrafo único</w:t>
      </w:r>
      <w:r w:rsidR="00F67B86">
        <w:rPr>
          <w:rFonts w:ascii="Times New Roman" w:hAnsi="Times New Roman" w:cs="Times New Roman"/>
          <w:sz w:val="24"/>
          <w:szCs w:val="24"/>
        </w:rPr>
        <w:t xml:space="preserve">, </w:t>
      </w:r>
      <w:r w:rsidR="005F4DB7">
        <w:rPr>
          <w:rFonts w:ascii="Times New Roman" w:hAnsi="Times New Roman" w:cs="Times New Roman"/>
          <w:sz w:val="24"/>
          <w:szCs w:val="24"/>
        </w:rPr>
        <w:t xml:space="preserve">para que não restem dúvidas: </w:t>
      </w:r>
      <w:r w:rsidR="00F67B86">
        <w:rPr>
          <w:rFonts w:ascii="Times New Roman" w:hAnsi="Times New Roman" w:cs="Times New Roman"/>
          <w:sz w:val="24"/>
          <w:szCs w:val="24"/>
        </w:rPr>
        <w:t>"a</w:t>
      </w:r>
      <w:r w:rsidRPr="00984C5F">
        <w:rPr>
          <w:rFonts w:ascii="Times New Roman" w:hAnsi="Times New Roman" w:cs="Times New Roman"/>
          <w:sz w:val="24"/>
          <w:szCs w:val="24"/>
        </w:rPr>
        <w:t xml:space="preserve"> regra prevista no </w:t>
      </w:r>
      <w:r w:rsidRPr="005F4DB7">
        <w:rPr>
          <w:rFonts w:ascii="Times New Roman" w:hAnsi="Times New Roman" w:cs="Times New Roman"/>
          <w:i/>
          <w:sz w:val="24"/>
          <w:szCs w:val="24"/>
        </w:rPr>
        <w:t xml:space="preserve">caput </w:t>
      </w:r>
      <w:r w:rsidRPr="00984C5F">
        <w:rPr>
          <w:rFonts w:ascii="Times New Roman" w:hAnsi="Times New Roman" w:cs="Times New Roman"/>
          <w:sz w:val="24"/>
          <w:szCs w:val="24"/>
        </w:rPr>
        <w:t xml:space="preserve">aplica-se aos casos de parentalidade socioafetiva e de multiparentalidade”. </w:t>
      </w:r>
    </w:p>
    <w:p w:rsidR="00F67B86"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 xml:space="preserve">Por </w:t>
      </w:r>
      <w:r w:rsidR="00F67B86">
        <w:rPr>
          <w:rFonts w:ascii="Times New Roman" w:hAnsi="Times New Roman" w:cs="Times New Roman"/>
          <w:sz w:val="24"/>
          <w:szCs w:val="24"/>
        </w:rPr>
        <w:t xml:space="preserve">outra </w:t>
      </w:r>
      <w:r w:rsidRPr="00984C5F">
        <w:rPr>
          <w:rFonts w:ascii="Times New Roman" w:hAnsi="Times New Roman" w:cs="Times New Roman"/>
          <w:sz w:val="24"/>
          <w:szCs w:val="24"/>
        </w:rPr>
        <w:t xml:space="preserve">sugestão da Professora Rosa Nery, é também incluída uma regra relativa à igualdade econômica entre os filhos, devendo ser essa a premissa geral a ser considerada pelo julgador, a saber: “Art. 1.696-A. Os filhos, qualquer que seja a origem da filiação, têm direito de postular situação de igualdade econômica com seus irmãos ou com as pessoas que vivem às expensas do genitor ou da genitora com quem não mais convive ou nunca conviveu”. </w:t>
      </w:r>
    </w:p>
    <w:p w:rsidR="00F67B86"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t>Ficará em dúvida se essa igualdade será aplicada em casos de filhos que têm situação fática totalmente distinta, como aqueles que vivem em cidades distintas e com realidades econômicas diferentes, tendo decidido o Superior Tribunal de Justiça que em casos tais é possível fixar verbas alimentares com valores que não são iguais</w:t>
      </w:r>
      <w:r w:rsidR="00F67B86">
        <w:rPr>
          <w:rFonts w:ascii="Times New Roman" w:hAnsi="Times New Roman" w:cs="Times New Roman"/>
          <w:sz w:val="24"/>
          <w:szCs w:val="24"/>
        </w:rPr>
        <w:t xml:space="preserve">: </w:t>
      </w:r>
    </w:p>
    <w:p w:rsidR="00F67B86" w:rsidRPr="00F67B86" w:rsidRDefault="00984C5F" w:rsidP="00F67B86">
      <w:pPr>
        <w:pStyle w:val="t"/>
        <w:tabs>
          <w:tab w:val="left" w:pos="567"/>
        </w:tabs>
        <w:spacing w:before="120" w:after="120" w:line="360" w:lineRule="auto"/>
        <w:ind w:left="567" w:firstLine="0"/>
        <w:rPr>
          <w:rFonts w:ascii="Times New Roman" w:hAnsi="Times New Roman" w:cs="Times New Roman"/>
        </w:rPr>
      </w:pPr>
      <w:r w:rsidRPr="00F67B86">
        <w:rPr>
          <w:rFonts w:ascii="Times New Roman" w:hAnsi="Times New Roman" w:cs="Times New Roman"/>
        </w:rPr>
        <w:t>“</w:t>
      </w:r>
      <w:r w:rsidR="00F67B86" w:rsidRPr="00F67B86">
        <w:rPr>
          <w:rFonts w:ascii="Times New Roman" w:hAnsi="Times New Roman" w:cs="Times New Roman"/>
        </w:rPr>
        <w:t>(....) A</w:t>
      </w:r>
      <w:r w:rsidRPr="00F67B86">
        <w:rPr>
          <w:rFonts w:ascii="Times New Roman" w:hAnsi="Times New Roman" w:cs="Times New Roman"/>
        </w:rPr>
        <w:t xml:space="preserve"> igualdade entre os filhos, todavia, não tem natureza absoluta e inflexível, devendo, de acordo com a concepção aristotélica de isonomia e justiça, tratar-se igualmente os iguais e desigualmente os desiguais, na medida de suas desigualdades, de modo que é admissível a fixação de alimentos em valor ou percentual distinto entre os filhos se demonstrada a existência de necessidades diferenciadas entre eles ou, ainda, de capacidades contributivas diferenciadas dos genitores" (STJ, REsp 1.624.050/MG, 3.ª Turma, Rel. Min. Nancy Andrighi, j. 19.06.2018, DJe 22.06.2018).</w:t>
      </w:r>
    </w:p>
    <w:p w:rsidR="00F67B86" w:rsidRDefault="00984C5F" w:rsidP="00FC5D22">
      <w:pPr>
        <w:pStyle w:val="t"/>
        <w:spacing w:before="120" w:after="120" w:line="360" w:lineRule="auto"/>
        <w:ind w:firstLine="1701"/>
        <w:rPr>
          <w:rFonts w:ascii="Times New Roman" w:hAnsi="Times New Roman" w:cs="Times New Roman"/>
          <w:sz w:val="24"/>
          <w:szCs w:val="24"/>
        </w:rPr>
      </w:pPr>
      <w:r w:rsidRPr="00984C5F">
        <w:rPr>
          <w:rFonts w:ascii="Times New Roman" w:hAnsi="Times New Roman" w:cs="Times New Roman"/>
          <w:sz w:val="24"/>
          <w:szCs w:val="24"/>
        </w:rPr>
        <w:lastRenderedPageBreak/>
        <w:t xml:space="preserve"> No meu entender, confirma-se com a proposição o princípio</w:t>
      </w:r>
      <w:r w:rsidR="005F4DB7">
        <w:rPr>
          <w:rFonts w:ascii="Times New Roman" w:hAnsi="Times New Roman" w:cs="Times New Roman"/>
          <w:sz w:val="24"/>
          <w:szCs w:val="24"/>
        </w:rPr>
        <w:t xml:space="preserve"> constitucional</w:t>
      </w:r>
      <w:r w:rsidRPr="00984C5F">
        <w:rPr>
          <w:rFonts w:ascii="Times New Roman" w:hAnsi="Times New Roman" w:cs="Times New Roman"/>
          <w:sz w:val="24"/>
          <w:szCs w:val="24"/>
        </w:rPr>
        <w:t xml:space="preserve"> da igualdade entre filhos</w:t>
      </w:r>
      <w:r w:rsidR="005F4DB7">
        <w:rPr>
          <w:rFonts w:ascii="Times New Roman" w:hAnsi="Times New Roman" w:cs="Times New Roman"/>
          <w:sz w:val="24"/>
          <w:szCs w:val="24"/>
        </w:rPr>
        <w:t xml:space="preserve"> (art. 227, §6º, da CF/1988)</w:t>
      </w:r>
      <w:r w:rsidRPr="00984C5F">
        <w:rPr>
          <w:rFonts w:ascii="Times New Roman" w:hAnsi="Times New Roman" w:cs="Times New Roman"/>
          <w:sz w:val="24"/>
          <w:szCs w:val="24"/>
        </w:rPr>
        <w:t xml:space="preserve">, havendo uma presunção relativa de igualdade da verba alimentar em relação aos filhos e até mesmo a outros alimentandos. Porém, essa presunção </w:t>
      </w:r>
      <w:r w:rsidRPr="00F67B86">
        <w:rPr>
          <w:rFonts w:ascii="Times New Roman" w:hAnsi="Times New Roman" w:cs="Times New Roman"/>
          <w:i/>
          <w:sz w:val="24"/>
          <w:szCs w:val="24"/>
        </w:rPr>
        <w:t>iuris tantum</w:t>
      </w:r>
      <w:r w:rsidRPr="00984C5F">
        <w:rPr>
          <w:rFonts w:ascii="Times New Roman" w:hAnsi="Times New Roman" w:cs="Times New Roman"/>
          <w:sz w:val="24"/>
          <w:szCs w:val="24"/>
        </w:rPr>
        <w:t xml:space="preserve"> pode</w:t>
      </w:r>
      <w:r w:rsidR="00F67B86">
        <w:rPr>
          <w:rFonts w:ascii="Times New Roman" w:hAnsi="Times New Roman" w:cs="Times New Roman"/>
          <w:sz w:val="24"/>
          <w:szCs w:val="24"/>
        </w:rPr>
        <w:t>rá</w:t>
      </w:r>
      <w:r w:rsidRPr="00984C5F">
        <w:rPr>
          <w:rFonts w:ascii="Times New Roman" w:hAnsi="Times New Roman" w:cs="Times New Roman"/>
          <w:sz w:val="24"/>
          <w:szCs w:val="24"/>
        </w:rPr>
        <w:t xml:space="preserve"> ser afastada em casos específicos, e pelas peculiaridades do caso concreto, como está no acórdão </w:t>
      </w:r>
      <w:r w:rsidR="00F67B86">
        <w:rPr>
          <w:rFonts w:ascii="Times New Roman" w:hAnsi="Times New Roman" w:cs="Times New Roman"/>
          <w:sz w:val="24"/>
          <w:szCs w:val="24"/>
        </w:rPr>
        <w:t xml:space="preserve">superior destacado. </w:t>
      </w:r>
    </w:p>
    <w:p w:rsidR="00984C5F" w:rsidRDefault="00F67B86" w:rsidP="00FC5D2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próximo texto, seguirei com a análise de outras proposições sobre os </w:t>
      </w:r>
      <w:r w:rsidRPr="005F4DB7">
        <w:rPr>
          <w:rFonts w:ascii="Times New Roman" w:hAnsi="Times New Roman" w:cs="Times New Roman"/>
          <w:i/>
          <w:sz w:val="24"/>
          <w:szCs w:val="24"/>
        </w:rPr>
        <w:t>alimentos familiares</w:t>
      </w:r>
      <w:r>
        <w:rPr>
          <w:rFonts w:ascii="Times New Roman" w:hAnsi="Times New Roman" w:cs="Times New Roman"/>
          <w:sz w:val="24"/>
          <w:szCs w:val="24"/>
        </w:rPr>
        <w:t xml:space="preserve"> no Anteprojeto, com destaque para a solução apresentada para o intricado e complexo art. 1.69</w:t>
      </w:r>
      <w:r w:rsidR="005F4DB7">
        <w:rPr>
          <w:rFonts w:ascii="Times New Roman" w:hAnsi="Times New Roman" w:cs="Times New Roman"/>
          <w:sz w:val="24"/>
          <w:szCs w:val="24"/>
        </w:rPr>
        <w:t>8</w:t>
      </w:r>
      <w:r>
        <w:rPr>
          <w:rFonts w:ascii="Times New Roman" w:hAnsi="Times New Roman" w:cs="Times New Roman"/>
          <w:sz w:val="24"/>
          <w:szCs w:val="24"/>
        </w:rPr>
        <w:t xml:space="preserve"> do Código Civil</w:t>
      </w:r>
      <w:r w:rsidR="005F4DB7">
        <w:rPr>
          <w:rFonts w:ascii="Times New Roman" w:hAnsi="Times New Roman" w:cs="Times New Roman"/>
          <w:sz w:val="24"/>
          <w:szCs w:val="24"/>
        </w:rPr>
        <w:t>, tema que foi intensamente debatido na Comissão de Juristas</w:t>
      </w:r>
      <w:r>
        <w:rPr>
          <w:rFonts w:ascii="Times New Roman" w:hAnsi="Times New Roman" w:cs="Times New Roman"/>
          <w:sz w:val="24"/>
          <w:szCs w:val="24"/>
        </w:rPr>
        <w:t xml:space="preserve">. </w:t>
      </w:r>
    </w:p>
    <w:p w:rsidR="00F67B86" w:rsidRPr="00F67B86" w:rsidRDefault="00F67B86" w:rsidP="00F67B86"/>
    <w:p w:rsidR="00984C5F" w:rsidRPr="00984C5F" w:rsidRDefault="00984C5F" w:rsidP="00984C5F"/>
    <w:sectPr w:rsidR="00984C5F" w:rsidRPr="00984C5F" w:rsidSect="008964FA">
      <w:footerReference w:type="even" r:id="rId8"/>
      <w:footerReference w:type="default" r:id="rId9"/>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A7AC49D" w15:done="0"/>
  <w15:commentEx w15:paraId="6AA70D12" w15:done="0"/>
  <w15:commentEx w15:paraId="29C1B251" w15:done="0"/>
  <w15:commentEx w15:paraId="3AE12796" w15:done="0"/>
  <w15:commentEx w15:paraId="12B30BB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A7AC49D" w16cid:durableId="20413588"/>
  <w16cid:commentId w16cid:paraId="6AA70D12" w16cid:durableId="204136D6"/>
  <w16cid:commentId w16cid:paraId="29C1B251" w16cid:durableId="204137B4"/>
  <w16cid:commentId w16cid:paraId="3AE12796" w16cid:durableId="204137D9"/>
  <w16cid:commentId w16cid:paraId="12B30BB5" w16cid:durableId="20413A1C"/>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38C" w:rsidRDefault="00A0538C">
      <w:r>
        <w:separator/>
      </w:r>
    </w:p>
  </w:endnote>
  <w:endnote w:type="continuationSeparator" w:id="0">
    <w:p w:rsidR="00A0538C" w:rsidRDefault="00A0538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Pro">
    <w:altName w:val="Malgun Gothic"/>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C5F" w:rsidRDefault="00984C5F" w:rsidP="008A6CB4">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84C5F" w:rsidRDefault="00984C5F" w:rsidP="008A6CB4">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4698470"/>
      <w:docPartObj>
        <w:docPartGallery w:val="Page Numbers (Bottom of Page)"/>
        <w:docPartUnique/>
      </w:docPartObj>
    </w:sdtPr>
    <w:sdtContent>
      <w:p w:rsidR="00984C5F" w:rsidRDefault="00984C5F">
        <w:pPr>
          <w:pStyle w:val="Rodap"/>
          <w:jc w:val="right"/>
        </w:pPr>
        <w:r>
          <w:rPr>
            <w:noProof/>
          </w:rPr>
          <w:fldChar w:fldCharType="begin"/>
        </w:r>
        <w:r>
          <w:rPr>
            <w:noProof/>
          </w:rPr>
          <w:instrText xml:space="preserve"> PAGE   \* MERGEFORMAT </w:instrText>
        </w:r>
        <w:r>
          <w:rPr>
            <w:noProof/>
          </w:rPr>
          <w:fldChar w:fldCharType="separate"/>
        </w:r>
        <w:r w:rsidR="00200326">
          <w:rPr>
            <w:noProof/>
          </w:rPr>
          <w:t>1</w:t>
        </w:r>
        <w:r>
          <w:rPr>
            <w:noProof/>
          </w:rPr>
          <w:fldChar w:fldCharType="end"/>
        </w:r>
      </w:p>
    </w:sdtContent>
  </w:sdt>
  <w:p w:rsidR="00984C5F" w:rsidRDefault="00984C5F" w:rsidP="008A6CB4">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38C" w:rsidRDefault="00A0538C">
      <w:r>
        <w:separator/>
      </w:r>
    </w:p>
  </w:footnote>
  <w:footnote w:type="continuationSeparator" w:id="0">
    <w:p w:rsidR="00A0538C" w:rsidRDefault="00A0538C">
      <w:r>
        <w:continuationSeparator/>
      </w:r>
    </w:p>
  </w:footnote>
  <w:footnote w:id="1">
    <w:p w:rsidR="00984C5F" w:rsidRPr="00197971" w:rsidRDefault="00984C5F" w:rsidP="00470DA9">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Presidente da Comissão de Direito das Sucessões do Instituto Brasileiro de Direito de Família (IBDFAM). Conselheiro seccional da OABSP e Diretor da ESAOABSP.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F72AA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evisão">
    <w15:presenceInfo w15:providerId="None" w15:userId="Revisão"/>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stylePaneFormatFilter w:val="3F01"/>
  <w:defaultTabStop w:val="708"/>
  <w:hyphenationZone w:val="425"/>
  <w:characterSpacingControl w:val="doNotCompress"/>
  <w:footnotePr>
    <w:footnote w:id="-1"/>
    <w:footnote w:id="0"/>
  </w:footnotePr>
  <w:endnotePr>
    <w:endnote w:id="-1"/>
    <w:endnote w:id="0"/>
  </w:endnotePr>
  <w:compat/>
  <w:rsids>
    <w:rsidRoot w:val="001A6B5F"/>
    <w:rsid w:val="000006D7"/>
    <w:rsid w:val="00002DFB"/>
    <w:rsid w:val="00003AC8"/>
    <w:rsid w:val="00004871"/>
    <w:rsid w:val="00012E1F"/>
    <w:rsid w:val="00013F07"/>
    <w:rsid w:val="00017793"/>
    <w:rsid w:val="00022FFB"/>
    <w:rsid w:val="000321C3"/>
    <w:rsid w:val="0003241B"/>
    <w:rsid w:val="000467E1"/>
    <w:rsid w:val="00056861"/>
    <w:rsid w:val="0005749C"/>
    <w:rsid w:val="0005756E"/>
    <w:rsid w:val="00057960"/>
    <w:rsid w:val="00064D8B"/>
    <w:rsid w:val="000666C0"/>
    <w:rsid w:val="000756D9"/>
    <w:rsid w:val="0007773C"/>
    <w:rsid w:val="00080EA6"/>
    <w:rsid w:val="0008159D"/>
    <w:rsid w:val="00096F53"/>
    <w:rsid w:val="000A2F7A"/>
    <w:rsid w:val="000A3FA9"/>
    <w:rsid w:val="000B051F"/>
    <w:rsid w:val="000B6563"/>
    <w:rsid w:val="000C1649"/>
    <w:rsid w:val="000C2117"/>
    <w:rsid w:val="000C2699"/>
    <w:rsid w:val="000D3F71"/>
    <w:rsid w:val="000D6AF0"/>
    <w:rsid w:val="000E05E6"/>
    <w:rsid w:val="000E65CA"/>
    <w:rsid w:val="000F615E"/>
    <w:rsid w:val="00107141"/>
    <w:rsid w:val="00107FA1"/>
    <w:rsid w:val="0011279E"/>
    <w:rsid w:val="0011532B"/>
    <w:rsid w:val="00116986"/>
    <w:rsid w:val="001230A1"/>
    <w:rsid w:val="001238FF"/>
    <w:rsid w:val="001262FE"/>
    <w:rsid w:val="00126D26"/>
    <w:rsid w:val="00126E1F"/>
    <w:rsid w:val="001347DA"/>
    <w:rsid w:val="00145B34"/>
    <w:rsid w:val="001461FD"/>
    <w:rsid w:val="001509E7"/>
    <w:rsid w:val="001535FA"/>
    <w:rsid w:val="00154043"/>
    <w:rsid w:val="00155F03"/>
    <w:rsid w:val="00160A14"/>
    <w:rsid w:val="00165E7A"/>
    <w:rsid w:val="00174153"/>
    <w:rsid w:val="0018146F"/>
    <w:rsid w:val="001841D1"/>
    <w:rsid w:val="001A064D"/>
    <w:rsid w:val="001A07E7"/>
    <w:rsid w:val="001A202B"/>
    <w:rsid w:val="001A37EA"/>
    <w:rsid w:val="001A4407"/>
    <w:rsid w:val="001A50AF"/>
    <w:rsid w:val="001A6B5F"/>
    <w:rsid w:val="001B3220"/>
    <w:rsid w:val="001B578C"/>
    <w:rsid w:val="001B58DA"/>
    <w:rsid w:val="001B69D2"/>
    <w:rsid w:val="001C2BD2"/>
    <w:rsid w:val="001C3F0B"/>
    <w:rsid w:val="001D38EA"/>
    <w:rsid w:val="001F0631"/>
    <w:rsid w:val="001F47C3"/>
    <w:rsid w:val="001F5756"/>
    <w:rsid w:val="001F6DC5"/>
    <w:rsid w:val="00200326"/>
    <w:rsid w:val="00206C85"/>
    <w:rsid w:val="00207256"/>
    <w:rsid w:val="00207782"/>
    <w:rsid w:val="002116B9"/>
    <w:rsid w:val="00212FFA"/>
    <w:rsid w:val="0021687A"/>
    <w:rsid w:val="0022707E"/>
    <w:rsid w:val="00235D42"/>
    <w:rsid w:val="00243EF4"/>
    <w:rsid w:val="002443C4"/>
    <w:rsid w:val="00252754"/>
    <w:rsid w:val="00253155"/>
    <w:rsid w:val="002578C0"/>
    <w:rsid w:val="00261CDF"/>
    <w:rsid w:val="00265BFA"/>
    <w:rsid w:val="002663C8"/>
    <w:rsid w:val="00266F36"/>
    <w:rsid w:val="00267066"/>
    <w:rsid w:val="002700B2"/>
    <w:rsid w:val="00271AFC"/>
    <w:rsid w:val="00274BC6"/>
    <w:rsid w:val="00276586"/>
    <w:rsid w:val="002802B7"/>
    <w:rsid w:val="00282E8D"/>
    <w:rsid w:val="002836B5"/>
    <w:rsid w:val="002844C0"/>
    <w:rsid w:val="0028730E"/>
    <w:rsid w:val="0028758E"/>
    <w:rsid w:val="0029490F"/>
    <w:rsid w:val="002A003E"/>
    <w:rsid w:val="002A2AF5"/>
    <w:rsid w:val="002A431B"/>
    <w:rsid w:val="002A71F3"/>
    <w:rsid w:val="002A7E0F"/>
    <w:rsid w:val="002B0136"/>
    <w:rsid w:val="002B0CBA"/>
    <w:rsid w:val="002B0D7E"/>
    <w:rsid w:val="002B4A47"/>
    <w:rsid w:val="002B5F5D"/>
    <w:rsid w:val="002C57C0"/>
    <w:rsid w:val="002D1487"/>
    <w:rsid w:val="002D1DEF"/>
    <w:rsid w:val="002D3E5B"/>
    <w:rsid w:val="002D564A"/>
    <w:rsid w:val="002E07CB"/>
    <w:rsid w:val="002E0F20"/>
    <w:rsid w:val="002F2D05"/>
    <w:rsid w:val="002F6594"/>
    <w:rsid w:val="00302F58"/>
    <w:rsid w:val="00303856"/>
    <w:rsid w:val="0030419F"/>
    <w:rsid w:val="0030483C"/>
    <w:rsid w:val="00306685"/>
    <w:rsid w:val="00311887"/>
    <w:rsid w:val="00312A5C"/>
    <w:rsid w:val="003135FC"/>
    <w:rsid w:val="00314A07"/>
    <w:rsid w:val="00314C35"/>
    <w:rsid w:val="00315AA6"/>
    <w:rsid w:val="00326A1D"/>
    <w:rsid w:val="00331190"/>
    <w:rsid w:val="00332BD0"/>
    <w:rsid w:val="00333A29"/>
    <w:rsid w:val="00335007"/>
    <w:rsid w:val="003404DC"/>
    <w:rsid w:val="00341202"/>
    <w:rsid w:val="003419E5"/>
    <w:rsid w:val="00347FAA"/>
    <w:rsid w:val="003516FE"/>
    <w:rsid w:val="003529EE"/>
    <w:rsid w:val="003562C5"/>
    <w:rsid w:val="00360AF2"/>
    <w:rsid w:val="00362874"/>
    <w:rsid w:val="003648FD"/>
    <w:rsid w:val="00366C65"/>
    <w:rsid w:val="0037785C"/>
    <w:rsid w:val="00381576"/>
    <w:rsid w:val="003876ED"/>
    <w:rsid w:val="00390016"/>
    <w:rsid w:val="00396423"/>
    <w:rsid w:val="003B230A"/>
    <w:rsid w:val="003B2F06"/>
    <w:rsid w:val="003B42DD"/>
    <w:rsid w:val="003B4386"/>
    <w:rsid w:val="003B5C7B"/>
    <w:rsid w:val="003B62F0"/>
    <w:rsid w:val="003B6A73"/>
    <w:rsid w:val="003B727B"/>
    <w:rsid w:val="003C0520"/>
    <w:rsid w:val="003C5702"/>
    <w:rsid w:val="003D0418"/>
    <w:rsid w:val="003D1CB3"/>
    <w:rsid w:val="003D4118"/>
    <w:rsid w:val="003E3529"/>
    <w:rsid w:val="003E4E5C"/>
    <w:rsid w:val="003E5A3C"/>
    <w:rsid w:val="003F01E4"/>
    <w:rsid w:val="003F1915"/>
    <w:rsid w:val="003F347D"/>
    <w:rsid w:val="00403184"/>
    <w:rsid w:val="00403C33"/>
    <w:rsid w:val="004046ED"/>
    <w:rsid w:val="004158FC"/>
    <w:rsid w:val="00415B01"/>
    <w:rsid w:val="00416567"/>
    <w:rsid w:val="0042315D"/>
    <w:rsid w:val="00425B8A"/>
    <w:rsid w:val="00427EC5"/>
    <w:rsid w:val="0043008C"/>
    <w:rsid w:val="00445471"/>
    <w:rsid w:val="00445964"/>
    <w:rsid w:val="00447FCA"/>
    <w:rsid w:val="004503B6"/>
    <w:rsid w:val="00450475"/>
    <w:rsid w:val="00450E93"/>
    <w:rsid w:val="004542E5"/>
    <w:rsid w:val="00466141"/>
    <w:rsid w:val="00467072"/>
    <w:rsid w:val="00470DA9"/>
    <w:rsid w:val="004718B4"/>
    <w:rsid w:val="00481009"/>
    <w:rsid w:val="00483462"/>
    <w:rsid w:val="00484C70"/>
    <w:rsid w:val="004950AE"/>
    <w:rsid w:val="004A104B"/>
    <w:rsid w:val="004B0C73"/>
    <w:rsid w:val="004B4706"/>
    <w:rsid w:val="004B704C"/>
    <w:rsid w:val="004C16BB"/>
    <w:rsid w:val="004C75AF"/>
    <w:rsid w:val="004D1D7C"/>
    <w:rsid w:val="004D5F7C"/>
    <w:rsid w:val="004E3553"/>
    <w:rsid w:val="004E4F19"/>
    <w:rsid w:val="004F010D"/>
    <w:rsid w:val="004F2F6E"/>
    <w:rsid w:val="004F6AF3"/>
    <w:rsid w:val="00503083"/>
    <w:rsid w:val="0050336B"/>
    <w:rsid w:val="00511B17"/>
    <w:rsid w:val="005164AD"/>
    <w:rsid w:val="0051753D"/>
    <w:rsid w:val="005175CE"/>
    <w:rsid w:val="00522D58"/>
    <w:rsid w:val="005432D2"/>
    <w:rsid w:val="005441F0"/>
    <w:rsid w:val="00550D67"/>
    <w:rsid w:val="005650CE"/>
    <w:rsid w:val="00566332"/>
    <w:rsid w:val="005729A9"/>
    <w:rsid w:val="00573D39"/>
    <w:rsid w:val="005813C3"/>
    <w:rsid w:val="005820A6"/>
    <w:rsid w:val="005A30BB"/>
    <w:rsid w:val="005A4C20"/>
    <w:rsid w:val="005B3F8B"/>
    <w:rsid w:val="005B6B53"/>
    <w:rsid w:val="005C4BE2"/>
    <w:rsid w:val="005C604C"/>
    <w:rsid w:val="005D0B13"/>
    <w:rsid w:val="005D31CF"/>
    <w:rsid w:val="005E1EF2"/>
    <w:rsid w:val="005E6678"/>
    <w:rsid w:val="005E709A"/>
    <w:rsid w:val="005F1A84"/>
    <w:rsid w:val="005F4DB7"/>
    <w:rsid w:val="005F51F3"/>
    <w:rsid w:val="005F5FBE"/>
    <w:rsid w:val="0060774F"/>
    <w:rsid w:val="006168BF"/>
    <w:rsid w:val="00621E46"/>
    <w:rsid w:val="006241B2"/>
    <w:rsid w:val="0062754A"/>
    <w:rsid w:val="00633101"/>
    <w:rsid w:val="0063311A"/>
    <w:rsid w:val="006377C1"/>
    <w:rsid w:val="00641E16"/>
    <w:rsid w:val="00650436"/>
    <w:rsid w:val="00650A0C"/>
    <w:rsid w:val="006571AD"/>
    <w:rsid w:val="006577F0"/>
    <w:rsid w:val="00660CF6"/>
    <w:rsid w:val="00661D33"/>
    <w:rsid w:val="00684C42"/>
    <w:rsid w:val="006861F8"/>
    <w:rsid w:val="00690158"/>
    <w:rsid w:val="006977E9"/>
    <w:rsid w:val="006B2243"/>
    <w:rsid w:val="006B3907"/>
    <w:rsid w:val="006C46ED"/>
    <w:rsid w:val="006C5EDA"/>
    <w:rsid w:val="006C62FC"/>
    <w:rsid w:val="006D6191"/>
    <w:rsid w:val="006E40EA"/>
    <w:rsid w:val="006E4481"/>
    <w:rsid w:val="006E4DE5"/>
    <w:rsid w:val="006E5126"/>
    <w:rsid w:val="006F61E0"/>
    <w:rsid w:val="006F6380"/>
    <w:rsid w:val="00703DBB"/>
    <w:rsid w:val="00710123"/>
    <w:rsid w:val="00710C29"/>
    <w:rsid w:val="00713BF2"/>
    <w:rsid w:val="007203E9"/>
    <w:rsid w:val="00736FBF"/>
    <w:rsid w:val="00745489"/>
    <w:rsid w:val="00753E89"/>
    <w:rsid w:val="0075661A"/>
    <w:rsid w:val="00764D23"/>
    <w:rsid w:val="00765768"/>
    <w:rsid w:val="00766AAD"/>
    <w:rsid w:val="007704C3"/>
    <w:rsid w:val="007741C1"/>
    <w:rsid w:val="00777BD2"/>
    <w:rsid w:val="00777F4E"/>
    <w:rsid w:val="00786137"/>
    <w:rsid w:val="007863FE"/>
    <w:rsid w:val="00790139"/>
    <w:rsid w:val="0079104F"/>
    <w:rsid w:val="00791DCC"/>
    <w:rsid w:val="00797E75"/>
    <w:rsid w:val="007A0620"/>
    <w:rsid w:val="007A30FB"/>
    <w:rsid w:val="007A4E85"/>
    <w:rsid w:val="007B2C8C"/>
    <w:rsid w:val="007C091E"/>
    <w:rsid w:val="007C4436"/>
    <w:rsid w:val="007C5CC7"/>
    <w:rsid w:val="007C66CE"/>
    <w:rsid w:val="007D02B9"/>
    <w:rsid w:val="007D0D12"/>
    <w:rsid w:val="007D2DB6"/>
    <w:rsid w:val="007D448F"/>
    <w:rsid w:val="007F0AD2"/>
    <w:rsid w:val="007F2532"/>
    <w:rsid w:val="007F2C2C"/>
    <w:rsid w:val="007F2F20"/>
    <w:rsid w:val="007F3FFC"/>
    <w:rsid w:val="007F68F1"/>
    <w:rsid w:val="008016D0"/>
    <w:rsid w:val="00811D73"/>
    <w:rsid w:val="00814295"/>
    <w:rsid w:val="00817226"/>
    <w:rsid w:val="00817CCB"/>
    <w:rsid w:val="00820290"/>
    <w:rsid w:val="008239EC"/>
    <w:rsid w:val="00827C6B"/>
    <w:rsid w:val="00835568"/>
    <w:rsid w:val="008376DF"/>
    <w:rsid w:val="008421B2"/>
    <w:rsid w:val="00845356"/>
    <w:rsid w:val="00851222"/>
    <w:rsid w:val="00852438"/>
    <w:rsid w:val="00854530"/>
    <w:rsid w:val="008569FC"/>
    <w:rsid w:val="008611CD"/>
    <w:rsid w:val="00871C6C"/>
    <w:rsid w:val="00873886"/>
    <w:rsid w:val="00875A56"/>
    <w:rsid w:val="00875E34"/>
    <w:rsid w:val="0088482E"/>
    <w:rsid w:val="008849A9"/>
    <w:rsid w:val="00886A93"/>
    <w:rsid w:val="00893DE8"/>
    <w:rsid w:val="00894057"/>
    <w:rsid w:val="00895C10"/>
    <w:rsid w:val="008964FA"/>
    <w:rsid w:val="008967F0"/>
    <w:rsid w:val="008973DC"/>
    <w:rsid w:val="008A02AB"/>
    <w:rsid w:val="008A4C28"/>
    <w:rsid w:val="008A6CB4"/>
    <w:rsid w:val="008B22CE"/>
    <w:rsid w:val="008B2594"/>
    <w:rsid w:val="008B29A9"/>
    <w:rsid w:val="008B432E"/>
    <w:rsid w:val="008B4368"/>
    <w:rsid w:val="008C2D79"/>
    <w:rsid w:val="008C5596"/>
    <w:rsid w:val="008D449D"/>
    <w:rsid w:val="008D5C00"/>
    <w:rsid w:val="008E4D7B"/>
    <w:rsid w:val="008F2C26"/>
    <w:rsid w:val="008F2F31"/>
    <w:rsid w:val="008F37DF"/>
    <w:rsid w:val="008F7850"/>
    <w:rsid w:val="008F7FFE"/>
    <w:rsid w:val="009033DC"/>
    <w:rsid w:val="0091001B"/>
    <w:rsid w:val="00910799"/>
    <w:rsid w:val="00914DAB"/>
    <w:rsid w:val="009228A0"/>
    <w:rsid w:val="00922DF9"/>
    <w:rsid w:val="0092357D"/>
    <w:rsid w:val="00930495"/>
    <w:rsid w:val="00931FF5"/>
    <w:rsid w:val="00934036"/>
    <w:rsid w:val="00943BD4"/>
    <w:rsid w:val="00945603"/>
    <w:rsid w:val="0095470A"/>
    <w:rsid w:val="00960170"/>
    <w:rsid w:val="00962442"/>
    <w:rsid w:val="0096430E"/>
    <w:rsid w:val="009644EA"/>
    <w:rsid w:val="009705F0"/>
    <w:rsid w:val="00980F9F"/>
    <w:rsid w:val="00984C5F"/>
    <w:rsid w:val="00994731"/>
    <w:rsid w:val="009A65E6"/>
    <w:rsid w:val="009B3CEB"/>
    <w:rsid w:val="009B4B45"/>
    <w:rsid w:val="009B5857"/>
    <w:rsid w:val="009B5DA8"/>
    <w:rsid w:val="009C06C6"/>
    <w:rsid w:val="009C3C88"/>
    <w:rsid w:val="009C5CE2"/>
    <w:rsid w:val="009D1203"/>
    <w:rsid w:val="009D1958"/>
    <w:rsid w:val="009E0681"/>
    <w:rsid w:val="009E30DF"/>
    <w:rsid w:val="009E7A92"/>
    <w:rsid w:val="009F035B"/>
    <w:rsid w:val="009F0977"/>
    <w:rsid w:val="009F14C3"/>
    <w:rsid w:val="009F3416"/>
    <w:rsid w:val="009F35D0"/>
    <w:rsid w:val="009F6DA7"/>
    <w:rsid w:val="00A0182E"/>
    <w:rsid w:val="00A0538C"/>
    <w:rsid w:val="00A076E5"/>
    <w:rsid w:val="00A11B9C"/>
    <w:rsid w:val="00A151DB"/>
    <w:rsid w:val="00A16B93"/>
    <w:rsid w:val="00A20F4D"/>
    <w:rsid w:val="00A2356F"/>
    <w:rsid w:val="00A2471F"/>
    <w:rsid w:val="00A333D9"/>
    <w:rsid w:val="00A35350"/>
    <w:rsid w:val="00A3554E"/>
    <w:rsid w:val="00A35F27"/>
    <w:rsid w:val="00A410E3"/>
    <w:rsid w:val="00A445F0"/>
    <w:rsid w:val="00A466B1"/>
    <w:rsid w:val="00A47AD4"/>
    <w:rsid w:val="00A534D6"/>
    <w:rsid w:val="00A53992"/>
    <w:rsid w:val="00A542B8"/>
    <w:rsid w:val="00A561DB"/>
    <w:rsid w:val="00A6189C"/>
    <w:rsid w:val="00A712CA"/>
    <w:rsid w:val="00A7386F"/>
    <w:rsid w:val="00A73F46"/>
    <w:rsid w:val="00A7512D"/>
    <w:rsid w:val="00A838EB"/>
    <w:rsid w:val="00A84653"/>
    <w:rsid w:val="00A8549C"/>
    <w:rsid w:val="00A940D9"/>
    <w:rsid w:val="00A95D4E"/>
    <w:rsid w:val="00A96EBD"/>
    <w:rsid w:val="00AA073D"/>
    <w:rsid w:val="00AA5071"/>
    <w:rsid w:val="00AA6071"/>
    <w:rsid w:val="00AB0281"/>
    <w:rsid w:val="00AB2490"/>
    <w:rsid w:val="00AB2A78"/>
    <w:rsid w:val="00AB2DB8"/>
    <w:rsid w:val="00AB330C"/>
    <w:rsid w:val="00AB51C3"/>
    <w:rsid w:val="00AB65E3"/>
    <w:rsid w:val="00AC3440"/>
    <w:rsid w:val="00AD4C2C"/>
    <w:rsid w:val="00AD5581"/>
    <w:rsid w:val="00AD57FF"/>
    <w:rsid w:val="00AD7100"/>
    <w:rsid w:val="00AE6742"/>
    <w:rsid w:val="00AF36EF"/>
    <w:rsid w:val="00B07E2B"/>
    <w:rsid w:val="00B120D2"/>
    <w:rsid w:val="00B15684"/>
    <w:rsid w:val="00B15A6E"/>
    <w:rsid w:val="00B22246"/>
    <w:rsid w:val="00B27CE0"/>
    <w:rsid w:val="00B32B8C"/>
    <w:rsid w:val="00B362D6"/>
    <w:rsid w:val="00B5550D"/>
    <w:rsid w:val="00B62AC6"/>
    <w:rsid w:val="00B6323A"/>
    <w:rsid w:val="00B6764D"/>
    <w:rsid w:val="00B72750"/>
    <w:rsid w:val="00B75A13"/>
    <w:rsid w:val="00B77056"/>
    <w:rsid w:val="00B8471F"/>
    <w:rsid w:val="00B85EF7"/>
    <w:rsid w:val="00B9312F"/>
    <w:rsid w:val="00B961A3"/>
    <w:rsid w:val="00BA0485"/>
    <w:rsid w:val="00BA2AD9"/>
    <w:rsid w:val="00BA2BB1"/>
    <w:rsid w:val="00BA3AB9"/>
    <w:rsid w:val="00BA7706"/>
    <w:rsid w:val="00BB082A"/>
    <w:rsid w:val="00BB527A"/>
    <w:rsid w:val="00BB6B55"/>
    <w:rsid w:val="00BB6C90"/>
    <w:rsid w:val="00BC32AD"/>
    <w:rsid w:val="00BC3B23"/>
    <w:rsid w:val="00BC7FAC"/>
    <w:rsid w:val="00BD008F"/>
    <w:rsid w:val="00BD438D"/>
    <w:rsid w:val="00BE2F3A"/>
    <w:rsid w:val="00BF0CC7"/>
    <w:rsid w:val="00BF22C4"/>
    <w:rsid w:val="00BF37B6"/>
    <w:rsid w:val="00BF6AD3"/>
    <w:rsid w:val="00C11598"/>
    <w:rsid w:val="00C16DC0"/>
    <w:rsid w:val="00C215F6"/>
    <w:rsid w:val="00C21FFF"/>
    <w:rsid w:val="00C23F79"/>
    <w:rsid w:val="00C27409"/>
    <w:rsid w:val="00C27770"/>
    <w:rsid w:val="00C30044"/>
    <w:rsid w:val="00C32772"/>
    <w:rsid w:val="00C332DE"/>
    <w:rsid w:val="00C36C86"/>
    <w:rsid w:val="00C4213C"/>
    <w:rsid w:val="00C53561"/>
    <w:rsid w:val="00C5361C"/>
    <w:rsid w:val="00C54A44"/>
    <w:rsid w:val="00C60023"/>
    <w:rsid w:val="00C72E02"/>
    <w:rsid w:val="00C7684F"/>
    <w:rsid w:val="00C80C5F"/>
    <w:rsid w:val="00C83F91"/>
    <w:rsid w:val="00C8737D"/>
    <w:rsid w:val="00C920D1"/>
    <w:rsid w:val="00C9283F"/>
    <w:rsid w:val="00C93D45"/>
    <w:rsid w:val="00C9679D"/>
    <w:rsid w:val="00C96C30"/>
    <w:rsid w:val="00CA2FF0"/>
    <w:rsid w:val="00CA5DFF"/>
    <w:rsid w:val="00CA72CD"/>
    <w:rsid w:val="00CB25AF"/>
    <w:rsid w:val="00CB444A"/>
    <w:rsid w:val="00CB65C2"/>
    <w:rsid w:val="00CB70F3"/>
    <w:rsid w:val="00CB7BA8"/>
    <w:rsid w:val="00CC001F"/>
    <w:rsid w:val="00CC4E6C"/>
    <w:rsid w:val="00CC585D"/>
    <w:rsid w:val="00CD1DDD"/>
    <w:rsid w:val="00CD2F1C"/>
    <w:rsid w:val="00CE0598"/>
    <w:rsid w:val="00CE2425"/>
    <w:rsid w:val="00CF01DB"/>
    <w:rsid w:val="00CF17D5"/>
    <w:rsid w:val="00D02705"/>
    <w:rsid w:val="00D028D1"/>
    <w:rsid w:val="00D052CF"/>
    <w:rsid w:val="00D060B1"/>
    <w:rsid w:val="00D1177D"/>
    <w:rsid w:val="00D21206"/>
    <w:rsid w:val="00D27BF2"/>
    <w:rsid w:val="00D27D1F"/>
    <w:rsid w:val="00D32449"/>
    <w:rsid w:val="00D34DB3"/>
    <w:rsid w:val="00D3547E"/>
    <w:rsid w:val="00D36702"/>
    <w:rsid w:val="00D3680D"/>
    <w:rsid w:val="00D44A29"/>
    <w:rsid w:val="00D44A99"/>
    <w:rsid w:val="00D50612"/>
    <w:rsid w:val="00D60372"/>
    <w:rsid w:val="00D61891"/>
    <w:rsid w:val="00D62A38"/>
    <w:rsid w:val="00D63AA0"/>
    <w:rsid w:val="00D76780"/>
    <w:rsid w:val="00D76989"/>
    <w:rsid w:val="00D77203"/>
    <w:rsid w:val="00D84F01"/>
    <w:rsid w:val="00D85A6B"/>
    <w:rsid w:val="00D92231"/>
    <w:rsid w:val="00D93B5C"/>
    <w:rsid w:val="00D95F5C"/>
    <w:rsid w:val="00D97CB4"/>
    <w:rsid w:val="00DA3F7A"/>
    <w:rsid w:val="00DA7D79"/>
    <w:rsid w:val="00DD2AFB"/>
    <w:rsid w:val="00DD7906"/>
    <w:rsid w:val="00DD7E05"/>
    <w:rsid w:val="00DE393D"/>
    <w:rsid w:val="00DE4472"/>
    <w:rsid w:val="00DF1B1C"/>
    <w:rsid w:val="00DF7F93"/>
    <w:rsid w:val="00E02943"/>
    <w:rsid w:val="00E03361"/>
    <w:rsid w:val="00E119CF"/>
    <w:rsid w:val="00E201A4"/>
    <w:rsid w:val="00E2022D"/>
    <w:rsid w:val="00E22692"/>
    <w:rsid w:val="00E23120"/>
    <w:rsid w:val="00E318F5"/>
    <w:rsid w:val="00E371F6"/>
    <w:rsid w:val="00E43649"/>
    <w:rsid w:val="00E44A60"/>
    <w:rsid w:val="00E530CA"/>
    <w:rsid w:val="00E611EF"/>
    <w:rsid w:val="00E629CA"/>
    <w:rsid w:val="00E64F45"/>
    <w:rsid w:val="00E6733C"/>
    <w:rsid w:val="00E710B3"/>
    <w:rsid w:val="00E72790"/>
    <w:rsid w:val="00E75838"/>
    <w:rsid w:val="00E82113"/>
    <w:rsid w:val="00E94EE5"/>
    <w:rsid w:val="00E94F11"/>
    <w:rsid w:val="00EA34FE"/>
    <w:rsid w:val="00EA5378"/>
    <w:rsid w:val="00EA6575"/>
    <w:rsid w:val="00EA6A53"/>
    <w:rsid w:val="00EB325F"/>
    <w:rsid w:val="00EC14B0"/>
    <w:rsid w:val="00ED65FE"/>
    <w:rsid w:val="00EE7459"/>
    <w:rsid w:val="00EF353B"/>
    <w:rsid w:val="00EF5FB5"/>
    <w:rsid w:val="00EF62A4"/>
    <w:rsid w:val="00F03AB1"/>
    <w:rsid w:val="00F04189"/>
    <w:rsid w:val="00F04FA0"/>
    <w:rsid w:val="00F24371"/>
    <w:rsid w:val="00F25EA9"/>
    <w:rsid w:val="00F27517"/>
    <w:rsid w:val="00F35E75"/>
    <w:rsid w:val="00F40DF8"/>
    <w:rsid w:val="00F44D90"/>
    <w:rsid w:val="00F46420"/>
    <w:rsid w:val="00F50837"/>
    <w:rsid w:val="00F5362E"/>
    <w:rsid w:val="00F56A11"/>
    <w:rsid w:val="00F57FCA"/>
    <w:rsid w:val="00F60AD1"/>
    <w:rsid w:val="00F61589"/>
    <w:rsid w:val="00F63CC5"/>
    <w:rsid w:val="00F64A15"/>
    <w:rsid w:val="00F66509"/>
    <w:rsid w:val="00F67B86"/>
    <w:rsid w:val="00F77C76"/>
    <w:rsid w:val="00F8220E"/>
    <w:rsid w:val="00F827A3"/>
    <w:rsid w:val="00F90174"/>
    <w:rsid w:val="00F92372"/>
    <w:rsid w:val="00FA1C7D"/>
    <w:rsid w:val="00FB3C65"/>
    <w:rsid w:val="00FB5CA5"/>
    <w:rsid w:val="00FC1608"/>
    <w:rsid w:val="00FC5D22"/>
    <w:rsid w:val="00FD4AF4"/>
    <w:rsid w:val="00FD4FF9"/>
    <w:rsid w:val="00FD525E"/>
    <w:rsid w:val="00FD58AE"/>
    <w:rsid w:val="00FD7AB7"/>
    <w:rsid w:val="00FE222B"/>
    <w:rsid w:val="00FE4B16"/>
    <w:rsid w:val="00FE56D9"/>
    <w:rsid w:val="00FE7F0B"/>
    <w:rsid w:val="00FF49E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B5F"/>
    <w:rPr>
      <w:sz w:val="24"/>
      <w:szCs w:val="24"/>
      <w:lang w:eastAsia="pt-BR"/>
    </w:rPr>
  </w:style>
  <w:style w:type="paragraph" w:styleId="Ttulo1">
    <w:name w:val="heading 1"/>
    <w:basedOn w:val="Normal"/>
    <w:next w:val="Normal"/>
    <w:link w:val="Ttulo1Char"/>
    <w:uiPriority w:val="9"/>
    <w:qFormat/>
    <w:rsid w:val="003B2F06"/>
    <w:pPr>
      <w:keepNext/>
      <w:keepLines/>
      <w:spacing w:before="480" w:line="276" w:lineRule="auto"/>
      <w:outlineLvl w:val="0"/>
    </w:pPr>
    <w:rPr>
      <w:rFonts w:ascii="Calibri" w:eastAsia="MS Gothic" w:hAnsi="Calibri"/>
      <w:b/>
      <w:bCs/>
      <w:color w:val="365F91"/>
      <w:sz w:val="28"/>
      <w:szCs w:val="28"/>
      <w:lang w:val="en-US" w:eastAsia="en-US" w:bidi="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
    <w:name w:val="t"/>
    <w:basedOn w:val="Normal"/>
    <w:next w:val="Normal"/>
    <w:uiPriority w:val="99"/>
    <w:rsid w:val="001A6B5F"/>
    <w:pPr>
      <w:widowControl w:val="0"/>
      <w:autoSpaceDE w:val="0"/>
      <w:autoSpaceDN w:val="0"/>
      <w:adjustRightInd w:val="0"/>
      <w:spacing w:before="64" w:line="250" w:lineRule="atLeast"/>
      <w:ind w:firstLine="512"/>
      <w:jc w:val="both"/>
      <w:textAlignment w:val="center"/>
    </w:pPr>
    <w:rPr>
      <w:rFonts w:ascii="Calibri" w:hAnsi="Calibri" w:cs="Calibri"/>
      <w:color w:val="000000"/>
      <w:sz w:val="22"/>
      <w:szCs w:val="22"/>
    </w:rPr>
  </w:style>
  <w:style w:type="character" w:styleId="Refdecomentrio">
    <w:name w:val="annotation reference"/>
    <w:semiHidden/>
    <w:rsid w:val="001A6B5F"/>
    <w:rPr>
      <w:sz w:val="16"/>
      <w:szCs w:val="16"/>
    </w:rPr>
  </w:style>
  <w:style w:type="paragraph" w:styleId="Textodecomentrio">
    <w:name w:val="annotation text"/>
    <w:basedOn w:val="Normal"/>
    <w:link w:val="TextodecomentrioChar"/>
    <w:semiHidden/>
    <w:rsid w:val="001A6B5F"/>
    <w:pPr>
      <w:spacing w:after="160" w:line="259" w:lineRule="auto"/>
    </w:pPr>
    <w:rPr>
      <w:rFonts w:ascii="Calibri" w:hAnsi="Calibri"/>
      <w:sz w:val="20"/>
      <w:szCs w:val="20"/>
    </w:rPr>
  </w:style>
  <w:style w:type="paragraph" w:styleId="Textodenotaderodap">
    <w:name w:val="footnote text"/>
    <w:basedOn w:val="Normal"/>
    <w:link w:val="TextodenotaderodapChar"/>
    <w:rsid w:val="001A6B5F"/>
    <w:rPr>
      <w:sz w:val="20"/>
      <w:szCs w:val="20"/>
    </w:rPr>
  </w:style>
  <w:style w:type="character" w:styleId="Refdenotaderodap">
    <w:name w:val="footnote reference"/>
    <w:semiHidden/>
    <w:rsid w:val="001A6B5F"/>
    <w:rPr>
      <w:vertAlign w:val="superscript"/>
    </w:rPr>
  </w:style>
  <w:style w:type="character" w:customStyle="1" w:styleId="TextodenotaderodapChar">
    <w:name w:val="Texto de nota de rodapé Char"/>
    <w:link w:val="Textodenotaderodap"/>
    <w:rsid w:val="001A6B5F"/>
    <w:rPr>
      <w:lang w:val="pt-BR" w:eastAsia="pt-BR" w:bidi="ar-SA"/>
    </w:rPr>
  </w:style>
  <w:style w:type="character" w:customStyle="1" w:styleId="TextodecomentrioChar">
    <w:name w:val="Texto de comentário Char"/>
    <w:link w:val="Textodecomentrio"/>
    <w:semiHidden/>
    <w:rsid w:val="001A6B5F"/>
    <w:rPr>
      <w:rFonts w:ascii="Calibri" w:hAnsi="Calibri"/>
      <w:lang w:bidi="ar-SA"/>
    </w:rPr>
  </w:style>
  <w:style w:type="paragraph" w:styleId="Textodebalo">
    <w:name w:val="Balloon Text"/>
    <w:basedOn w:val="Normal"/>
    <w:semiHidden/>
    <w:rsid w:val="001A6B5F"/>
    <w:rPr>
      <w:rFonts w:ascii="Tahoma" w:hAnsi="Tahoma" w:cs="Tahoma"/>
      <w:sz w:val="16"/>
      <w:szCs w:val="16"/>
    </w:rPr>
  </w:style>
  <w:style w:type="paragraph" w:styleId="NormalWeb">
    <w:name w:val="Normal (Web)"/>
    <w:basedOn w:val="Normal"/>
    <w:uiPriority w:val="99"/>
    <w:rsid w:val="001A6B5F"/>
    <w:pPr>
      <w:spacing w:before="100" w:beforeAutospacing="1" w:after="100" w:afterAutospacing="1"/>
    </w:pPr>
  </w:style>
  <w:style w:type="paragraph" w:customStyle="1" w:styleId="nota">
    <w:name w:val="nota"/>
    <w:basedOn w:val="t"/>
    <w:uiPriority w:val="99"/>
    <w:rsid w:val="001A6B5F"/>
    <w:pPr>
      <w:tabs>
        <w:tab w:val="left" w:pos="320"/>
      </w:tabs>
      <w:spacing w:before="0" w:line="200" w:lineRule="atLeast"/>
      <w:ind w:left="213" w:hanging="213"/>
    </w:pPr>
    <w:rPr>
      <w:rFonts w:ascii="Myriad Pro" w:hAnsi="Myriad Pro" w:cs="Myriad Pro"/>
      <w:sz w:val="17"/>
      <w:szCs w:val="17"/>
    </w:rPr>
  </w:style>
  <w:style w:type="character" w:customStyle="1" w:styleId="Ttulo1Char">
    <w:name w:val="Título 1 Char"/>
    <w:basedOn w:val="Fontepargpadro"/>
    <w:link w:val="Ttulo1"/>
    <w:uiPriority w:val="9"/>
    <w:rsid w:val="003B2F06"/>
    <w:rPr>
      <w:rFonts w:ascii="Calibri" w:eastAsia="MS Gothic" w:hAnsi="Calibri"/>
      <w:b/>
      <w:bCs/>
      <w:color w:val="365F91"/>
      <w:sz w:val="28"/>
      <w:szCs w:val="28"/>
      <w:lang w:val="en-US" w:bidi="en-US"/>
    </w:rPr>
  </w:style>
  <w:style w:type="paragraph" w:styleId="Rodap">
    <w:name w:val="footer"/>
    <w:basedOn w:val="Normal"/>
    <w:link w:val="RodapChar"/>
    <w:uiPriority w:val="99"/>
    <w:rsid w:val="008A6CB4"/>
    <w:pPr>
      <w:tabs>
        <w:tab w:val="center" w:pos="4320"/>
        <w:tab w:val="right" w:pos="8640"/>
      </w:tabs>
    </w:pPr>
  </w:style>
  <w:style w:type="character" w:customStyle="1" w:styleId="RodapChar">
    <w:name w:val="Rodapé Char"/>
    <w:basedOn w:val="Fontepargpadro"/>
    <w:link w:val="Rodap"/>
    <w:uiPriority w:val="99"/>
    <w:rsid w:val="008A6CB4"/>
    <w:rPr>
      <w:sz w:val="24"/>
      <w:szCs w:val="24"/>
      <w:lang w:eastAsia="pt-BR"/>
    </w:rPr>
  </w:style>
  <w:style w:type="character" w:styleId="Nmerodepgina">
    <w:name w:val="page number"/>
    <w:basedOn w:val="Fontepargpadro"/>
    <w:rsid w:val="008A6CB4"/>
  </w:style>
  <w:style w:type="paragraph" w:styleId="Assuntodocomentrio">
    <w:name w:val="annotation subject"/>
    <w:basedOn w:val="Textodecomentrio"/>
    <w:next w:val="Textodecomentrio"/>
    <w:link w:val="AssuntodocomentrioChar"/>
    <w:rsid w:val="00D84F01"/>
    <w:pPr>
      <w:spacing w:after="0" w:line="240" w:lineRule="auto"/>
    </w:pPr>
    <w:rPr>
      <w:rFonts w:ascii="Times New Roman" w:hAnsi="Times New Roman"/>
      <w:b/>
      <w:bCs/>
    </w:rPr>
  </w:style>
  <w:style w:type="character" w:customStyle="1" w:styleId="AssuntodocomentrioChar">
    <w:name w:val="Assunto do comentário Char"/>
    <w:basedOn w:val="TextodecomentrioChar"/>
    <w:link w:val="Assuntodocomentrio"/>
    <w:rsid w:val="00D84F01"/>
    <w:rPr>
      <w:rFonts w:ascii="Calibri" w:hAnsi="Calibri"/>
      <w:b/>
      <w:bCs/>
      <w:lang w:eastAsia="pt-BR" w:bidi="ar-SA"/>
    </w:rPr>
  </w:style>
  <w:style w:type="character" w:styleId="Hyperlink">
    <w:name w:val="Hyperlink"/>
    <w:basedOn w:val="Fontepargpadro"/>
    <w:unhideWhenUsed/>
    <w:rsid w:val="003B42DD"/>
    <w:rPr>
      <w:color w:val="0000FF" w:themeColor="hyperlink"/>
      <w:u w:val="single"/>
    </w:rPr>
  </w:style>
  <w:style w:type="paragraph" w:styleId="Cabealho">
    <w:name w:val="header"/>
    <w:basedOn w:val="Normal"/>
    <w:link w:val="CabealhoChar"/>
    <w:semiHidden/>
    <w:unhideWhenUsed/>
    <w:rsid w:val="007F68F1"/>
    <w:pPr>
      <w:tabs>
        <w:tab w:val="center" w:pos="4252"/>
        <w:tab w:val="right" w:pos="8504"/>
      </w:tabs>
    </w:pPr>
  </w:style>
  <w:style w:type="character" w:customStyle="1" w:styleId="CabealhoChar">
    <w:name w:val="Cabeçalho Char"/>
    <w:basedOn w:val="Fontepargpadro"/>
    <w:link w:val="Cabealho"/>
    <w:semiHidden/>
    <w:rsid w:val="007F68F1"/>
    <w:rPr>
      <w:sz w:val="24"/>
      <w:szCs w:val="24"/>
      <w:lang w:eastAsia="pt-BR"/>
    </w:rPr>
  </w:style>
  <w:style w:type="paragraph" w:styleId="Reviso">
    <w:name w:val="Revision"/>
    <w:hidden/>
    <w:uiPriority w:val="71"/>
    <w:semiHidden/>
    <w:rsid w:val="001B69D2"/>
    <w:rPr>
      <w:sz w:val="24"/>
      <w:szCs w:val="24"/>
      <w:lang w:eastAsia="pt-BR"/>
    </w:rPr>
  </w:style>
  <w:style w:type="paragraph" w:customStyle="1" w:styleId="rec">
    <w:name w:val="rec"/>
    <w:basedOn w:val="Normal"/>
    <w:uiPriority w:val="99"/>
    <w:rsid w:val="00012E1F"/>
    <w:pPr>
      <w:widowControl w:val="0"/>
      <w:autoSpaceDE w:val="0"/>
      <w:autoSpaceDN w:val="0"/>
      <w:adjustRightInd w:val="0"/>
      <w:spacing w:before="64" w:line="260" w:lineRule="atLeast"/>
      <w:ind w:left="512" w:firstLine="256"/>
      <w:jc w:val="both"/>
    </w:pPr>
    <w:rPr>
      <w:rFonts w:ascii="Times" w:hAnsi="Times" w:cs="Times"/>
      <w:sz w:val="23"/>
      <w:szCs w:val="23"/>
    </w:rPr>
  </w:style>
  <w:style w:type="paragraph" w:styleId="Recuodecorpodetexto">
    <w:name w:val="Body Text Indent"/>
    <w:basedOn w:val="Normal"/>
    <w:link w:val="RecuodecorpodetextoChar"/>
    <w:rsid w:val="00012E1F"/>
    <w:pPr>
      <w:spacing w:before="120" w:after="120" w:line="360" w:lineRule="auto"/>
      <w:ind w:firstLine="1701"/>
      <w:jc w:val="both"/>
    </w:pPr>
    <w:rPr>
      <w:szCs w:val="20"/>
    </w:rPr>
  </w:style>
  <w:style w:type="character" w:customStyle="1" w:styleId="RecuodecorpodetextoChar">
    <w:name w:val="Recuo de corpo de texto Char"/>
    <w:basedOn w:val="Fontepargpadro"/>
    <w:link w:val="Recuodecorpodetexto"/>
    <w:rsid w:val="00012E1F"/>
    <w:rPr>
      <w:sz w:val="24"/>
      <w:lang w:eastAsia="pt-BR"/>
    </w:rPr>
  </w:style>
  <w:style w:type="table" w:styleId="Tabelacomgrade">
    <w:name w:val="Table Grid"/>
    <w:basedOn w:val="Tabelanormal"/>
    <w:rsid w:val="00FC5D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42206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47B42-E3DD-4BE9-8932-B74DC3F22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1549</Words>
  <Characters>8366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O Novo Código de Processo Civil teve a feliz opção de equalizar expressamente a união estável ao casamento em vários de seus preceitos, o que trará consequências para o modo como a comparação dessas entidades familiares é feita no âmbito do direito mater</vt:lpstr>
    </vt:vector>
  </TitlesOfParts>
  <Company>R&amp;R Informatica</Company>
  <LinksUpToDate>false</LinksUpToDate>
  <CharactersWithSpaces>9896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 Novo Código de Processo Civil teve a feliz opção de equalizar expressamente a união estável ao casamento em vários de seus preceitos, o que trará consequências para o modo como a comparação dessas entidades familiares é feita no âmbito do direito mater</dc:title>
  <dc:creator>Douglas</dc:creator>
  <cp:lastModifiedBy>Flavio</cp:lastModifiedBy>
  <cp:revision>6</cp:revision>
  <cp:lastPrinted>2016-09-23T18:20:00Z</cp:lastPrinted>
  <dcterms:created xsi:type="dcterms:W3CDTF">2024-09-24T20:10:00Z</dcterms:created>
  <dcterms:modified xsi:type="dcterms:W3CDTF">2024-09-24T20:38:00Z</dcterms:modified>
</cp:coreProperties>
</file>