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B50F8" w14:textId="77777777" w:rsidR="00F268FD" w:rsidRPr="006D568E" w:rsidRDefault="00000000">
      <w:pPr>
        <w:spacing w:before="120" w:after="120" w:line="360" w:lineRule="auto"/>
        <w:jc w:val="center"/>
        <w:rPr>
          <w:rFonts w:ascii="Times New Roman" w:hAnsi="Times New Roman" w:cs="Times New Roman"/>
          <w:sz w:val="24"/>
          <w:szCs w:val="24"/>
        </w:rPr>
      </w:pPr>
      <w:r w:rsidRPr="006D568E">
        <w:rPr>
          <w:rFonts w:ascii="Times New Roman" w:hAnsi="Times New Roman" w:cs="Times New Roman"/>
          <w:b/>
          <w:bCs/>
          <w:sz w:val="24"/>
          <w:szCs w:val="24"/>
        </w:rPr>
        <w:t xml:space="preserve">A </w:t>
      </w:r>
      <w:r w:rsidRPr="006D568E">
        <w:rPr>
          <w:rFonts w:ascii="Times New Roman" w:hAnsi="Times New Roman" w:cs="Times New Roman"/>
          <w:b/>
          <w:bCs/>
          <w:i/>
          <w:iCs/>
          <w:sz w:val="24"/>
          <w:szCs w:val="24"/>
        </w:rPr>
        <w:t>X JORNADA DE DIREITO CIVIL</w:t>
      </w:r>
      <w:r w:rsidRPr="006D568E">
        <w:rPr>
          <w:rFonts w:ascii="Times New Roman" w:hAnsi="Times New Roman" w:cs="Times New Roman"/>
          <w:b/>
          <w:bCs/>
          <w:sz w:val="24"/>
          <w:szCs w:val="24"/>
        </w:rPr>
        <w:t xml:space="preserve">, O DIREITO DE FAMÍLIA E </w:t>
      </w:r>
      <w:r w:rsidR="00E405C5" w:rsidRPr="00E405C5">
        <w:rPr>
          <w:rFonts w:ascii="Times New Roman" w:hAnsi="Times New Roman" w:cs="Times New Roman"/>
          <w:b/>
          <w:bCs/>
          <w:sz w:val="24"/>
          <w:szCs w:val="24"/>
        </w:rPr>
        <w:t xml:space="preserve">DAS </w:t>
      </w:r>
      <w:r w:rsidRPr="006D568E">
        <w:rPr>
          <w:rFonts w:ascii="Times New Roman" w:hAnsi="Times New Roman" w:cs="Times New Roman"/>
          <w:b/>
          <w:bCs/>
          <w:sz w:val="24"/>
          <w:szCs w:val="24"/>
        </w:rPr>
        <w:t xml:space="preserve">SUCESSÕES. </w:t>
      </w:r>
      <w:r>
        <w:rPr>
          <w:rFonts w:ascii="Times New Roman" w:hAnsi="Times New Roman" w:cs="Times New Roman"/>
          <w:b/>
          <w:bCs/>
          <w:sz w:val="24"/>
          <w:szCs w:val="24"/>
        </w:rPr>
        <w:t>T</w:t>
      </w:r>
      <w:r w:rsidRPr="006D568E">
        <w:rPr>
          <w:rFonts w:ascii="Times New Roman" w:hAnsi="Times New Roman" w:cs="Times New Roman"/>
          <w:b/>
          <w:bCs/>
          <w:sz w:val="24"/>
          <w:szCs w:val="24"/>
        </w:rPr>
        <w:t>ERCEIRA PARTE</w:t>
      </w:r>
      <w:r w:rsidRPr="006D568E">
        <w:rPr>
          <w:rFonts w:ascii="Times New Roman" w:hAnsi="Times New Roman" w:cs="Times New Roman"/>
          <w:b/>
          <w:bCs/>
          <w:sz w:val="24"/>
          <w:szCs w:val="24"/>
        </w:rPr>
        <w:t>.</w:t>
      </w:r>
    </w:p>
    <w:p w14:paraId="69DABA97" w14:textId="77777777" w:rsidR="00F268FD" w:rsidRPr="006D568E" w:rsidRDefault="00000000">
      <w:pPr>
        <w:spacing w:before="120" w:after="120" w:line="360" w:lineRule="auto"/>
        <w:jc w:val="center"/>
        <w:rPr>
          <w:rFonts w:ascii="Times New Roman" w:hAnsi="Times New Roman" w:cs="Times New Roman"/>
          <w:sz w:val="24"/>
          <w:szCs w:val="24"/>
        </w:rPr>
      </w:pPr>
      <w:r w:rsidRPr="006D568E">
        <w:rPr>
          <w:rFonts w:ascii="Times New Roman" w:hAnsi="Times New Roman" w:cs="Times New Roman"/>
          <w:b/>
          <w:bCs/>
          <w:sz w:val="24"/>
          <w:szCs w:val="24"/>
        </w:rPr>
        <w:t>DIREITO DAS SUCESSÕES.</w:t>
      </w:r>
    </w:p>
    <w:p w14:paraId="79328BE0" w14:textId="77777777" w:rsidR="00F268FD" w:rsidRPr="006D568E" w:rsidRDefault="00F268FD" w:rsidP="00447D60">
      <w:pPr>
        <w:spacing w:before="120" w:after="120" w:line="360" w:lineRule="auto"/>
        <w:ind w:firstLine="1701"/>
        <w:jc w:val="right"/>
        <w:rPr>
          <w:rFonts w:ascii="Times New Roman" w:hAnsi="Times New Roman" w:cs="Times New Roman"/>
          <w:bCs/>
          <w:sz w:val="24"/>
          <w:szCs w:val="24"/>
        </w:rPr>
      </w:pPr>
    </w:p>
    <w:p w14:paraId="490AF183" w14:textId="7F479BD7" w:rsidR="00805969" w:rsidRPr="006D568E" w:rsidRDefault="00B15AD0" w:rsidP="00447D60">
      <w:pPr>
        <w:spacing w:before="120" w:after="120" w:line="360" w:lineRule="auto"/>
        <w:ind w:firstLine="1701"/>
        <w:jc w:val="right"/>
        <w:rPr>
          <w:rFonts w:ascii="Times New Roman" w:hAnsi="Times New Roman" w:cs="Times New Roman"/>
          <w:bCs/>
          <w:sz w:val="24"/>
          <w:szCs w:val="24"/>
        </w:rPr>
      </w:pPr>
      <w:r w:rsidRPr="006D568E">
        <w:rPr>
          <w:rFonts w:ascii="Times New Roman" w:hAnsi="Times New Roman" w:cs="Times New Roman"/>
          <w:bCs/>
          <w:sz w:val="24"/>
          <w:szCs w:val="24"/>
        </w:rPr>
        <w:t>Flávio Tartuce</w:t>
      </w:r>
      <w:r w:rsidRPr="006D568E">
        <w:rPr>
          <w:rFonts w:ascii="Times New Roman" w:hAnsi="Times New Roman" w:cs="Times New Roman"/>
          <w:bCs/>
          <w:sz w:val="24"/>
          <w:szCs w:val="24"/>
          <w:vertAlign w:val="superscript"/>
        </w:rPr>
        <w:footnoteReference w:id="1"/>
      </w:r>
    </w:p>
    <w:p w14:paraId="62E28A7B" w14:textId="6ADBC8ED" w:rsidR="00F268FD" w:rsidRPr="006D568E" w:rsidRDefault="00447D60" w:rsidP="00447D60">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 xml:space="preserve">Nos dias 15 e 16 de junho de 2026, </w:t>
      </w:r>
      <w:r w:rsidR="00F268FD" w:rsidRPr="006D568E">
        <w:rPr>
          <w:rFonts w:ascii="Times New Roman" w:hAnsi="Times New Roman" w:cs="Times New Roman"/>
          <w:sz w:val="24"/>
          <w:szCs w:val="24"/>
        </w:rPr>
        <w:t xml:space="preserve">ocorreu em Brasília a </w:t>
      </w:r>
      <w:r w:rsidRPr="006D568E">
        <w:rPr>
          <w:rFonts w:ascii="Times New Roman" w:hAnsi="Times New Roman" w:cs="Times New Roman"/>
          <w:i/>
          <w:iCs/>
          <w:sz w:val="24"/>
          <w:szCs w:val="24"/>
        </w:rPr>
        <w:t xml:space="preserve">X Jornada de Direito Civil, </w:t>
      </w:r>
      <w:r w:rsidRPr="006D568E">
        <w:rPr>
          <w:rFonts w:ascii="Times New Roman" w:hAnsi="Times New Roman" w:cs="Times New Roman"/>
          <w:sz w:val="24"/>
          <w:szCs w:val="24"/>
        </w:rPr>
        <w:t xml:space="preserve">na sede do Conselho da Justiça Federal, </w:t>
      </w:r>
      <w:r w:rsidR="00F268FD" w:rsidRPr="006D568E">
        <w:rPr>
          <w:rFonts w:ascii="Times New Roman" w:hAnsi="Times New Roman" w:cs="Times New Roman"/>
          <w:sz w:val="24"/>
          <w:szCs w:val="24"/>
        </w:rPr>
        <w:t xml:space="preserve">com a </w:t>
      </w:r>
      <w:r w:rsidR="00AA3D1E" w:rsidRPr="006D568E">
        <w:rPr>
          <w:rFonts w:ascii="Times New Roman" w:hAnsi="Times New Roman" w:cs="Times New Roman"/>
          <w:sz w:val="24"/>
          <w:szCs w:val="24"/>
        </w:rPr>
        <w:t>a</w:t>
      </w:r>
      <w:r w:rsidR="00F268FD" w:rsidRPr="006D568E">
        <w:rPr>
          <w:rFonts w:ascii="Times New Roman" w:hAnsi="Times New Roman" w:cs="Times New Roman"/>
          <w:sz w:val="24"/>
          <w:szCs w:val="24"/>
        </w:rPr>
        <w:t xml:space="preserve">provação de </w:t>
      </w:r>
      <w:r w:rsidR="00E64963" w:rsidRPr="006D568E">
        <w:rPr>
          <w:rFonts w:ascii="Times New Roman" w:hAnsi="Times New Roman" w:cs="Times New Roman"/>
          <w:sz w:val="24"/>
          <w:szCs w:val="24"/>
        </w:rPr>
        <w:t xml:space="preserve">cinquenta e oito </w:t>
      </w:r>
      <w:r w:rsidR="00F268FD" w:rsidRPr="006D568E">
        <w:rPr>
          <w:rFonts w:ascii="Times New Roman" w:hAnsi="Times New Roman" w:cs="Times New Roman"/>
          <w:sz w:val="24"/>
          <w:szCs w:val="24"/>
        </w:rPr>
        <w:t xml:space="preserve">novos enunciados doutrinários sobre os mais diversos temas de Direito Privado. </w:t>
      </w:r>
    </w:p>
    <w:p w14:paraId="0BCA6C13" w14:textId="19044CAC" w:rsidR="00F268FD" w:rsidRPr="006D568E" w:rsidRDefault="00F268FD" w:rsidP="00447D60">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 xml:space="preserve">Neste </w:t>
      </w:r>
      <w:r w:rsidR="00C85C7D" w:rsidRPr="006D568E">
        <w:rPr>
          <w:rFonts w:ascii="Times New Roman" w:hAnsi="Times New Roman" w:cs="Times New Roman"/>
          <w:sz w:val="24"/>
          <w:szCs w:val="24"/>
        </w:rPr>
        <w:t>terceiro</w:t>
      </w:r>
      <w:r w:rsidRPr="006D568E">
        <w:rPr>
          <w:rFonts w:ascii="Times New Roman" w:hAnsi="Times New Roman" w:cs="Times New Roman"/>
          <w:sz w:val="24"/>
          <w:szCs w:val="24"/>
        </w:rPr>
        <w:t xml:space="preserve"> t</w:t>
      </w:r>
      <w:r w:rsidR="008354AD" w:rsidRPr="006D568E">
        <w:rPr>
          <w:rFonts w:ascii="Times New Roman" w:hAnsi="Times New Roman" w:cs="Times New Roman"/>
          <w:sz w:val="24"/>
          <w:szCs w:val="24"/>
        </w:rPr>
        <w:t xml:space="preserve">exto </w:t>
      </w:r>
      <w:r w:rsidRPr="006D568E">
        <w:rPr>
          <w:rFonts w:ascii="Times New Roman" w:hAnsi="Times New Roman" w:cs="Times New Roman"/>
          <w:sz w:val="24"/>
          <w:szCs w:val="24"/>
        </w:rPr>
        <w:t>da série</w:t>
      </w:r>
      <w:r w:rsidR="00AA3D1E" w:rsidRPr="006D568E">
        <w:rPr>
          <w:rFonts w:ascii="Times New Roman" w:hAnsi="Times New Roman" w:cs="Times New Roman"/>
          <w:sz w:val="24"/>
          <w:szCs w:val="24"/>
        </w:rPr>
        <w:t>,</w:t>
      </w:r>
      <w:r w:rsidRPr="006D568E">
        <w:rPr>
          <w:rFonts w:ascii="Times New Roman" w:hAnsi="Times New Roman" w:cs="Times New Roman"/>
          <w:sz w:val="24"/>
          <w:szCs w:val="24"/>
        </w:rPr>
        <w:t xml:space="preserve"> continuarei analisando algumas das propostas de ementas </w:t>
      </w:r>
      <w:r w:rsidR="00E64963" w:rsidRPr="006D568E">
        <w:rPr>
          <w:rFonts w:ascii="Times New Roman" w:hAnsi="Times New Roman" w:cs="Times New Roman"/>
          <w:sz w:val="24"/>
          <w:szCs w:val="24"/>
        </w:rPr>
        <w:t xml:space="preserve">que foram </w:t>
      </w:r>
      <w:r w:rsidRPr="006D568E">
        <w:rPr>
          <w:rFonts w:ascii="Times New Roman" w:hAnsi="Times New Roman" w:cs="Times New Roman"/>
          <w:sz w:val="24"/>
          <w:szCs w:val="24"/>
        </w:rPr>
        <w:t>aprovadas</w:t>
      </w:r>
      <w:r w:rsidR="00E64963" w:rsidRPr="006D568E">
        <w:rPr>
          <w:rFonts w:ascii="Times New Roman" w:hAnsi="Times New Roman" w:cs="Times New Roman"/>
          <w:sz w:val="24"/>
          <w:szCs w:val="24"/>
        </w:rPr>
        <w:t xml:space="preserve"> nesse evento</w:t>
      </w:r>
      <w:r w:rsidRPr="006D568E">
        <w:rPr>
          <w:rFonts w:ascii="Times New Roman" w:hAnsi="Times New Roman" w:cs="Times New Roman"/>
          <w:sz w:val="24"/>
          <w:szCs w:val="24"/>
        </w:rPr>
        <w:t xml:space="preserve"> </w:t>
      </w:r>
      <w:r w:rsidR="00E64963" w:rsidRPr="006D568E">
        <w:rPr>
          <w:rFonts w:ascii="Times New Roman" w:hAnsi="Times New Roman" w:cs="Times New Roman"/>
          <w:sz w:val="24"/>
          <w:szCs w:val="24"/>
        </w:rPr>
        <w:t xml:space="preserve">e </w:t>
      </w:r>
      <w:r w:rsidRPr="006D568E">
        <w:rPr>
          <w:rFonts w:ascii="Times New Roman" w:hAnsi="Times New Roman" w:cs="Times New Roman"/>
          <w:sz w:val="24"/>
          <w:szCs w:val="24"/>
        </w:rPr>
        <w:t xml:space="preserve">que devem orientar a teoria e a prática do </w:t>
      </w:r>
      <w:r w:rsidR="00C85C7D" w:rsidRPr="006D568E">
        <w:rPr>
          <w:rFonts w:ascii="Times New Roman" w:hAnsi="Times New Roman" w:cs="Times New Roman"/>
          <w:sz w:val="24"/>
          <w:szCs w:val="24"/>
        </w:rPr>
        <w:t xml:space="preserve">Direito de Família e das Sucessões, </w:t>
      </w:r>
      <w:r w:rsidRPr="006D568E">
        <w:rPr>
          <w:rFonts w:ascii="Times New Roman" w:hAnsi="Times New Roman" w:cs="Times New Roman"/>
          <w:sz w:val="24"/>
          <w:szCs w:val="24"/>
        </w:rPr>
        <w:t>nos próximos anos. O tema des</w:t>
      </w:r>
      <w:r w:rsidR="00CF5F14" w:rsidRPr="006D568E">
        <w:rPr>
          <w:rFonts w:ascii="Times New Roman" w:hAnsi="Times New Roman" w:cs="Times New Roman"/>
          <w:sz w:val="24"/>
          <w:szCs w:val="24"/>
        </w:rPr>
        <w:t>t</w:t>
      </w:r>
      <w:r w:rsidRPr="006D568E">
        <w:rPr>
          <w:rFonts w:ascii="Times New Roman" w:hAnsi="Times New Roman" w:cs="Times New Roman"/>
          <w:sz w:val="24"/>
          <w:szCs w:val="24"/>
        </w:rPr>
        <w:t xml:space="preserve">e </w:t>
      </w:r>
      <w:r w:rsidR="00C85C7D" w:rsidRPr="006D568E">
        <w:rPr>
          <w:rFonts w:ascii="Times New Roman" w:hAnsi="Times New Roman" w:cs="Times New Roman"/>
          <w:sz w:val="24"/>
          <w:szCs w:val="24"/>
        </w:rPr>
        <w:t>artigo</w:t>
      </w:r>
      <w:r w:rsidRPr="006D568E">
        <w:rPr>
          <w:rFonts w:ascii="Times New Roman" w:hAnsi="Times New Roman" w:cs="Times New Roman"/>
          <w:sz w:val="24"/>
          <w:szCs w:val="24"/>
        </w:rPr>
        <w:t xml:space="preserve"> é </w:t>
      </w:r>
      <w:r w:rsidR="00C85C7D" w:rsidRPr="006D568E">
        <w:rPr>
          <w:rFonts w:ascii="Times New Roman" w:hAnsi="Times New Roman" w:cs="Times New Roman"/>
          <w:sz w:val="24"/>
          <w:szCs w:val="24"/>
        </w:rPr>
        <w:t xml:space="preserve">o Direito das Sucessões, com o breve estudo de quatro ementas doutrinárias aprovadas. </w:t>
      </w:r>
    </w:p>
    <w:p w14:paraId="3C439600" w14:textId="7A0A5E32" w:rsidR="00C85C7D" w:rsidRPr="006D568E" w:rsidRDefault="00C85C7D" w:rsidP="00C85C7D">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 xml:space="preserve">Conforme o Enunciado </w:t>
      </w:r>
      <w:r w:rsidR="00D80FBD">
        <w:rPr>
          <w:rFonts w:ascii="Times New Roman" w:hAnsi="Times New Roman" w:cs="Times New Roman"/>
          <w:sz w:val="24"/>
          <w:szCs w:val="24"/>
        </w:rPr>
        <w:t xml:space="preserve">n. </w:t>
      </w:r>
      <w:r w:rsidRPr="006D568E">
        <w:rPr>
          <w:rFonts w:ascii="Times New Roman" w:hAnsi="Times New Roman" w:cs="Times New Roman"/>
          <w:sz w:val="24"/>
          <w:szCs w:val="24"/>
        </w:rPr>
        <w:t xml:space="preserve">719, é admitida a invalidade parcial do testamento, evitando-se a sua ineficácia integral, desde que na interpretação de suas disposições revele-se a inexistência de interdependência, bem como a separabilidade entre o ato de disposição considerado inválido e as demais composições contidas na cédula, aplicando-se o princípio da conservação do negócio jurídico. </w:t>
      </w:r>
    </w:p>
    <w:p w14:paraId="4F7432C6" w14:textId="77777777" w:rsidR="009937E0" w:rsidRPr="006D568E" w:rsidRDefault="00C85C7D" w:rsidP="00C85C7D">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 xml:space="preserve">Trata-se de importante proposta, que afasta a invalidade total do testamento, a partir da teoria </w:t>
      </w:r>
      <w:r w:rsidR="009937E0" w:rsidRPr="006D568E">
        <w:rPr>
          <w:rFonts w:ascii="Times New Roman" w:hAnsi="Times New Roman" w:cs="Times New Roman"/>
          <w:sz w:val="24"/>
          <w:szCs w:val="24"/>
        </w:rPr>
        <w:t xml:space="preserve">geral </w:t>
      </w:r>
      <w:r w:rsidRPr="006D568E">
        <w:rPr>
          <w:rFonts w:ascii="Times New Roman" w:hAnsi="Times New Roman" w:cs="Times New Roman"/>
          <w:sz w:val="24"/>
          <w:szCs w:val="24"/>
        </w:rPr>
        <w:t xml:space="preserve">do negócio jurídico, em prol da manutenção da autonomia privada e do </w:t>
      </w:r>
      <w:r w:rsidRPr="006D568E">
        <w:rPr>
          <w:rFonts w:ascii="Times New Roman" w:hAnsi="Times New Roman" w:cs="Times New Roman"/>
          <w:i/>
          <w:iCs/>
          <w:sz w:val="24"/>
          <w:szCs w:val="24"/>
        </w:rPr>
        <w:t>favor testamenti</w:t>
      </w:r>
      <w:r w:rsidRPr="006D568E">
        <w:rPr>
          <w:rFonts w:ascii="Times New Roman" w:hAnsi="Times New Roman" w:cs="Times New Roman"/>
          <w:sz w:val="24"/>
          <w:szCs w:val="24"/>
        </w:rPr>
        <w:t xml:space="preserve">. </w:t>
      </w:r>
    </w:p>
    <w:p w14:paraId="2707706E" w14:textId="77777777" w:rsidR="00F268FD" w:rsidRPr="006D568E" w:rsidRDefault="00000000">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Aplica-se também a ideia de redução do negócio jurídico, prevista na primeira parte do art. 182 do Código Civil, segundo o qual</w:t>
      </w:r>
      <w:r w:rsidR="00982689" w:rsidRPr="006D568E">
        <w:rPr>
          <w:rFonts w:ascii="Times New Roman" w:hAnsi="Times New Roman" w:cs="Times New Roman"/>
          <w:sz w:val="24"/>
          <w:szCs w:val="24"/>
        </w:rPr>
        <w:t>,</w:t>
      </w:r>
      <w:r w:rsidRPr="006D568E">
        <w:rPr>
          <w:rFonts w:ascii="Times New Roman" w:hAnsi="Times New Roman" w:cs="Times New Roman"/>
          <w:sz w:val="24"/>
          <w:szCs w:val="24"/>
        </w:rPr>
        <w:t xml:space="preserve"> respeitada a intenção das partes, a invalidade parcial de um negócio jurídico não o prejudicará na parte válida, se esta for separável. Concretiza-se, ainda, a máxima </w:t>
      </w:r>
      <w:r w:rsidRPr="006D568E">
        <w:rPr>
          <w:rFonts w:ascii="Times New Roman" w:hAnsi="Times New Roman" w:cs="Times New Roman"/>
          <w:i/>
          <w:sz w:val="24"/>
          <w:szCs w:val="24"/>
        </w:rPr>
        <w:t xml:space="preserve">utile per inutile </w:t>
      </w:r>
      <w:r w:rsidR="00982689" w:rsidRPr="006D568E">
        <w:rPr>
          <w:rFonts w:ascii="Times New Roman" w:hAnsi="Times New Roman" w:cs="Times New Roman"/>
          <w:i/>
          <w:iCs/>
          <w:sz w:val="24"/>
          <w:szCs w:val="24"/>
        </w:rPr>
        <w:t>non</w:t>
      </w:r>
      <w:r w:rsidRPr="006D568E">
        <w:rPr>
          <w:rFonts w:ascii="Times New Roman" w:hAnsi="Times New Roman" w:cs="Times New Roman"/>
          <w:i/>
          <w:sz w:val="24"/>
          <w:szCs w:val="24"/>
        </w:rPr>
        <w:t xml:space="preserve"> vitiatur</w:t>
      </w:r>
      <w:r w:rsidRPr="006D568E">
        <w:rPr>
          <w:rFonts w:ascii="Times New Roman" w:hAnsi="Times New Roman" w:cs="Times New Roman"/>
          <w:sz w:val="24"/>
          <w:szCs w:val="24"/>
        </w:rPr>
        <w:t xml:space="preserve">, ou seja, a parte inútil do negócio jurídico testamentário não o prejudica na parte útil. </w:t>
      </w:r>
    </w:p>
    <w:p w14:paraId="0AB84D73" w14:textId="0A1FC5FB" w:rsidR="006A3977" w:rsidRPr="006D568E" w:rsidRDefault="006A3977" w:rsidP="006A3977">
      <w:pPr>
        <w:spacing w:before="120" w:after="120" w:line="360" w:lineRule="auto"/>
        <w:ind w:firstLine="1843"/>
        <w:jc w:val="both"/>
        <w:rPr>
          <w:rFonts w:ascii="Times New Roman" w:hAnsi="Times New Roman" w:cs="Times New Roman"/>
          <w:sz w:val="24"/>
          <w:szCs w:val="24"/>
        </w:rPr>
      </w:pPr>
      <w:r w:rsidRPr="006D568E">
        <w:rPr>
          <w:rFonts w:ascii="Times New Roman" w:hAnsi="Times New Roman" w:cs="Times New Roman"/>
          <w:sz w:val="24"/>
          <w:szCs w:val="24"/>
        </w:rPr>
        <w:lastRenderedPageBreak/>
        <w:t xml:space="preserve">Sobre a máxima </w:t>
      </w:r>
      <w:r w:rsidRPr="006D568E">
        <w:rPr>
          <w:rFonts w:ascii="Times New Roman" w:hAnsi="Times New Roman" w:cs="Times New Roman"/>
          <w:i/>
          <w:sz w:val="24"/>
          <w:szCs w:val="24"/>
        </w:rPr>
        <w:t>favor testamenti,</w:t>
      </w:r>
      <w:r w:rsidRPr="006D568E">
        <w:rPr>
          <w:rFonts w:ascii="Times New Roman" w:hAnsi="Times New Roman" w:cs="Times New Roman"/>
          <w:sz w:val="24"/>
          <w:szCs w:val="24"/>
        </w:rPr>
        <w:t xml:space="preserve"> verdadeiro princípio jurídico que procura preservar exatamente aquilo que foi manifestado pelo testador, em prol da conservação do negócio jurídico, anota José Fernando Simão que “desde o Direito Romano, entende-se que a vontade do testador deve prevalecer e toda a interpretação deve ser nesse sentido, buscando dar cumprimento ao ato de última vontade. É o chamado </w:t>
      </w:r>
      <w:r w:rsidRPr="006D568E">
        <w:rPr>
          <w:rFonts w:ascii="Times New Roman" w:hAnsi="Times New Roman" w:cs="Times New Roman"/>
          <w:i/>
          <w:iCs/>
          <w:sz w:val="24"/>
          <w:szCs w:val="24"/>
        </w:rPr>
        <w:t>favor testamenti</w:t>
      </w:r>
      <w:r w:rsidRPr="006D568E">
        <w:rPr>
          <w:rFonts w:ascii="Times New Roman" w:hAnsi="Times New Roman" w:cs="Times New Roman"/>
          <w:sz w:val="24"/>
          <w:szCs w:val="24"/>
        </w:rPr>
        <w:t>” (</w:t>
      </w:r>
      <w:r w:rsidRPr="006D568E">
        <w:rPr>
          <w:rFonts w:ascii="Times New Roman" w:hAnsi="Times New Roman" w:cs="Times New Roman"/>
          <w:i/>
          <w:iCs/>
          <w:sz w:val="24"/>
          <w:szCs w:val="24"/>
        </w:rPr>
        <w:t>Código Civil Comentado.</w:t>
      </w:r>
      <w:r w:rsidRPr="006D568E">
        <w:rPr>
          <w:rFonts w:ascii="Times New Roman" w:hAnsi="Times New Roman" w:cs="Times New Roman"/>
          <w:sz w:val="24"/>
          <w:szCs w:val="24"/>
        </w:rPr>
        <w:t xml:space="preserve"> Doutrina e Jurisprudência. São Paulo: Atlas, 6ª Edição, 2025, p. 1899). Fazendo a correlação com a </w:t>
      </w:r>
      <w:r w:rsidRPr="006D568E">
        <w:rPr>
          <w:rFonts w:ascii="Times New Roman" w:hAnsi="Times New Roman" w:cs="Times New Roman"/>
          <w:i/>
          <w:iCs/>
          <w:sz w:val="24"/>
          <w:szCs w:val="24"/>
        </w:rPr>
        <w:t>conservação dos negócios jurídicos</w:t>
      </w:r>
      <w:r w:rsidRPr="006D568E">
        <w:rPr>
          <w:rFonts w:ascii="Times New Roman" w:hAnsi="Times New Roman" w:cs="Times New Roman"/>
          <w:sz w:val="24"/>
          <w:szCs w:val="24"/>
        </w:rPr>
        <w:t xml:space="preserve">, também na doutrina contemporânea, explica Maurício Bunazar que "no plano da existência, o princípio surge como uma máxima hermenêutica, concretizada em nosso ordenamento por meio do preceito contido no art. 112 do Código Civil, com amplitude máxima, e, mais restritamente, no art. 1.899, consagrando um subprincípio conhecido como </w:t>
      </w:r>
      <w:r w:rsidRPr="006D568E">
        <w:rPr>
          <w:rFonts w:ascii="Times New Roman" w:hAnsi="Times New Roman" w:cs="Times New Roman"/>
          <w:i/>
          <w:sz w:val="24"/>
          <w:szCs w:val="24"/>
        </w:rPr>
        <w:t>favor testamenti</w:t>
      </w:r>
      <w:r w:rsidRPr="006D568E">
        <w:rPr>
          <w:rFonts w:ascii="Times New Roman" w:hAnsi="Times New Roman" w:cs="Times New Roman"/>
          <w:sz w:val="24"/>
          <w:szCs w:val="24"/>
        </w:rPr>
        <w:t xml:space="preserve">. O princípio da conservação dos negócios jurídicos encontra suas origens no </w:t>
      </w:r>
      <w:r w:rsidRPr="006D568E">
        <w:rPr>
          <w:rFonts w:ascii="Times New Roman" w:hAnsi="Times New Roman" w:cs="Times New Roman"/>
          <w:i/>
          <w:sz w:val="24"/>
          <w:szCs w:val="24"/>
        </w:rPr>
        <w:t>favor testamenti</w:t>
      </w:r>
      <w:r w:rsidRPr="006D568E">
        <w:rPr>
          <w:rFonts w:ascii="Times New Roman" w:hAnsi="Times New Roman" w:cs="Times New Roman"/>
          <w:sz w:val="24"/>
          <w:szCs w:val="24"/>
        </w:rPr>
        <w:t>, o qual, inicialmente, consistia num favorecimento da instituição de herdeiro e depois passou a ter um alcance mais geral, designando um favor para a vontade testamentária" (</w:t>
      </w:r>
      <w:r w:rsidRPr="006D568E">
        <w:rPr>
          <w:rFonts w:ascii="Times New Roman" w:hAnsi="Times New Roman" w:cs="Times New Roman"/>
          <w:i/>
          <w:iCs/>
          <w:sz w:val="24"/>
          <w:szCs w:val="24"/>
        </w:rPr>
        <w:t>Invalidade do Negócio Jurídico</w:t>
      </w:r>
      <w:r w:rsidRPr="006D568E">
        <w:rPr>
          <w:rFonts w:ascii="Times New Roman" w:hAnsi="Times New Roman" w:cs="Times New Roman"/>
          <w:sz w:val="24"/>
          <w:szCs w:val="24"/>
        </w:rPr>
        <w:t xml:space="preserve">. São Paulo: Revista dos Tribunais, 3ª Edição, 2023, p. 180-181). </w:t>
      </w:r>
    </w:p>
    <w:p w14:paraId="3189A980" w14:textId="618208EF" w:rsidR="006A3977" w:rsidRPr="006D568E" w:rsidRDefault="007C3B6E" w:rsidP="006A3977">
      <w:pPr>
        <w:spacing w:before="120" w:after="120" w:line="360" w:lineRule="auto"/>
        <w:ind w:firstLine="1843"/>
        <w:jc w:val="both"/>
        <w:rPr>
          <w:rFonts w:ascii="Times New Roman" w:hAnsi="Times New Roman" w:cs="Times New Roman"/>
          <w:sz w:val="24"/>
          <w:szCs w:val="24"/>
        </w:rPr>
      </w:pPr>
      <w:r>
        <w:rPr>
          <w:rFonts w:ascii="Times New Roman" w:hAnsi="Times New Roman" w:cs="Times New Roman"/>
          <w:sz w:val="24"/>
          <w:szCs w:val="24"/>
        </w:rPr>
        <w:t>Diante das</w:t>
      </w:r>
      <w:r w:rsidR="006A3977" w:rsidRPr="006D568E">
        <w:rPr>
          <w:rFonts w:ascii="Times New Roman" w:hAnsi="Times New Roman" w:cs="Times New Roman"/>
          <w:sz w:val="24"/>
          <w:szCs w:val="24"/>
        </w:rPr>
        <w:t xml:space="preserve"> palavras</w:t>
      </w:r>
      <w:r w:rsidR="00D80FBD">
        <w:rPr>
          <w:rFonts w:ascii="Times New Roman" w:hAnsi="Times New Roman" w:cs="Times New Roman"/>
          <w:sz w:val="24"/>
          <w:szCs w:val="24"/>
        </w:rPr>
        <w:t xml:space="preserve"> </w:t>
      </w:r>
      <w:r w:rsidR="006A3977" w:rsidRPr="006D568E">
        <w:rPr>
          <w:rFonts w:ascii="Times New Roman" w:hAnsi="Times New Roman" w:cs="Times New Roman"/>
          <w:sz w:val="24"/>
          <w:szCs w:val="24"/>
        </w:rPr>
        <w:t xml:space="preserve">transcritas, nota-se que o Enunciado n. </w:t>
      </w:r>
      <w:r w:rsidR="006D568E">
        <w:rPr>
          <w:rFonts w:ascii="Times New Roman" w:hAnsi="Times New Roman" w:cs="Times New Roman"/>
          <w:sz w:val="24"/>
          <w:szCs w:val="24"/>
        </w:rPr>
        <w:t>719</w:t>
      </w:r>
      <w:r w:rsidR="006A3977" w:rsidRPr="006D568E">
        <w:rPr>
          <w:rFonts w:ascii="Times New Roman" w:hAnsi="Times New Roman" w:cs="Times New Roman"/>
          <w:sz w:val="24"/>
          <w:szCs w:val="24"/>
        </w:rPr>
        <w:t xml:space="preserve"> </w:t>
      </w:r>
      <w:r w:rsidR="009937E0" w:rsidRPr="006D568E">
        <w:rPr>
          <w:rFonts w:ascii="Times New Roman" w:hAnsi="Times New Roman" w:cs="Times New Roman"/>
          <w:sz w:val="24"/>
          <w:szCs w:val="24"/>
        </w:rPr>
        <w:t xml:space="preserve">da </w:t>
      </w:r>
      <w:r w:rsidR="009937E0" w:rsidRPr="006D568E">
        <w:rPr>
          <w:rFonts w:ascii="Times New Roman" w:hAnsi="Times New Roman" w:cs="Times New Roman"/>
          <w:i/>
          <w:iCs/>
          <w:sz w:val="24"/>
          <w:szCs w:val="24"/>
        </w:rPr>
        <w:t xml:space="preserve">X Jornada de Direito Civil </w:t>
      </w:r>
      <w:r w:rsidR="006A3977" w:rsidRPr="006D568E">
        <w:rPr>
          <w:rFonts w:ascii="Times New Roman" w:hAnsi="Times New Roman" w:cs="Times New Roman"/>
          <w:sz w:val="24"/>
          <w:szCs w:val="24"/>
        </w:rPr>
        <w:t xml:space="preserve">consubstancia a posição majoritária da doutrina contemporânea, aplicada também no âmbito jurisprudencial. Nesse sentido, </w:t>
      </w:r>
      <w:r>
        <w:rPr>
          <w:rFonts w:ascii="Times New Roman" w:hAnsi="Times New Roman" w:cs="Times New Roman"/>
          <w:sz w:val="24"/>
          <w:szCs w:val="24"/>
        </w:rPr>
        <w:t>o</w:t>
      </w:r>
      <w:r w:rsidR="009937E0" w:rsidRPr="006D568E">
        <w:rPr>
          <w:rFonts w:ascii="Times New Roman" w:hAnsi="Times New Roman" w:cs="Times New Roman"/>
          <w:sz w:val="24"/>
          <w:szCs w:val="24"/>
        </w:rPr>
        <w:t xml:space="preserve"> Superior Tribunal de Justiça </w:t>
      </w:r>
      <w:r>
        <w:rPr>
          <w:rFonts w:ascii="Times New Roman" w:hAnsi="Times New Roman" w:cs="Times New Roman"/>
          <w:sz w:val="24"/>
          <w:szCs w:val="24"/>
        </w:rPr>
        <w:t xml:space="preserve">tem decidido, com o fim de se manter o teor do testamento, </w:t>
      </w:r>
      <w:r w:rsidR="006A3977" w:rsidRPr="006D568E">
        <w:rPr>
          <w:rFonts w:ascii="Times New Roman" w:hAnsi="Times New Roman" w:cs="Times New Roman"/>
          <w:sz w:val="24"/>
          <w:szCs w:val="24"/>
        </w:rPr>
        <w:t xml:space="preserve">que “a jurisprudência desta Corte se consolidou no sentido de que, ‘para preservar a vontade do testador, são admissíveis determinadas flexibilizações nas formalidades legais exigidas para a validade do testamento particular, a depender da gravidade do vício de que padece o ato de disposição’ (REsp 1.583.314/MG, Rel. Ministra Nancy Andrighi, Terceira Turma, julgado em 21/08/2018, DJe 23/08/2018)” (STJ, Ag. Int. nos EDcl no AREsp n. 1.586.883/SP, relator Ministro Marco Aurélio Bellizze, Terceira Turma, julgado em 11/11/2020, DJe de 16/11/2020). </w:t>
      </w:r>
    </w:p>
    <w:p w14:paraId="164657F4" w14:textId="6276353F" w:rsidR="009937E0" w:rsidRPr="006D568E" w:rsidRDefault="006A3977" w:rsidP="002C07CA">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 xml:space="preserve">A segunda ementa doutrinária a ser abordada neste breve texto é o </w:t>
      </w:r>
      <w:r w:rsidR="00C85C7D" w:rsidRPr="006D568E">
        <w:rPr>
          <w:rFonts w:ascii="Times New Roman" w:hAnsi="Times New Roman" w:cs="Times New Roman"/>
          <w:sz w:val="24"/>
          <w:szCs w:val="24"/>
        </w:rPr>
        <w:t xml:space="preserve">Enunciado </w:t>
      </w:r>
      <w:r w:rsidR="0082431E">
        <w:rPr>
          <w:rFonts w:ascii="Times New Roman" w:hAnsi="Times New Roman" w:cs="Times New Roman"/>
          <w:sz w:val="24"/>
          <w:szCs w:val="24"/>
        </w:rPr>
        <w:t xml:space="preserve">n. </w:t>
      </w:r>
      <w:r w:rsidR="00C85C7D" w:rsidRPr="006D568E">
        <w:rPr>
          <w:rFonts w:ascii="Times New Roman" w:hAnsi="Times New Roman" w:cs="Times New Roman"/>
          <w:sz w:val="24"/>
          <w:szCs w:val="24"/>
        </w:rPr>
        <w:t>728</w:t>
      </w:r>
      <w:r w:rsidRPr="006D568E">
        <w:rPr>
          <w:rFonts w:ascii="Times New Roman" w:hAnsi="Times New Roman" w:cs="Times New Roman"/>
          <w:sz w:val="24"/>
          <w:szCs w:val="24"/>
        </w:rPr>
        <w:t>, que tem a seguinte redação</w:t>
      </w:r>
      <w:r w:rsidR="00C85C7D" w:rsidRPr="006D568E">
        <w:rPr>
          <w:rFonts w:ascii="Times New Roman" w:hAnsi="Times New Roman" w:cs="Times New Roman"/>
          <w:sz w:val="24"/>
          <w:szCs w:val="24"/>
        </w:rPr>
        <w:t xml:space="preserve">: </w:t>
      </w:r>
      <w:r w:rsidRPr="006D568E">
        <w:rPr>
          <w:rFonts w:ascii="Times New Roman" w:hAnsi="Times New Roman" w:cs="Times New Roman"/>
          <w:sz w:val="24"/>
          <w:szCs w:val="24"/>
        </w:rPr>
        <w:t>“a</w:t>
      </w:r>
      <w:r w:rsidR="00C85C7D" w:rsidRPr="006D568E">
        <w:rPr>
          <w:rFonts w:ascii="Times New Roman" w:hAnsi="Times New Roman" w:cs="Times New Roman"/>
          <w:sz w:val="24"/>
          <w:szCs w:val="24"/>
        </w:rPr>
        <w:t xml:space="preserve"> lavratura de escritura pública de nomeação de inventariante</w:t>
      </w:r>
      <w:r w:rsidRPr="006D568E">
        <w:rPr>
          <w:rFonts w:ascii="Times New Roman" w:hAnsi="Times New Roman" w:cs="Times New Roman"/>
          <w:sz w:val="24"/>
          <w:szCs w:val="24"/>
        </w:rPr>
        <w:t xml:space="preserve"> </w:t>
      </w:r>
      <w:r w:rsidR="00C85C7D" w:rsidRPr="006D568E">
        <w:rPr>
          <w:rFonts w:ascii="Times New Roman" w:hAnsi="Times New Roman" w:cs="Times New Roman"/>
          <w:sz w:val="24"/>
          <w:szCs w:val="24"/>
        </w:rPr>
        <w:t>com poderes limitados à obtenção de informações sobre o acervo hereditário é</w:t>
      </w:r>
      <w:r w:rsidRPr="006D568E">
        <w:rPr>
          <w:rFonts w:ascii="Times New Roman" w:hAnsi="Times New Roman" w:cs="Times New Roman"/>
          <w:sz w:val="24"/>
          <w:szCs w:val="24"/>
        </w:rPr>
        <w:t xml:space="preserve"> </w:t>
      </w:r>
      <w:r w:rsidR="00C85C7D" w:rsidRPr="006D568E">
        <w:rPr>
          <w:rFonts w:ascii="Times New Roman" w:hAnsi="Times New Roman" w:cs="Times New Roman"/>
          <w:sz w:val="24"/>
          <w:szCs w:val="24"/>
        </w:rPr>
        <w:t>ato de natureza meramente preparatória e investigativa e não importa aceitação</w:t>
      </w:r>
      <w:r w:rsidRPr="006D568E">
        <w:rPr>
          <w:rFonts w:ascii="Times New Roman" w:hAnsi="Times New Roman" w:cs="Times New Roman"/>
          <w:sz w:val="24"/>
          <w:szCs w:val="24"/>
        </w:rPr>
        <w:t xml:space="preserve"> </w:t>
      </w:r>
      <w:r w:rsidR="00C85C7D" w:rsidRPr="006D568E">
        <w:rPr>
          <w:rFonts w:ascii="Times New Roman" w:hAnsi="Times New Roman" w:cs="Times New Roman"/>
          <w:sz w:val="24"/>
          <w:szCs w:val="24"/>
        </w:rPr>
        <w:t>da herança</w:t>
      </w:r>
      <w:r w:rsidRPr="006D568E">
        <w:rPr>
          <w:rFonts w:ascii="Times New Roman" w:hAnsi="Times New Roman" w:cs="Times New Roman"/>
          <w:sz w:val="24"/>
          <w:szCs w:val="24"/>
        </w:rPr>
        <w:t>”</w:t>
      </w:r>
      <w:r w:rsidR="00C85C7D" w:rsidRPr="006D568E">
        <w:rPr>
          <w:rFonts w:ascii="Times New Roman" w:hAnsi="Times New Roman" w:cs="Times New Roman"/>
          <w:sz w:val="24"/>
          <w:szCs w:val="24"/>
        </w:rPr>
        <w:t>.</w:t>
      </w:r>
      <w:r w:rsidR="002C07CA" w:rsidRPr="006D568E">
        <w:rPr>
          <w:rFonts w:ascii="Times New Roman" w:hAnsi="Times New Roman" w:cs="Times New Roman"/>
          <w:sz w:val="24"/>
          <w:szCs w:val="24"/>
        </w:rPr>
        <w:t xml:space="preserve"> O objetivo </w:t>
      </w:r>
      <w:r w:rsidR="007C3B6E">
        <w:rPr>
          <w:rFonts w:ascii="Times New Roman" w:hAnsi="Times New Roman" w:cs="Times New Roman"/>
          <w:sz w:val="24"/>
          <w:szCs w:val="24"/>
        </w:rPr>
        <w:t xml:space="preserve">do enunciado </w:t>
      </w:r>
      <w:r w:rsidR="002C07CA" w:rsidRPr="006D568E">
        <w:rPr>
          <w:rFonts w:ascii="Times New Roman" w:hAnsi="Times New Roman" w:cs="Times New Roman"/>
          <w:sz w:val="24"/>
          <w:szCs w:val="24"/>
        </w:rPr>
        <w:t xml:space="preserve">é facilitar a lavratura de escrituras públicas de inventário, em prol da extrajudicialização. </w:t>
      </w:r>
    </w:p>
    <w:p w14:paraId="3772FBF9" w14:textId="77777777" w:rsidR="00F268FD" w:rsidRPr="00AD365A" w:rsidRDefault="00000000">
      <w:pPr>
        <w:pStyle w:val="t"/>
        <w:spacing w:before="120" w:after="120" w:line="360" w:lineRule="auto"/>
        <w:ind w:firstLine="1701"/>
        <w:rPr>
          <w:rFonts w:ascii="Times New Roman" w:hAnsi="Times New Roman" w:cs="Times New Roman"/>
          <w:sz w:val="24"/>
          <w:szCs w:val="24"/>
        </w:rPr>
      </w:pPr>
      <w:r w:rsidRPr="00AD365A">
        <w:rPr>
          <w:rFonts w:ascii="Times New Roman" w:hAnsi="Times New Roman" w:cs="Times New Roman"/>
          <w:sz w:val="24"/>
          <w:szCs w:val="24"/>
        </w:rPr>
        <w:t>Como constou de suas justificativas, “a</w:t>
      </w:r>
      <w:r w:rsidRPr="00AD365A">
        <w:rPr>
          <w:rFonts w:ascii="Times New Roman" w:hAnsi="Times New Roman" w:cs="Times New Roman"/>
          <w:sz w:val="24"/>
          <w:szCs w:val="24"/>
        </w:rPr>
        <w:t xml:space="preserve"> prática extrajudicial revela a necessidade de prévio conhecimento do acervo hereditário para que o herdeiro possa exercer, de forma consciente, o direito de aceitar ou renunciar à herança. A nomeação de inventariante por escritura pública, com poderes restritos à obtenção de informações junto a instituições financeiras e órgãos públicos, possui natureza instrumental, não implicando exercício de poderes de disposição, fruição ou administração plena do patrimônio. Nessas hipóteses, desde que haja cláusula ex</w:t>
      </w:r>
      <w:r w:rsidRPr="00AD365A">
        <w:rPr>
          <w:rFonts w:ascii="Times New Roman" w:hAnsi="Times New Roman" w:cs="Times New Roman"/>
          <w:sz w:val="24"/>
          <w:szCs w:val="24"/>
        </w:rPr>
        <w:t>pressa afastando a aceitação tácita, o ato não se subsume às hipóteses de aceitação previstas no Código Civil, por não traduzir comportamento inequívoco de assunção da condição de herdeiro</w:t>
      </w:r>
      <w:r w:rsidRPr="00AD365A">
        <w:rPr>
          <w:rFonts w:ascii="Times New Roman" w:hAnsi="Times New Roman" w:cs="Times New Roman"/>
          <w:sz w:val="24"/>
          <w:szCs w:val="24"/>
        </w:rPr>
        <w:t xml:space="preserve">”. E mais, “a interpretação restritiva da aceitação tácita preserva a liberdade de escolha do herdeiro e se alinha à lógica contemporânea de desjudicialização e eficiência dos procedimentos sucessórios, evitando que a necessidade de informação se converta em risco jurídico”. O tema ainda não havia surgido em </w:t>
      </w:r>
      <w:r w:rsidRPr="00AD365A">
        <w:rPr>
          <w:rFonts w:ascii="Times New Roman" w:hAnsi="Times New Roman" w:cs="Times New Roman"/>
          <w:i/>
          <w:sz w:val="24"/>
          <w:szCs w:val="24"/>
        </w:rPr>
        <w:t>Jornadas</w:t>
      </w:r>
      <w:r w:rsidRPr="00AD365A">
        <w:rPr>
          <w:rFonts w:ascii="Times New Roman" w:hAnsi="Times New Roman" w:cs="Times New Roman"/>
          <w:sz w:val="24"/>
          <w:szCs w:val="24"/>
        </w:rPr>
        <w:t xml:space="preserve"> anteriores, sendo fundamental a </w:t>
      </w:r>
      <w:r w:rsidRPr="00AD365A">
        <w:rPr>
          <w:rFonts w:ascii="Times New Roman" w:hAnsi="Times New Roman" w:cs="Times New Roman"/>
          <w:sz w:val="24"/>
          <w:szCs w:val="24"/>
        </w:rPr>
        <w:t xml:space="preserve">adoção </w:t>
      </w:r>
      <w:r w:rsidRPr="00AD365A">
        <w:rPr>
          <w:rFonts w:ascii="Times New Roman" w:hAnsi="Times New Roman" w:cs="Times New Roman"/>
          <w:sz w:val="24"/>
          <w:szCs w:val="24"/>
        </w:rPr>
        <w:t>desses procedimentos de nomeação do inventariante com poderes limitados, para que o inventário extrajudicial possa ser efetivado.</w:t>
      </w:r>
    </w:p>
    <w:p w14:paraId="7BA123B1" w14:textId="70052D98" w:rsidR="00F268FD" w:rsidRPr="006D568E" w:rsidRDefault="00000000">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Também tratando</w:t>
      </w:r>
      <w:r w:rsidR="001807F4" w:rsidRPr="006D568E">
        <w:rPr>
          <w:rFonts w:ascii="Times New Roman" w:hAnsi="Times New Roman" w:cs="Times New Roman"/>
          <w:sz w:val="24"/>
          <w:szCs w:val="24"/>
        </w:rPr>
        <w:t>,</w:t>
      </w:r>
      <w:r w:rsidRPr="006D568E">
        <w:rPr>
          <w:rFonts w:ascii="Times New Roman" w:hAnsi="Times New Roman" w:cs="Times New Roman"/>
          <w:sz w:val="24"/>
          <w:szCs w:val="24"/>
        </w:rPr>
        <w:t xml:space="preserve"> pelo menos indiretamente</w:t>
      </w:r>
      <w:r w:rsidR="001807F4" w:rsidRPr="006D568E">
        <w:rPr>
          <w:rFonts w:ascii="Times New Roman" w:hAnsi="Times New Roman" w:cs="Times New Roman"/>
          <w:sz w:val="24"/>
          <w:szCs w:val="24"/>
        </w:rPr>
        <w:t>,</w:t>
      </w:r>
      <w:r w:rsidRPr="006D568E">
        <w:rPr>
          <w:rFonts w:ascii="Times New Roman" w:hAnsi="Times New Roman" w:cs="Times New Roman"/>
          <w:sz w:val="24"/>
          <w:szCs w:val="24"/>
        </w:rPr>
        <w:t xml:space="preserve"> do inventário extrajudicial e de outros atos notariais afeitos não </w:t>
      </w:r>
      <w:r w:rsidR="007C3B6E">
        <w:rPr>
          <w:rFonts w:ascii="Times New Roman" w:hAnsi="Times New Roman" w:cs="Times New Roman"/>
          <w:sz w:val="24"/>
          <w:szCs w:val="24"/>
        </w:rPr>
        <w:t>apenas</w:t>
      </w:r>
      <w:r w:rsidRPr="006D568E">
        <w:rPr>
          <w:rFonts w:ascii="Times New Roman" w:hAnsi="Times New Roman" w:cs="Times New Roman"/>
          <w:sz w:val="24"/>
          <w:szCs w:val="24"/>
        </w:rPr>
        <w:t xml:space="preserve"> ao Direito de Família e das Sucessões, mas </w:t>
      </w:r>
      <w:r w:rsidR="001807F4" w:rsidRPr="006D568E">
        <w:rPr>
          <w:rFonts w:ascii="Times New Roman" w:hAnsi="Times New Roman" w:cs="Times New Roman"/>
          <w:sz w:val="24"/>
          <w:szCs w:val="24"/>
        </w:rPr>
        <w:t>também a</w:t>
      </w:r>
      <w:r w:rsidRPr="006D568E">
        <w:rPr>
          <w:rFonts w:ascii="Times New Roman" w:hAnsi="Times New Roman" w:cs="Times New Roman"/>
          <w:sz w:val="24"/>
          <w:szCs w:val="24"/>
        </w:rPr>
        <w:t xml:space="preserve"> todo o Direito Civil, o Enunciado n. 730 estabelece que “a fé pública do tabelião estende-se à autenticação de documentos nato-digitais que não disponham de acesso público para verificação, desde que apresentados e visualizados na presença do tabelião ou de seu preposto, com posterior envio por meio dos canais oficiais do cartório para fins de impressão e autenticação, sem prejuízo da realização da prova, pelo próprio usuário, na plataforma oficial dos serviços extrajudiciais”. </w:t>
      </w:r>
    </w:p>
    <w:p w14:paraId="2E2D709F" w14:textId="77777777" w:rsidR="00F268FD" w:rsidRPr="00AD365A" w:rsidRDefault="00000000">
      <w:pPr>
        <w:pStyle w:val="t"/>
        <w:spacing w:before="120" w:after="120" w:line="360" w:lineRule="auto"/>
        <w:ind w:firstLine="1701"/>
        <w:rPr>
          <w:rFonts w:ascii="Times New Roman" w:hAnsi="Times New Roman" w:cs="Times New Roman"/>
          <w:sz w:val="24"/>
          <w:szCs w:val="24"/>
        </w:rPr>
      </w:pPr>
      <w:r w:rsidRPr="00AD365A">
        <w:rPr>
          <w:rFonts w:ascii="Times New Roman" w:hAnsi="Times New Roman" w:cs="Times New Roman"/>
          <w:sz w:val="24"/>
          <w:szCs w:val="24"/>
        </w:rPr>
        <w:t xml:space="preserve">Os citados </w:t>
      </w:r>
      <w:r w:rsidRPr="00AD365A">
        <w:rPr>
          <w:rFonts w:ascii="Times New Roman" w:hAnsi="Times New Roman" w:cs="Times New Roman"/>
          <w:i/>
          <w:sz w:val="24"/>
          <w:szCs w:val="24"/>
        </w:rPr>
        <w:t>documentos nato-digitais</w:t>
      </w:r>
      <w:r w:rsidRPr="00AD365A">
        <w:rPr>
          <w:rFonts w:ascii="Times New Roman" w:hAnsi="Times New Roman" w:cs="Times New Roman"/>
          <w:sz w:val="24"/>
          <w:szCs w:val="24"/>
        </w:rPr>
        <w:t xml:space="preserve"> são os que foram criados diretamente em formato eletrônico, sem nunca terem existido em versão física. São documentos que, como o próprio nome indica, nascem em computadores ou sistemas virtuais, mantendo </w:t>
      </w:r>
      <w:r w:rsidRPr="00AD365A">
        <w:rPr>
          <w:rFonts w:ascii="Times New Roman" w:hAnsi="Times New Roman" w:cs="Times New Roman"/>
          <w:sz w:val="24"/>
          <w:szCs w:val="24"/>
        </w:rPr>
        <w:t xml:space="preserve">sua validade legal por meio de assinaturas digitais ou eletrônicas, </w:t>
      </w:r>
      <w:r w:rsidRPr="00AD365A">
        <w:rPr>
          <w:rFonts w:ascii="Times New Roman" w:hAnsi="Times New Roman" w:cs="Times New Roman"/>
          <w:sz w:val="24"/>
          <w:szCs w:val="24"/>
        </w:rPr>
        <w:t>caso das atas notariais digitais.</w:t>
      </w:r>
    </w:p>
    <w:p w14:paraId="4F442D3A" w14:textId="77777777" w:rsidR="00F268FD" w:rsidRPr="006D568E" w:rsidRDefault="00000000">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 xml:space="preserve">Esses documentos podem surgir quando do inventário ou da partilha extrajudiciais, devendo ser considerada a fé pública também em relação a eles. Como constou das precisas justificativas desse Enunciado n. 730, “a inexistência de mecanismo público de validação eletrônica do documento nato-digital não impede a autenticação, desde que sua visualização ocorra na presença do tabelião ou de seu preposto autorizado, hipótese em que a certificação recai sobre a correspondência material entre o conteúdo exibido e a cópia produzida, e não sobre a autenticidade originária do documento digital. Os arts. 104 e 107 do Código Civil reforçam a validade dos atos jurídicos independentemente de forma específica, salvo exigência legal expressa em contrário, o que afasta interpretação restritiva incompatível com a evolução dos documentos eletrônicos e com a função adaptativa da atividade notarial”. </w:t>
      </w:r>
    </w:p>
    <w:p w14:paraId="76D95CBE" w14:textId="13A9DAC1" w:rsidR="00F268FD" w:rsidRPr="006D568E" w:rsidRDefault="00000000">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 xml:space="preserve">Penso que esse enunciado reforça a necessidade de regulação legal do e-notariado e das escrituras públicas digitais, como </w:t>
      </w:r>
      <w:r w:rsidR="007C3B6E">
        <w:rPr>
          <w:rFonts w:ascii="Times New Roman" w:hAnsi="Times New Roman" w:cs="Times New Roman"/>
          <w:sz w:val="24"/>
          <w:szCs w:val="24"/>
        </w:rPr>
        <w:t>se propõe</w:t>
      </w:r>
      <w:r w:rsidRPr="006D568E">
        <w:rPr>
          <w:rFonts w:ascii="Times New Roman" w:hAnsi="Times New Roman" w:cs="Times New Roman"/>
          <w:sz w:val="24"/>
          <w:szCs w:val="24"/>
        </w:rPr>
        <w:t xml:space="preserve"> para o novo livro do Direito Civil Digital no Projeto de Reforma do Código Civil, em tramitação e debate no Senado da República (PL n. 4/2025). Na atualidade</w:t>
      </w:r>
      <w:r w:rsidR="008A40A3" w:rsidRPr="006D568E">
        <w:rPr>
          <w:rFonts w:ascii="Times New Roman" w:hAnsi="Times New Roman" w:cs="Times New Roman"/>
          <w:sz w:val="24"/>
          <w:szCs w:val="24"/>
        </w:rPr>
        <w:t>,</w:t>
      </w:r>
      <w:r w:rsidRPr="006D568E">
        <w:rPr>
          <w:rFonts w:ascii="Times New Roman" w:hAnsi="Times New Roman" w:cs="Times New Roman"/>
          <w:sz w:val="24"/>
          <w:szCs w:val="24"/>
        </w:rPr>
        <w:t xml:space="preserve"> o tema é tratado por normatização meramente administrativa do Conselho Nacional de Justiça, a partir do art. 284 do seu Código Nacional de Normas. </w:t>
      </w:r>
    </w:p>
    <w:p w14:paraId="0CC779C4" w14:textId="77777777" w:rsidR="00306594" w:rsidRDefault="00D80FBD">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 xml:space="preserve">Essa necessidade de regulamentação legal também se evidencia no tema da herança digital. </w:t>
      </w:r>
      <w:r w:rsidRPr="006D568E">
        <w:rPr>
          <w:rFonts w:ascii="Times New Roman" w:hAnsi="Times New Roman" w:cs="Times New Roman"/>
          <w:sz w:val="24"/>
          <w:szCs w:val="24"/>
        </w:rPr>
        <w:t xml:space="preserve">Na anterior </w:t>
      </w:r>
      <w:r w:rsidRPr="006D568E">
        <w:rPr>
          <w:rFonts w:ascii="Times New Roman" w:hAnsi="Times New Roman" w:cs="Times New Roman"/>
          <w:i/>
          <w:sz w:val="24"/>
          <w:szCs w:val="24"/>
        </w:rPr>
        <w:t>IX Jornada de Direito Civil</w:t>
      </w:r>
      <w:r w:rsidRPr="006D568E">
        <w:rPr>
          <w:rFonts w:ascii="Times New Roman" w:hAnsi="Times New Roman" w:cs="Times New Roman"/>
          <w:sz w:val="24"/>
          <w:szCs w:val="24"/>
        </w:rPr>
        <w:t xml:space="preserve">, realizada no ano de 2022, aprovou-se o Enunciado n. 687, prevendo que “o patrimônio digital pode integrar o espólio de bens na sucessão legítima do titular falecido, admitindo-se, ainda, sua disposição na forma testamentária ou por codicilo”. </w:t>
      </w:r>
    </w:p>
    <w:p w14:paraId="4E322736" w14:textId="77777777" w:rsidR="00F268FD" w:rsidRPr="00AD365A" w:rsidRDefault="00000000">
      <w:pPr>
        <w:pStyle w:val="t"/>
        <w:spacing w:before="120" w:after="120" w:line="360" w:lineRule="auto"/>
        <w:ind w:firstLine="1701"/>
        <w:rPr>
          <w:rFonts w:ascii="Times New Roman" w:hAnsi="Times New Roman" w:cs="Times New Roman"/>
          <w:sz w:val="24"/>
          <w:szCs w:val="24"/>
        </w:rPr>
      </w:pPr>
      <w:r w:rsidRPr="00AD365A">
        <w:rPr>
          <w:rFonts w:ascii="Times New Roman" w:hAnsi="Times New Roman" w:cs="Times New Roman"/>
          <w:sz w:val="24"/>
          <w:szCs w:val="24"/>
        </w:rPr>
        <w:t xml:space="preserve">Em complemento, nesta </w:t>
      </w:r>
      <w:r w:rsidRPr="00AD365A">
        <w:rPr>
          <w:rFonts w:ascii="Times New Roman" w:hAnsi="Times New Roman" w:cs="Times New Roman"/>
          <w:i/>
          <w:sz w:val="24"/>
          <w:szCs w:val="24"/>
        </w:rPr>
        <w:t>X Jornada,</w:t>
      </w:r>
      <w:r w:rsidRPr="00AD365A">
        <w:rPr>
          <w:rFonts w:ascii="Times New Roman" w:hAnsi="Times New Roman" w:cs="Times New Roman"/>
          <w:sz w:val="24"/>
          <w:szCs w:val="24"/>
        </w:rPr>
        <w:t xml:space="preserve"> de 2026, surgiu o Enunciado n. </w:t>
      </w:r>
      <w:r w:rsidR="00AD365A" w:rsidRPr="00AD365A">
        <w:rPr>
          <w:rFonts w:ascii="Times New Roman" w:hAnsi="Times New Roman" w:cs="Times New Roman"/>
          <w:sz w:val="24"/>
          <w:szCs w:val="24"/>
        </w:rPr>
        <w:t>729, o qual prevê</w:t>
      </w:r>
      <w:r w:rsidRPr="00AD365A">
        <w:rPr>
          <w:rFonts w:ascii="Times New Roman" w:hAnsi="Times New Roman" w:cs="Times New Roman"/>
          <w:sz w:val="24"/>
          <w:szCs w:val="24"/>
        </w:rPr>
        <w:t xml:space="preserve"> que “na sucessão hereditária, a existência de bens digitais com conteúdo patrimonial integra o acervo hereditário e deve ser objeto de partilha, </w:t>
      </w:r>
      <w:r w:rsidRPr="00AD365A">
        <w:rPr>
          <w:rFonts w:ascii="Times New Roman" w:hAnsi="Times New Roman" w:cs="Times New Roman"/>
          <w:sz w:val="24"/>
          <w:szCs w:val="24"/>
        </w:rPr>
        <w:t>sujeitando-se às regras da sucessão em geral”. Almeja-se, assim, um tratamento doutrinário mínimo a respeito das hipóteses em que não há previsão de disposição da herança digital em testamento ou documento com vistas aos mesmos efeitos.</w:t>
      </w:r>
    </w:p>
    <w:p w14:paraId="31F9013D" w14:textId="52E9B088" w:rsidR="00F268FD" w:rsidRPr="00AD365A" w:rsidRDefault="00000000">
      <w:pPr>
        <w:pStyle w:val="t"/>
        <w:spacing w:before="120" w:after="120" w:line="360" w:lineRule="auto"/>
        <w:ind w:firstLine="1701"/>
        <w:rPr>
          <w:rFonts w:ascii="Times New Roman" w:hAnsi="Times New Roman" w:cs="Times New Roman"/>
          <w:sz w:val="24"/>
          <w:szCs w:val="24"/>
        </w:rPr>
      </w:pPr>
      <w:r w:rsidRPr="00AD365A">
        <w:rPr>
          <w:rFonts w:ascii="Times New Roman" w:hAnsi="Times New Roman" w:cs="Times New Roman"/>
          <w:sz w:val="24"/>
          <w:szCs w:val="24"/>
        </w:rPr>
        <w:t xml:space="preserve">Como já apontei em </w:t>
      </w:r>
      <w:r w:rsidR="009253D9" w:rsidRPr="00AD365A">
        <w:rPr>
          <w:rFonts w:ascii="Times New Roman" w:hAnsi="Times New Roman" w:cs="Times New Roman"/>
          <w:sz w:val="24"/>
          <w:szCs w:val="24"/>
        </w:rPr>
        <w:t>outros</w:t>
      </w:r>
      <w:r w:rsidRPr="00AD365A">
        <w:rPr>
          <w:rFonts w:ascii="Times New Roman" w:hAnsi="Times New Roman" w:cs="Times New Roman"/>
          <w:sz w:val="24"/>
          <w:szCs w:val="24"/>
        </w:rPr>
        <w:t xml:space="preserve"> textos, no Projeto de Reforma do Código existem amplas propostas para uma necessária regulamentação da herança digital na codificação privada, seu </w:t>
      </w:r>
      <w:r w:rsidRPr="00AD365A">
        <w:rPr>
          <w:rFonts w:ascii="Times New Roman" w:hAnsi="Times New Roman" w:cs="Times New Roman"/>
          <w:i/>
          <w:sz w:val="24"/>
          <w:szCs w:val="24"/>
        </w:rPr>
        <w:t xml:space="preserve">locus </w:t>
      </w:r>
      <w:r w:rsidRPr="00AD365A">
        <w:rPr>
          <w:rFonts w:ascii="Times New Roman" w:hAnsi="Times New Roman" w:cs="Times New Roman"/>
          <w:sz w:val="24"/>
          <w:szCs w:val="24"/>
        </w:rPr>
        <w:t xml:space="preserve">adequado, o que é urgente, com a </w:t>
      </w:r>
      <w:r w:rsidR="00D80FBD" w:rsidRPr="00AD365A">
        <w:rPr>
          <w:rFonts w:ascii="Times New Roman" w:hAnsi="Times New Roman" w:cs="Times New Roman"/>
          <w:sz w:val="24"/>
          <w:szCs w:val="24"/>
        </w:rPr>
        <w:t xml:space="preserve">fundamental </w:t>
      </w:r>
      <w:r w:rsidRPr="00AD365A">
        <w:rPr>
          <w:rFonts w:ascii="Times New Roman" w:hAnsi="Times New Roman" w:cs="Times New Roman"/>
          <w:sz w:val="24"/>
          <w:szCs w:val="24"/>
        </w:rPr>
        <w:t xml:space="preserve">divisão dos bens digitais em patrimoniais e personalíssimos. </w:t>
      </w:r>
    </w:p>
    <w:p w14:paraId="655E85B7" w14:textId="76B32634" w:rsidR="00F268FD" w:rsidRPr="006D568E" w:rsidRDefault="00000000" w:rsidP="0082431E">
      <w:pPr>
        <w:pStyle w:val="t"/>
        <w:spacing w:before="120" w:after="120" w:line="360" w:lineRule="auto"/>
        <w:ind w:firstLine="1701"/>
        <w:rPr>
          <w:rFonts w:ascii="Times New Roman" w:hAnsi="Times New Roman" w:cs="Times New Roman"/>
          <w:sz w:val="24"/>
          <w:szCs w:val="24"/>
        </w:rPr>
      </w:pPr>
      <w:r w:rsidRPr="006D568E">
        <w:rPr>
          <w:rFonts w:ascii="Times New Roman" w:hAnsi="Times New Roman" w:cs="Times New Roman"/>
          <w:sz w:val="24"/>
          <w:szCs w:val="24"/>
        </w:rPr>
        <w:t xml:space="preserve">Portanto, mais uma vez, fica claro que a histórica </w:t>
      </w:r>
      <w:r w:rsidRPr="006D568E">
        <w:rPr>
          <w:rFonts w:ascii="Times New Roman" w:hAnsi="Times New Roman" w:cs="Times New Roman"/>
          <w:i/>
          <w:sz w:val="24"/>
          <w:szCs w:val="24"/>
        </w:rPr>
        <w:t>X Jornada de Direito Civil</w:t>
      </w:r>
      <w:r w:rsidRPr="006D568E">
        <w:rPr>
          <w:rFonts w:ascii="Times New Roman" w:hAnsi="Times New Roman" w:cs="Times New Roman"/>
          <w:sz w:val="24"/>
          <w:szCs w:val="24"/>
        </w:rPr>
        <w:t xml:space="preserve"> trouxe temas importantes</w:t>
      </w:r>
      <w:r w:rsidR="00B7779D">
        <w:rPr>
          <w:rFonts w:ascii="Times New Roman" w:hAnsi="Times New Roman" w:cs="Times New Roman"/>
          <w:sz w:val="24"/>
          <w:szCs w:val="24"/>
        </w:rPr>
        <w:t xml:space="preserve"> para o debate</w:t>
      </w:r>
      <w:r w:rsidRPr="006D568E">
        <w:rPr>
          <w:rFonts w:ascii="Times New Roman" w:hAnsi="Times New Roman" w:cs="Times New Roman"/>
          <w:sz w:val="24"/>
          <w:szCs w:val="24"/>
        </w:rPr>
        <w:t xml:space="preserve">, sobretudo afeitos ao Direito Civil Digital e ao uso de novas tecnologias no Direito Privado, assuntos que devem ser incrementados na teoria e na prática </w:t>
      </w:r>
      <w:r w:rsidR="006D568E" w:rsidRPr="006D568E">
        <w:rPr>
          <w:rFonts w:ascii="Times New Roman" w:hAnsi="Times New Roman" w:cs="Times New Roman"/>
          <w:sz w:val="24"/>
          <w:szCs w:val="24"/>
        </w:rPr>
        <w:t>civilística</w:t>
      </w:r>
      <w:r w:rsidRPr="006D568E">
        <w:rPr>
          <w:rFonts w:ascii="Times New Roman" w:hAnsi="Times New Roman" w:cs="Times New Roman"/>
          <w:sz w:val="24"/>
          <w:szCs w:val="24"/>
        </w:rPr>
        <w:t xml:space="preserve"> nos próximos anos</w:t>
      </w:r>
      <w:r w:rsidR="006D568E">
        <w:rPr>
          <w:rFonts w:ascii="Times New Roman" w:hAnsi="Times New Roman" w:cs="Times New Roman"/>
          <w:sz w:val="24"/>
          <w:szCs w:val="24"/>
        </w:rPr>
        <w:t xml:space="preserve">, com destaque para a </w:t>
      </w:r>
      <w:r w:rsidR="006D568E" w:rsidRPr="006D568E">
        <w:rPr>
          <w:rFonts w:ascii="Times New Roman" w:hAnsi="Times New Roman" w:cs="Times New Roman"/>
          <w:sz w:val="24"/>
          <w:szCs w:val="24"/>
        </w:rPr>
        <w:t xml:space="preserve">modernização, </w:t>
      </w:r>
      <w:r w:rsidR="006D568E">
        <w:rPr>
          <w:rFonts w:ascii="Times New Roman" w:hAnsi="Times New Roman" w:cs="Times New Roman"/>
          <w:sz w:val="24"/>
          <w:szCs w:val="24"/>
        </w:rPr>
        <w:t xml:space="preserve">a </w:t>
      </w:r>
      <w:r w:rsidR="006D568E" w:rsidRPr="006D568E">
        <w:rPr>
          <w:rFonts w:ascii="Times New Roman" w:hAnsi="Times New Roman" w:cs="Times New Roman"/>
          <w:sz w:val="24"/>
          <w:szCs w:val="24"/>
        </w:rPr>
        <w:t xml:space="preserve">extrajudicialização e </w:t>
      </w:r>
      <w:r w:rsidR="006D568E">
        <w:rPr>
          <w:rFonts w:ascii="Times New Roman" w:hAnsi="Times New Roman" w:cs="Times New Roman"/>
          <w:sz w:val="24"/>
          <w:szCs w:val="24"/>
        </w:rPr>
        <w:t xml:space="preserve">a </w:t>
      </w:r>
      <w:r w:rsidR="006D568E" w:rsidRPr="006D568E">
        <w:rPr>
          <w:rFonts w:ascii="Times New Roman" w:hAnsi="Times New Roman" w:cs="Times New Roman"/>
          <w:sz w:val="24"/>
          <w:szCs w:val="24"/>
        </w:rPr>
        <w:t>digitalização do Direito das Sucessões.</w:t>
      </w:r>
      <w:r w:rsidRPr="006D568E">
        <w:rPr>
          <w:rFonts w:ascii="Times New Roman" w:hAnsi="Times New Roman" w:cs="Times New Roman"/>
          <w:sz w:val="24"/>
          <w:szCs w:val="24"/>
        </w:rPr>
        <w:t xml:space="preserve"> </w:t>
      </w:r>
    </w:p>
    <w:sectPr w:rsidR="00F268FD" w:rsidRPr="006D568E" w:rsidSect="007F14FB">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DCBC" w14:textId="77777777" w:rsidR="00C103AD" w:rsidRPr="00506A24" w:rsidRDefault="00C103AD" w:rsidP="00B15AD0">
      <w:pPr>
        <w:spacing w:after="0" w:line="240" w:lineRule="auto"/>
      </w:pPr>
      <w:r w:rsidRPr="00506A24">
        <w:separator/>
      </w:r>
    </w:p>
  </w:endnote>
  <w:endnote w:type="continuationSeparator" w:id="0">
    <w:p w14:paraId="1BB04C2F" w14:textId="77777777" w:rsidR="00C103AD" w:rsidRPr="00506A24" w:rsidRDefault="00C103AD" w:rsidP="00B15AD0">
      <w:pPr>
        <w:spacing w:after="0" w:line="240" w:lineRule="auto"/>
      </w:pPr>
      <w:r w:rsidRPr="00506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MT">
    <w:altName w:val="Arial"/>
    <w:charset w:val="01"/>
    <w:family w:val="swiss"/>
    <w:pitch w:val="variable"/>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DA6A" w14:textId="77777777" w:rsidR="003F660D" w:rsidRDefault="003F660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919016"/>
      <w:docPartObj>
        <w:docPartGallery w:val="Page Numbers (Bottom of Page)"/>
        <w:docPartUnique/>
      </w:docPartObj>
    </w:sdtPr>
    <w:sdtContent>
      <w:p w14:paraId="5C9B0961" w14:textId="1488891B" w:rsidR="00313722" w:rsidRPr="00506A24" w:rsidRDefault="00B06309">
        <w:pPr>
          <w:pStyle w:val="Rodap"/>
          <w:jc w:val="right"/>
        </w:pPr>
        <w:r w:rsidRPr="00506A24">
          <w:fldChar w:fldCharType="begin"/>
        </w:r>
        <w:r w:rsidRPr="00506A24">
          <w:instrText xml:space="preserve"> PAGE   \* MERGEFORMAT </w:instrText>
        </w:r>
        <w:r w:rsidRPr="00506A24">
          <w:fldChar w:fldCharType="separate"/>
        </w:r>
        <w:r w:rsidR="009F5F3F">
          <w:rPr>
            <w:noProof/>
          </w:rPr>
          <w:t>1</w:t>
        </w:r>
        <w:r w:rsidRPr="00506A24">
          <w:fldChar w:fldCharType="end"/>
        </w:r>
      </w:p>
    </w:sdtContent>
  </w:sdt>
  <w:p w14:paraId="42C3C8E5" w14:textId="77777777" w:rsidR="00313722" w:rsidRPr="00506A24" w:rsidRDefault="0031372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368E" w14:textId="77777777" w:rsidR="003F660D" w:rsidRDefault="003F660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49C20" w14:textId="77777777" w:rsidR="00C103AD" w:rsidRPr="00506A24" w:rsidRDefault="00C103AD" w:rsidP="00B15AD0">
      <w:pPr>
        <w:spacing w:after="0" w:line="240" w:lineRule="auto"/>
      </w:pPr>
      <w:r w:rsidRPr="00506A24">
        <w:separator/>
      </w:r>
    </w:p>
  </w:footnote>
  <w:footnote w:type="continuationSeparator" w:id="0">
    <w:p w14:paraId="74CA85D2" w14:textId="77777777" w:rsidR="00C103AD" w:rsidRPr="00506A24" w:rsidRDefault="00C103AD" w:rsidP="00B15AD0">
      <w:pPr>
        <w:spacing w:after="0" w:line="240" w:lineRule="auto"/>
      </w:pPr>
      <w:r w:rsidRPr="00506A24">
        <w:continuationSeparator/>
      </w:r>
    </w:p>
  </w:footnote>
  <w:footnote w:id="1">
    <w:p w14:paraId="1C5C5CE1" w14:textId="77777777" w:rsidR="00313722" w:rsidRPr="00197971" w:rsidRDefault="00313722" w:rsidP="00B15AD0">
      <w:pPr>
        <w:pStyle w:val="Textodenotaderodap"/>
        <w:jc w:val="both"/>
      </w:pPr>
      <w:r w:rsidRPr="00506A24">
        <w:rPr>
          <w:rStyle w:val="Refdenotaderodap"/>
        </w:rPr>
        <w:footnoteRef/>
      </w:r>
      <w:r w:rsidRPr="00506A24">
        <w:t xml:space="preserve"> Pós-Doutor e Doutor em Direito Civil pela USP. Mestre em Direito Civil Comparado pela PUCSP. Professor Titular permanente e coordenador do mestrado da Escola Paulista de Direito (EPD). Professor e coordenador dos cursos de pós-graduação </w:t>
      </w:r>
      <w:r w:rsidRPr="00506A24">
        <w:rPr>
          <w:i/>
        </w:rPr>
        <w:t>lato sensu</w:t>
      </w:r>
      <w:r w:rsidRPr="00506A24">
        <w:t xml:space="preserve"> em Direito Privado da EPD. Relator do Projeto de Reforma do Código Civil. Primeiro Presidente e Fundador do Instituto Brasileiro de Direito Contratual (IBDCONT). Conselheiro Federal da OAB, pela OABSP. Advogado em São Paulo, parecerista, árbitro e consultor jurídico.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73FC" w14:textId="77777777" w:rsidR="003F660D" w:rsidRDefault="003F660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C282" w14:textId="77777777" w:rsidR="003F660D" w:rsidRDefault="003F660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6001" w14:textId="77777777" w:rsidR="003F660D" w:rsidRDefault="003F660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66753"/>
    <w:multiLevelType w:val="hybridMultilevel"/>
    <w:tmpl w:val="54162384"/>
    <w:lvl w:ilvl="0" w:tplc="F97CC47C">
      <w:start w:val="1"/>
      <w:numFmt w:val="decimal"/>
      <w:lvlText w:val="%1)"/>
      <w:lvlJc w:val="left"/>
      <w:pPr>
        <w:ind w:left="1020" w:hanging="360"/>
      </w:pPr>
    </w:lvl>
    <w:lvl w:ilvl="1" w:tplc="4D3C6446">
      <w:start w:val="1"/>
      <w:numFmt w:val="decimal"/>
      <w:lvlText w:val="%2)"/>
      <w:lvlJc w:val="left"/>
      <w:pPr>
        <w:ind w:left="1020" w:hanging="360"/>
      </w:pPr>
    </w:lvl>
    <w:lvl w:ilvl="2" w:tplc="579EAB1A">
      <w:start w:val="1"/>
      <w:numFmt w:val="decimal"/>
      <w:lvlText w:val="%3)"/>
      <w:lvlJc w:val="left"/>
      <w:pPr>
        <w:ind w:left="1020" w:hanging="360"/>
      </w:pPr>
    </w:lvl>
    <w:lvl w:ilvl="3" w:tplc="952E9B12">
      <w:start w:val="1"/>
      <w:numFmt w:val="decimal"/>
      <w:lvlText w:val="%4)"/>
      <w:lvlJc w:val="left"/>
      <w:pPr>
        <w:ind w:left="1020" w:hanging="360"/>
      </w:pPr>
    </w:lvl>
    <w:lvl w:ilvl="4" w:tplc="6D360AEA">
      <w:start w:val="1"/>
      <w:numFmt w:val="decimal"/>
      <w:lvlText w:val="%5)"/>
      <w:lvlJc w:val="left"/>
      <w:pPr>
        <w:ind w:left="1020" w:hanging="360"/>
      </w:pPr>
    </w:lvl>
    <w:lvl w:ilvl="5" w:tplc="2E0E23EA">
      <w:start w:val="1"/>
      <w:numFmt w:val="decimal"/>
      <w:lvlText w:val="%6)"/>
      <w:lvlJc w:val="left"/>
      <w:pPr>
        <w:ind w:left="1020" w:hanging="360"/>
      </w:pPr>
    </w:lvl>
    <w:lvl w:ilvl="6" w:tplc="4BD0F8E6">
      <w:start w:val="1"/>
      <w:numFmt w:val="decimal"/>
      <w:lvlText w:val="%7)"/>
      <w:lvlJc w:val="left"/>
      <w:pPr>
        <w:ind w:left="1020" w:hanging="360"/>
      </w:pPr>
    </w:lvl>
    <w:lvl w:ilvl="7" w:tplc="4296E6EA">
      <w:start w:val="1"/>
      <w:numFmt w:val="decimal"/>
      <w:lvlText w:val="%8)"/>
      <w:lvlJc w:val="left"/>
      <w:pPr>
        <w:ind w:left="1020" w:hanging="360"/>
      </w:pPr>
    </w:lvl>
    <w:lvl w:ilvl="8" w:tplc="3DD4651E">
      <w:start w:val="1"/>
      <w:numFmt w:val="decimal"/>
      <w:lvlText w:val="%9)"/>
      <w:lvlJc w:val="left"/>
      <w:pPr>
        <w:ind w:left="1020" w:hanging="360"/>
      </w:pPr>
    </w:lvl>
  </w:abstractNum>
  <w:abstractNum w:abstractNumId="1" w15:restartNumberingAfterBreak="0">
    <w:nsid w:val="6C6E78FF"/>
    <w:multiLevelType w:val="hybridMultilevel"/>
    <w:tmpl w:val="3A94B62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16cid:durableId="297148060">
    <w:abstractNumId w:val="1"/>
  </w:num>
  <w:num w:numId="2" w16cid:durableId="1543399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4D"/>
    <w:rsid w:val="00002059"/>
    <w:rsid w:val="00004278"/>
    <w:rsid w:val="00010B62"/>
    <w:rsid w:val="00012D24"/>
    <w:rsid w:val="00013106"/>
    <w:rsid w:val="00014A13"/>
    <w:rsid w:val="000163F9"/>
    <w:rsid w:val="000165B6"/>
    <w:rsid w:val="0002246D"/>
    <w:rsid w:val="000272D3"/>
    <w:rsid w:val="00042DD9"/>
    <w:rsid w:val="0006022B"/>
    <w:rsid w:val="000618D8"/>
    <w:rsid w:val="00061D0E"/>
    <w:rsid w:val="00061D24"/>
    <w:rsid w:val="00061D89"/>
    <w:rsid w:val="00065809"/>
    <w:rsid w:val="00071A54"/>
    <w:rsid w:val="00081B5A"/>
    <w:rsid w:val="00081F89"/>
    <w:rsid w:val="00084038"/>
    <w:rsid w:val="00090984"/>
    <w:rsid w:val="00091C4D"/>
    <w:rsid w:val="00092468"/>
    <w:rsid w:val="000967F8"/>
    <w:rsid w:val="000A0500"/>
    <w:rsid w:val="000A1BE1"/>
    <w:rsid w:val="000A1DAE"/>
    <w:rsid w:val="000A20A3"/>
    <w:rsid w:val="000A4AFE"/>
    <w:rsid w:val="000A6A8E"/>
    <w:rsid w:val="000B00D7"/>
    <w:rsid w:val="000B0D00"/>
    <w:rsid w:val="000B199E"/>
    <w:rsid w:val="000B3C12"/>
    <w:rsid w:val="000B4F9A"/>
    <w:rsid w:val="000B6EDD"/>
    <w:rsid w:val="000C0579"/>
    <w:rsid w:val="000C5F8E"/>
    <w:rsid w:val="000D4EB5"/>
    <w:rsid w:val="000D5EE0"/>
    <w:rsid w:val="000D6AB7"/>
    <w:rsid w:val="000D7B84"/>
    <w:rsid w:val="000E339F"/>
    <w:rsid w:val="000E69A0"/>
    <w:rsid w:val="000E76DF"/>
    <w:rsid w:val="000E7C7A"/>
    <w:rsid w:val="000F397F"/>
    <w:rsid w:val="00101681"/>
    <w:rsid w:val="00103B8D"/>
    <w:rsid w:val="001115BE"/>
    <w:rsid w:val="001164E8"/>
    <w:rsid w:val="00121038"/>
    <w:rsid w:val="001257FC"/>
    <w:rsid w:val="00127619"/>
    <w:rsid w:val="00130044"/>
    <w:rsid w:val="0013242A"/>
    <w:rsid w:val="001348B6"/>
    <w:rsid w:val="00140F1A"/>
    <w:rsid w:val="001431C6"/>
    <w:rsid w:val="0014589B"/>
    <w:rsid w:val="00147FD2"/>
    <w:rsid w:val="0015250A"/>
    <w:rsid w:val="001525EA"/>
    <w:rsid w:val="00154A54"/>
    <w:rsid w:val="00154E75"/>
    <w:rsid w:val="00155778"/>
    <w:rsid w:val="00155FF7"/>
    <w:rsid w:val="0015785B"/>
    <w:rsid w:val="001604A2"/>
    <w:rsid w:val="00162445"/>
    <w:rsid w:val="00163219"/>
    <w:rsid w:val="0017096B"/>
    <w:rsid w:val="00174761"/>
    <w:rsid w:val="00176E7D"/>
    <w:rsid w:val="001807F4"/>
    <w:rsid w:val="001A1246"/>
    <w:rsid w:val="001A33D9"/>
    <w:rsid w:val="001A3BB7"/>
    <w:rsid w:val="001A3C52"/>
    <w:rsid w:val="001B0CD7"/>
    <w:rsid w:val="001B36E1"/>
    <w:rsid w:val="001B45D7"/>
    <w:rsid w:val="001B648E"/>
    <w:rsid w:val="001C0743"/>
    <w:rsid w:val="001C0BF5"/>
    <w:rsid w:val="001C20B6"/>
    <w:rsid w:val="001C3F9C"/>
    <w:rsid w:val="001D10F0"/>
    <w:rsid w:val="001D23C5"/>
    <w:rsid w:val="001D248B"/>
    <w:rsid w:val="001D26B5"/>
    <w:rsid w:val="001D2D3A"/>
    <w:rsid w:val="001D2FCE"/>
    <w:rsid w:val="001D4C59"/>
    <w:rsid w:val="001E3A72"/>
    <w:rsid w:val="001E5FD0"/>
    <w:rsid w:val="001F0B30"/>
    <w:rsid w:val="001F7416"/>
    <w:rsid w:val="00204797"/>
    <w:rsid w:val="00205620"/>
    <w:rsid w:val="002057D0"/>
    <w:rsid w:val="00216BE4"/>
    <w:rsid w:val="002173DE"/>
    <w:rsid w:val="00223883"/>
    <w:rsid w:val="00226F9E"/>
    <w:rsid w:val="00227988"/>
    <w:rsid w:val="00231DBA"/>
    <w:rsid w:val="00231DCF"/>
    <w:rsid w:val="00234405"/>
    <w:rsid w:val="00240103"/>
    <w:rsid w:val="00240B32"/>
    <w:rsid w:val="002628DD"/>
    <w:rsid w:val="0027030E"/>
    <w:rsid w:val="00270AAC"/>
    <w:rsid w:val="00275DC5"/>
    <w:rsid w:val="0027678B"/>
    <w:rsid w:val="00276D6A"/>
    <w:rsid w:val="0027700F"/>
    <w:rsid w:val="002809A2"/>
    <w:rsid w:val="00283304"/>
    <w:rsid w:val="00283C6E"/>
    <w:rsid w:val="0028639A"/>
    <w:rsid w:val="002876ED"/>
    <w:rsid w:val="00295705"/>
    <w:rsid w:val="00295C84"/>
    <w:rsid w:val="00296B3B"/>
    <w:rsid w:val="00297F8D"/>
    <w:rsid w:val="002A1A09"/>
    <w:rsid w:val="002A471D"/>
    <w:rsid w:val="002A4A94"/>
    <w:rsid w:val="002A60FF"/>
    <w:rsid w:val="002B12EB"/>
    <w:rsid w:val="002B7539"/>
    <w:rsid w:val="002B77B1"/>
    <w:rsid w:val="002B7E62"/>
    <w:rsid w:val="002C0424"/>
    <w:rsid w:val="002C07CA"/>
    <w:rsid w:val="002C20BD"/>
    <w:rsid w:val="002C5F94"/>
    <w:rsid w:val="002D2CA8"/>
    <w:rsid w:val="002D7126"/>
    <w:rsid w:val="002D75F5"/>
    <w:rsid w:val="002E06BF"/>
    <w:rsid w:val="002E0A51"/>
    <w:rsid w:val="002E174E"/>
    <w:rsid w:val="002E1E6F"/>
    <w:rsid w:val="002E2013"/>
    <w:rsid w:val="002F013F"/>
    <w:rsid w:val="002F1032"/>
    <w:rsid w:val="002F1121"/>
    <w:rsid w:val="002F1277"/>
    <w:rsid w:val="002F6BCE"/>
    <w:rsid w:val="003045A4"/>
    <w:rsid w:val="00306594"/>
    <w:rsid w:val="003079E0"/>
    <w:rsid w:val="00310780"/>
    <w:rsid w:val="00311DC8"/>
    <w:rsid w:val="00313722"/>
    <w:rsid w:val="003156EB"/>
    <w:rsid w:val="00316B68"/>
    <w:rsid w:val="00325274"/>
    <w:rsid w:val="0032631E"/>
    <w:rsid w:val="00331477"/>
    <w:rsid w:val="003358E3"/>
    <w:rsid w:val="00341469"/>
    <w:rsid w:val="00341F09"/>
    <w:rsid w:val="003509A8"/>
    <w:rsid w:val="00351820"/>
    <w:rsid w:val="00353FDF"/>
    <w:rsid w:val="00354174"/>
    <w:rsid w:val="00356BC1"/>
    <w:rsid w:val="00357109"/>
    <w:rsid w:val="00360739"/>
    <w:rsid w:val="0037094A"/>
    <w:rsid w:val="00376D27"/>
    <w:rsid w:val="0038223F"/>
    <w:rsid w:val="003869F0"/>
    <w:rsid w:val="00394C9F"/>
    <w:rsid w:val="00395C20"/>
    <w:rsid w:val="003964F7"/>
    <w:rsid w:val="00396C5B"/>
    <w:rsid w:val="003A2D67"/>
    <w:rsid w:val="003B0F36"/>
    <w:rsid w:val="003C0ADC"/>
    <w:rsid w:val="003D1130"/>
    <w:rsid w:val="003D758C"/>
    <w:rsid w:val="003E6BFA"/>
    <w:rsid w:val="003F45B3"/>
    <w:rsid w:val="003F660D"/>
    <w:rsid w:val="00401CF1"/>
    <w:rsid w:val="00412ABA"/>
    <w:rsid w:val="00416565"/>
    <w:rsid w:val="00416BAE"/>
    <w:rsid w:val="00420F7D"/>
    <w:rsid w:val="00421AAD"/>
    <w:rsid w:val="004231D8"/>
    <w:rsid w:val="0042566E"/>
    <w:rsid w:val="004263CC"/>
    <w:rsid w:val="00440E97"/>
    <w:rsid w:val="0044129B"/>
    <w:rsid w:val="004420C9"/>
    <w:rsid w:val="004459BC"/>
    <w:rsid w:val="00447D60"/>
    <w:rsid w:val="00451CC8"/>
    <w:rsid w:val="0045302D"/>
    <w:rsid w:val="00461BBB"/>
    <w:rsid w:val="00463CAE"/>
    <w:rsid w:val="0046464F"/>
    <w:rsid w:val="00465B35"/>
    <w:rsid w:val="004702C9"/>
    <w:rsid w:val="00473561"/>
    <w:rsid w:val="00475A7F"/>
    <w:rsid w:val="00486631"/>
    <w:rsid w:val="004868E9"/>
    <w:rsid w:val="00494160"/>
    <w:rsid w:val="004945A7"/>
    <w:rsid w:val="004B0CC8"/>
    <w:rsid w:val="004B1ABA"/>
    <w:rsid w:val="004C28CC"/>
    <w:rsid w:val="004C2B01"/>
    <w:rsid w:val="004C50B9"/>
    <w:rsid w:val="004C6716"/>
    <w:rsid w:val="004C6CAD"/>
    <w:rsid w:val="004D192A"/>
    <w:rsid w:val="004D3C8B"/>
    <w:rsid w:val="004E68BF"/>
    <w:rsid w:val="004F108D"/>
    <w:rsid w:val="004F5A0C"/>
    <w:rsid w:val="005019A9"/>
    <w:rsid w:val="00505C0B"/>
    <w:rsid w:val="00505F81"/>
    <w:rsid w:val="00506A24"/>
    <w:rsid w:val="00507514"/>
    <w:rsid w:val="00510D5E"/>
    <w:rsid w:val="0051186F"/>
    <w:rsid w:val="00513172"/>
    <w:rsid w:val="00520F3F"/>
    <w:rsid w:val="00521AD5"/>
    <w:rsid w:val="00525923"/>
    <w:rsid w:val="005264F9"/>
    <w:rsid w:val="00537B7E"/>
    <w:rsid w:val="00540A1C"/>
    <w:rsid w:val="00550067"/>
    <w:rsid w:val="00551126"/>
    <w:rsid w:val="00552DBC"/>
    <w:rsid w:val="00554A9A"/>
    <w:rsid w:val="00555174"/>
    <w:rsid w:val="00560AB1"/>
    <w:rsid w:val="00565371"/>
    <w:rsid w:val="005662A2"/>
    <w:rsid w:val="00572FB3"/>
    <w:rsid w:val="005803EC"/>
    <w:rsid w:val="00581D80"/>
    <w:rsid w:val="00582E0D"/>
    <w:rsid w:val="0058340B"/>
    <w:rsid w:val="005937B9"/>
    <w:rsid w:val="00594F57"/>
    <w:rsid w:val="005A0224"/>
    <w:rsid w:val="005A1CA7"/>
    <w:rsid w:val="005A4F89"/>
    <w:rsid w:val="005A5520"/>
    <w:rsid w:val="005A5D67"/>
    <w:rsid w:val="005A6CC3"/>
    <w:rsid w:val="005B6FDC"/>
    <w:rsid w:val="005C2B81"/>
    <w:rsid w:val="005C3438"/>
    <w:rsid w:val="005C3619"/>
    <w:rsid w:val="005C4502"/>
    <w:rsid w:val="005D3299"/>
    <w:rsid w:val="005D6822"/>
    <w:rsid w:val="005E4456"/>
    <w:rsid w:val="005E4E1C"/>
    <w:rsid w:val="005E57AA"/>
    <w:rsid w:val="005E5BC0"/>
    <w:rsid w:val="005F0E14"/>
    <w:rsid w:val="005F164A"/>
    <w:rsid w:val="005F1820"/>
    <w:rsid w:val="005F25C9"/>
    <w:rsid w:val="005F41FE"/>
    <w:rsid w:val="005F6BE4"/>
    <w:rsid w:val="005F7883"/>
    <w:rsid w:val="006067E7"/>
    <w:rsid w:val="00606C96"/>
    <w:rsid w:val="00610691"/>
    <w:rsid w:val="00613516"/>
    <w:rsid w:val="00614366"/>
    <w:rsid w:val="006169A5"/>
    <w:rsid w:val="00620620"/>
    <w:rsid w:val="00623FF3"/>
    <w:rsid w:val="00632D73"/>
    <w:rsid w:val="0063474C"/>
    <w:rsid w:val="00635A77"/>
    <w:rsid w:val="0063631C"/>
    <w:rsid w:val="00637D4E"/>
    <w:rsid w:val="00643929"/>
    <w:rsid w:val="0064646B"/>
    <w:rsid w:val="006503ED"/>
    <w:rsid w:val="0065126D"/>
    <w:rsid w:val="0065327B"/>
    <w:rsid w:val="00653C19"/>
    <w:rsid w:val="00653FEF"/>
    <w:rsid w:val="006551BA"/>
    <w:rsid w:val="0065579F"/>
    <w:rsid w:val="00664651"/>
    <w:rsid w:val="00666DBB"/>
    <w:rsid w:val="00667AAB"/>
    <w:rsid w:val="00674CF0"/>
    <w:rsid w:val="006815B4"/>
    <w:rsid w:val="00682647"/>
    <w:rsid w:val="00684049"/>
    <w:rsid w:val="00684EAE"/>
    <w:rsid w:val="00687D4D"/>
    <w:rsid w:val="00687F6F"/>
    <w:rsid w:val="00692442"/>
    <w:rsid w:val="006931D3"/>
    <w:rsid w:val="00693231"/>
    <w:rsid w:val="0069517F"/>
    <w:rsid w:val="00696537"/>
    <w:rsid w:val="00696E45"/>
    <w:rsid w:val="006A1DE3"/>
    <w:rsid w:val="006A20BD"/>
    <w:rsid w:val="006A24C2"/>
    <w:rsid w:val="006A3397"/>
    <w:rsid w:val="006A3977"/>
    <w:rsid w:val="006A4626"/>
    <w:rsid w:val="006A67A7"/>
    <w:rsid w:val="006B0194"/>
    <w:rsid w:val="006B1CDC"/>
    <w:rsid w:val="006B4DC9"/>
    <w:rsid w:val="006B64C9"/>
    <w:rsid w:val="006C6CD1"/>
    <w:rsid w:val="006D2259"/>
    <w:rsid w:val="006D389F"/>
    <w:rsid w:val="006D568E"/>
    <w:rsid w:val="006D7C66"/>
    <w:rsid w:val="006E0C8C"/>
    <w:rsid w:val="006E1F16"/>
    <w:rsid w:val="006E434B"/>
    <w:rsid w:val="006F37FB"/>
    <w:rsid w:val="006F666B"/>
    <w:rsid w:val="006F7018"/>
    <w:rsid w:val="0070123D"/>
    <w:rsid w:val="007018A3"/>
    <w:rsid w:val="0070682D"/>
    <w:rsid w:val="00711BF6"/>
    <w:rsid w:val="0071408C"/>
    <w:rsid w:val="007154AD"/>
    <w:rsid w:val="007161E4"/>
    <w:rsid w:val="00722CAC"/>
    <w:rsid w:val="007318C7"/>
    <w:rsid w:val="007406B8"/>
    <w:rsid w:val="00741F35"/>
    <w:rsid w:val="00747200"/>
    <w:rsid w:val="0075158E"/>
    <w:rsid w:val="007522CF"/>
    <w:rsid w:val="00752FEE"/>
    <w:rsid w:val="007662FB"/>
    <w:rsid w:val="00771074"/>
    <w:rsid w:val="007713AD"/>
    <w:rsid w:val="0077147A"/>
    <w:rsid w:val="007745E9"/>
    <w:rsid w:val="00774964"/>
    <w:rsid w:val="00777567"/>
    <w:rsid w:val="00777A2F"/>
    <w:rsid w:val="0078277B"/>
    <w:rsid w:val="00783334"/>
    <w:rsid w:val="00784107"/>
    <w:rsid w:val="00786CE4"/>
    <w:rsid w:val="007914E9"/>
    <w:rsid w:val="0079684D"/>
    <w:rsid w:val="007A0FB1"/>
    <w:rsid w:val="007A1060"/>
    <w:rsid w:val="007A54E4"/>
    <w:rsid w:val="007A6C76"/>
    <w:rsid w:val="007B113F"/>
    <w:rsid w:val="007B2E42"/>
    <w:rsid w:val="007B30A7"/>
    <w:rsid w:val="007B3258"/>
    <w:rsid w:val="007B355F"/>
    <w:rsid w:val="007B5E1B"/>
    <w:rsid w:val="007C17F4"/>
    <w:rsid w:val="007C1C26"/>
    <w:rsid w:val="007C3B6E"/>
    <w:rsid w:val="007C517C"/>
    <w:rsid w:val="007D079B"/>
    <w:rsid w:val="007D0849"/>
    <w:rsid w:val="007D7E1C"/>
    <w:rsid w:val="007E25B9"/>
    <w:rsid w:val="007E6471"/>
    <w:rsid w:val="007F0B9D"/>
    <w:rsid w:val="007F14FB"/>
    <w:rsid w:val="00801384"/>
    <w:rsid w:val="00802F39"/>
    <w:rsid w:val="00805969"/>
    <w:rsid w:val="0080683F"/>
    <w:rsid w:val="00806EDD"/>
    <w:rsid w:val="0082431E"/>
    <w:rsid w:val="00824E4B"/>
    <w:rsid w:val="00826A0C"/>
    <w:rsid w:val="00830464"/>
    <w:rsid w:val="00831927"/>
    <w:rsid w:val="00832AE4"/>
    <w:rsid w:val="008354AD"/>
    <w:rsid w:val="00851514"/>
    <w:rsid w:val="00851601"/>
    <w:rsid w:val="00852A04"/>
    <w:rsid w:val="00852DEB"/>
    <w:rsid w:val="00855774"/>
    <w:rsid w:val="00857672"/>
    <w:rsid w:val="008674E3"/>
    <w:rsid w:val="00867E84"/>
    <w:rsid w:val="00873645"/>
    <w:rsid w:val="00880709"/>
    <w:rsid w:val="00880ACE"/>
    <w:rsid w:val="00880B27"/>
    <w:rsid w:val="00885120"/>
    <w:rsid w:val="00885627"/>
    <w:rsid w:val="00895E9B"/>
    <w:rsid w:val="00897CB0"/>
    <w:rsid w:val="008A40A3"/>
    <w:rsid w:val="008A46FF"/>
    <w:rsid w:val="008A6200"/>
    <w:rsid w:val="008A66AC"/>
    <w:rsid w:val="008B65F8"/>
    <w:rsid w:val="008C19E7"/>
    <w:rsid w:val="008D1456"/>
    <w:rsid w:val="008D1E6F"/>
    <w:rsid w:val="008E513D"/>
    <w:rsid w:val="008F2C5D"/>
    <w:rsid w:val="008F63CA"/>
    <w:rsid w:val="0090223A"/>
    <w:rsid w:val="00902BB5"/>
    <w:rsid w:val="00906135"/>
    <w:rsid w:val="00907993"/>
    <w:rsid w:val="0091232E"/>
    <w:rsid w:val="00920A9B"/>
    <w:rsid w:val="00920C6E"/>
    <w:rsid w:val="009253D9"/>
    <w:rsid w:val="0092561C"/>
    <w:rsid w:val="00925730"/>
    <w:rsid w:val="00932490"/>
    <w:rsid w:val="00932B41"/>
    <w:rsid w:val="009368C3"/>
    <w:rsid w:val="0094649F"/>
    <w:rsid w:val="009464A7"/>
    <w:rsid w:val="00946888"/>
    <w:rsid w:val="00952AB1"/>
    <w:rsid w:val="00953982"/>
    <w:rsid w:val="00954C6F"/>
    <w:rsid w:val="00955726"/>
    <w:rsid w:val="00956D2B"/>
    <w:rsid w:val="00960F98"/>
    <w:rsid w:val="00961295"/>
    <w:rsid w:val="00964A37"/>
    <w:rsid w:val="00965DB6"/>
    <w:rsid w:val="00965F7E"/>
    <w:rsid w:val="009661A3"/>
    <w:rsid w:val="009667C7"/>
    <w:rsid w:val="00971484"/>
    <w:rsid w:val="009715B4"/>
    <w:rsid w:val="00975C0F"/>
    <w:rsid w:val="0097659D"/>
    <w:rsid w:val="00977772"/>
    <w:rsid w:val="00982689"/>
    <w:rsid w:val="0098731E"/>
    <w:rsid w:val="009926B6"/>
    <w:rsid w:val="00993632"/>
    <w:rsid w:val="009937E0"/>
    <w:rsid w:val="009A338E"/>
    <w:rsid w:val="009B1CDE"/>
    <w:rsid w:val="009B666C"/>
    <w:rsid w:val="009B75BF"/>
    <w:rsid w:val="009C00DA"/>
    <w:rsid w:val="009C3361"/>
    <w:rsid w:val="009C4399"/>
    <w:rsid w:val="009C5018"/>
    <w:rsid w:val="009D12E8"/>
    <w:rsid w:val="009D17EF"/>
    <w:rsid w:val="009D6C03"/>
    <w:rsid w:val="009E1D79"/>
    <w:rsid w:val="009E65DC"/>
    <w:rsid w:val="009F1929"/>
    <w:rsid w:val="009F594A"/>
    <w:rsid w:val="009F5F3F"/>
    <w:rsid w:val="009F6476"/>
    <w:rsid w:val="00A01D37"/>
    <w:rsid w:val="00A02347"/>
    <w:rsid w:val="00A06093"/>
    <w:rsid w:val="00A07A6F"/>
    <w:rsid w:val="00A1091B"/>
    <w:rsid w:val="00A109C6"/>
    <w:rsid w:val="00A10A11"/>
    <w:rsid w:val="00A1578D"/>
    <w:rsid w:val="00A15C1C"/>
    <w:rsid w:val="00A17286"/>
    <w:rsid w:val="00A20C07"/>
    <w:rsid w:val="00A21CE5"/>
    <w:rsid w:val="00A2489D"/>
    <w:rsid w:val="00A327F6"/>
    <w:rsid w:val="00A43AFD"/>
    <w:rsid w:val="00A442CF"/>
    <w:rsid w:val="00A44ECC"/>
    <w:rsid w:val="00A51146"/>
    <w:rsid w:val="00A57D4B"/>
    <w:rsid w:val="00A62ABF"/>
    <w:rsid w:val="00A7019E"/>
    <w:rsid w:val="00A73016"/>
    <w:rsid w:val="00A76A82"/>
    <w:rsid w:val="00A76C5C"/>
    <w:rsid w:val="00A80308"/>
    <w:rsid w:val="00A81FFC"/>
    <w:rsid w:val="00A82E3B"/>
    <w:rsid w:val="00A84FDB"/>
    <w:rsid w:val="00A86B2F"/>
    <w:rsid w:val="00A8793F"/>
    <w:rsid w:val="00A90F25"/>
    <w:rsid w:val="00A97842"/>
    <w:rsid w:val="00AA00C0"/>
    <w:rsid w:val="00AA1666"/>
    <w:rsid w:val="00AA3D1E"/>
    <w:rsid w:val="00AA56AC"/>
    <w:rsid w:val="00AB0E85"/>
    <w:rsid w:val="00AB462C"/>
    <w:rsid w:val="00AB7223"/>
    <w:rsid w:val="00AC193D"/>
    <w:rsid w:val="00AC7940"/>
    <w:rsid w:val="00AD19E0"/>
    <w:rsid w:val="00AD365A"/>
    <w:rsid w:val="00AD4060"/>
    <w:rsid w:val="00AD4158"/>
    <w:rsid w:val="00AD4464"/>
    <w:rsid w:val="00AE2D47"/>
    <w:rsid w:val="00AE43D6"/>
    <w:rsid w:val="00AE6358"/>
    <w:rsid w:val="00AE6736"/>
    <w:rsid w:val="00AF079D"/>
    <w:rsid w:val="00AF3E95"/>
    <w:rsid w:val="00AF41E1"/>
    <w:rsid w:val="00AF5CA9"/>
    <w:rsid w:val="00B005B5"/>
    <w:rsid w:val="00B01459"/>
    <w:rsid w:val="00B02847"/>
    <w:rsid w:val="00B06309"/>
    <w:rsid w:val="00B11339"/>
    <w:rsid w:val="00B15AD0"/>
    <w:rsid w:val="00B15BDA"/>
    <w:rsid w:val="00B15C5A"/>
    <w:rsid w:val="00B169A0"/>
    <w:rsid w:val="00B23807"/>
    <w:rsid w:val="00B24B08"/>
    <w:rsid w:val="00B254FF"/>
    <w:rsid w:val="00B25CA7"/>
    <w:rsid w:val="00B26B79"/>
    <w:rsid w:val="00B30B9D"/>
    <w:rsid w:val="00B3241B"/>
    <w:rsid w:val="00B331DE"/>
    <w:rsid w:val="00B35B11"/>
    <w:rsid w:val="00B36E19"/>
    <w:rsid w:val="00B40CF5"/>
    <w:rsid w:val="00B41824"/>
    <w:rsid w:val="00B46C1C"/>
    <w:rsid w:val="00B47D6E"/>
    <w:rsid w:val="00B50585"/>
    <w:rsid w:val="00B5085B"/>
    <w:rsid w:val="00B5467F"/>
    <w:rsid w:val="00B57D95"/>
    <w:rsid w:val="00B61C0C"/>
    <w:rsid w:val="00B62174"/>
    <w:rsid w:val="00B65451"/>
    <w:rsid w:val="00B70649"/>
    <w:rsid w:val="00B70904"/>
    <w:rsid w:val="00B7779D"/>
    <w:rsid w:val="00B80F6E"/>
    <w:rsid w:val="00B82C9B"/>
    <w:rsid w:val="00B83A19"/>
    <w:rsid w:val="00B87B12"/>
    <w:rsid w:val="00B92183"/>
    <w:rsid w:val="00B92548"/>
    <w:rsid w:val="00B92F1F"/>
    <w:rsid w:val="00B96C3E"/>
    <w:rsid w:val="00B96D42"/>
    <w:rsid w:val="00B975F2"/>
    <w:rsid w:val="00BA23C3"/>
    <w:rsid w:val="00BA5F05"/>
    <w:rsid w:val="00BB1251"/>
    <w:rsid w:val="00BB144D"/>
    <w:rsid w:val="00BB541E"/>
    <w:rsid w:val="00BB60D6"/>
    <w:rsid w:val="00BB7705"/>
    <w:rsid w:val="00BC1801"/>
    <w:rsid w:val="00BC23E3"/>
    <w:rsid w:val="00BC3E67"/>
    <w:rsid w:val="00BD0315"/>
    <w:rsid w:val="00BD35D8"/>
    <w:rsid w:val="00BD40C8"/>
    <w:rsid w:val="00BD437B"/>
    <w:rsid w:val="00BE1CB2"/>
    <w:rsid w:val="00BE49BF"/>
    <w:rsid w:val="00BE77F7"/>
    <w:rsid w:val="00BE7A99"/>
    <w:rsid w:val="00BF00AE"/>
    <w:rsid w:val="00BF18DC"/>
    <w:rsid w:val="00BF45D8"/>
    <w:rsid w:val="00BF7D04"/>
    <w:rsid w:val="00C002DB"/>
    <w:rsid w:val="00C06F0A"/>
    <w:rsid w:val="00C103AD"/>
    <w:rsid w:val="00C11874"/>
    <w:rsid w:val="00C26650"/>
    <w:rsid w:val="00C31189"/>
    <w:rsid w:val="00C404EB"/>
    <w:rsid w:val="00C45AC9"/>
    <w:rsid w:val="00C53FB9"/>
    <w:rsid w:val="00C55C23"/>
    <w:rsid w:val="00C55F21"/>
    <w:rsid w:val="00C5797D"/>
    <w:rsid w:val="00C613CE"/>
    <w:rsid w:val="00C650C5"/>
    <w:rsid w:val="00C73750"/>
    <w:rsid w:val="00C73DE8"/>
    <w:rsid w:val="00C75E3D"/>
    <w:rsid w:val="00C81C6B"/>
    <w:rsid w:val="00C81D18"/>
    <w:rsid w:val="00C81F81"/>
    <w:rsid w:val="00C82083"/>
    <w:rsid w:val="00C85C7D"/>
    <w:rsid w:val="00C92E87"/>
    <w:rsid w:val="00C94ADB"/>
    <w:rsid w:val="00C94D42"/>
    <w:rsid w:val="00C94F2F"/>
    <w:rsid w:val="00CA0E59"/>
    <w:rsid w:val="00CA24B4"/>
    <w:rsid w:val="00CA27DC"/>
    <w:rsid w:val="00CA41F7"/>
    <w:rsid w:val="00CA5D25"/>
    <w:rsid w:val="00CA6B4A"/>
    <w:rsid w:val="00CA6F54"/>
    <w:rsid w:val="00CA7E3B"/>
    <w:rsid w:val="00CB291F"/>
    <w:rsid w:val="00CB34BC"/>
    <w:rsid w:val="00CB72CC"/>
    <w:rsid w:val="00CC320E"/>
    <w:rsid w:val="00CC5417"/>
    <w:rsid w:val="00CC5480"/>
    <w:rsid w:val="00CD2BEF"/>
    <w:rsid w:val="00CD50B1"/>
    <w:rsid w:val="00CE435B"/>
    <w:rsid w:val="00CE43E1"/>
    <w:rsid w:val="00CE530B"/>
    <w:rsid w:val="00CE63DB"/>
    <w:rsid w:val="00CE7C6D"/>
    <w:rsid w:val="00CF55C8"/>
    <w:rsid w:val="00CF5F14"/>
    <w:rsid w:val="00D01AB6"/>
    <w:rsid w:val="00D0211A"/>
    <w:rsid w:val="00D046C6"/>
    <w:rsid w:val="00D046F1"/>
    <w:rsid w:val="00D04F1C"/>
    <w:rsid w:val="00D07EB8"/>
    <w:rsid w:val="00D13683"/>
    <w:rsid w:val="00D146BD"/>
    <w:rsid w:val="00D166F9"/>
    <w:rsid w:val="00D167BF"/>
    <w:rsid w:val="00D22681"/>
    <w:rsid w:val="00D22AC7"/>
    <w:rsid w:val="00D2308A"/>
    <w:rsid w:val="00D26334"/>
    <w:rsid w:val="00D31F45"/>
    <w:rsid w:val="00D35C63"/>
    <w:rsid w:val="00D373E2"/>
    <w:rsid w:val="00D4240B"/>
    <w:rsid w:val="00D4273F"/>
    <w:rsid w:val="00D44E5A"/>
    <w:rsid w:val="00D57E74"/>
    <w:rsid w:val="00D57F00"/>
    <w:rsid w:val="00D61255"/>
    <w:rsid w:val="00D619AB"/>
    <w:rsid w:val="00D623D8"/>
    <w:rsid w:val="00D63892"/>
    <w:rsid w:val="00D654A8"/>
    <w:rsid w:val="00D70256"/>
    <w:rsid w:val="00D73535"/>
    <w:rsid w:val="00D75992"/>
    <w:rsid w:val="00D76315"/>
    <w:rsid w:val="00D80FBD"/>
    <w:rsid w:val="00D81FAD"/>
    <w:rsid w:val="00D84097"/>
    <w:rsid w:val="00D8419E"/>
    <w:rsid w:val="00D85EFE"/>
    <w:rsid w:val="00D85FDA"/>
    <w:rsid w:val="00D87DAF"/>
    <w:rsid w:val="00D91A06"/>
    <w:rsid w:val="00D9380E"/>
    <w:rsid w:val="00D94656"/>
    <w:rsid w:val="00D97E3F"/>
    <w:rsid w:val="00DA104A"/>
    <w:rsid w:val="00DA5F58"/>
    <w:rsid w:val="00DB007B"/>
    <w:rsid w:val="00DB1C32"/>
    <w:rsid w:val="00DB2F2A"/>
    <w:rsid w:val="00DC0085"/>
    <w:rsid w:val="00DC17C3"/>
    <w:rsid w:val="00DC2D95"/>
    <w:rsid w:val="00DC49FD"/>
    <w:rsid w:val="00DC5ACF"/>
    <w:rsid w:val="00DD25AE"/>
    <w:rsid w:val="00DD4193"/>
    <w:rsid w:val="00DD4DDC"/>
    <w:rsid w:val="00DD65DA"/>
    <w:rsid w:val="00DE12D5"/>
    <w:rsid w:val="00DE4010"/>
    <w:rsid w:val="00DF4529"/>
    <w:rsid w:val="00DF5F89"/>
    <w:rsid w:val="00DF7B7C"/>
    <w:rsid w:val="00E03BC8"/>
    <w:rsid w:val="00E0689A"/>
    <w:rsid w:val="00E10116"/>
    <w:rsid w:val="00E10301"/>
    <w:rsid w:val="00E1042B"/>
    <w:rsid w:val="00E10CC7"/>
    <w:rsid w:val="00E10FD6"/>
    <w:rsid w:val="00E12C52"/>
    <w:rsid w:val="00E144F9"/>
    <w:rsid w:val="00E154BB"/>
    <w:rsid w:val="00E16C47"/>
    <w:rsid w:val="00E209D4"/>
    <w:rsid w:val="00E24444"/>
    <w:rsid w:val="00E25C3F"/>
    <w:rsid w:val="00E25D63"/>
    <w:rsid w:val="00E32682"/>
    <w:rsid w:val="00E35493"/>
    <w:rsid w:val="00E35E71"/>
    <w:rsid w:val="00E36342"/>
    <w:rsid w:val="00E405B6"/>
    <w:rsid w:val="00E405C5"/>
    <w:rsid w:val="00E4119F"/>
    <w:rsid w:val="00E41630"/>
    <w:rsid w:val="00E44CDE"/>
    <w:rsid w:val="00E52B01"/>
    <w:rsid w:val="00E53BFA"/>
    <w:rsid w:val="00E5446C"/>
    <w:rsid w:val="00E552E6"/>
    <w:rsid w:val="00E577F6"/>
    <w:rsid w:val="00E611F8"/>
    <w:rsid w:val="00E621E1"/>
    <w:rsid w:val="00E62628"/>
    <w:rsid w:val="00E64137"/>
    <w:rsid w:val="00E64963"/>
    <w:rsid w:val="00E67C9F"/>
    <w:rsid w:val="00E74015"/>
    <w:rsid w:val="00E75ACA"/>
    <w:rsid w:val="00E80E0C"/>
    <w:rsid w:val="00E821F9"/>
    <w:rsid w:val="00E827C1"/>
    <w:rsid w:val="00E83783"/>
    <w:rsid w:val="00E84574"/>
    <w:rsid w:val="00E86260"/>
    <w:rsid w:val="00E866C6"/>
    <w:rsid w:val="00E97DED"/>
    <w:rsid w:val="00E97E60"/>
    <w:rsid w:val="00EA72D1"/>
    <w:rsid w:val="00EB139C"/>
    <w:rsid w:val="00EC15F6"/>
    <w:rsid w:val="00EC5820"/>
    <w:rsid w:val="00EC6643"/>
    <w:rsid w:val="00EC6D8C"/>
    <w:rsid w:val="00EC6F29"/>
    <w:rsid w:val="00ED029D"/>
    <w:rsid w:val="00ED11CD"/>
    <w:rsid w:val="00ED3995"/>
    <w:rsid w:val="00ED7CE4"/>
    <w:rsid w:val="00EE402C"/>
    <w:rsid w:val="00EE4E8D"/>
    <w:rsid w:val="00EE5673"/>
    <w:rsid w:val="00EE56AE"/>
    <w:rsid w:val="00EE67EA"/>
    <w:rsid w:val="00EF7463"/>
    <w:rsid w:val="00F049DE"/>
    <w:rsid w:val="00F11002"/>
    <w:rsid w:val="00F17013"/>
    <w:rsid w:val="00F215A0"/>
    <w:rsid w:val="00F226FD"/>
    <w:rsid w:val="00F24B9B"/>
    <w:rsid w:val="00F2527F"/>
    <w:rsid w:val="00F265DF"/>
    <w:rsid w:val="00F268FD"/>
    <w:rsid w:val="00F27A97"/>
    <w:rsid w:val="00F327F5"/>
    <w:rsid w:val="00F33B33"/>
    <w:rsid w:val="00F36722"/>
    <w:rsid w:val="00F374A4"/>
    <w:rsid w:val="00F37CBA"/>
    <w:rsid w:val="00F40467"/>
    <w:rsid w:val="00F4508D"/>
    <w:rsid w:val="00F47016"/>
    <w:rsid w:val="00F63D06"/>
    <w:rsid w:val="00F67913"/>
    <w:rsid w:val="00F6792C"/>
    <w:rsid w:val="00F74B0F"/>
    <w:rsid w:val="00F857F3"/>
    <w:rsid w:val="00F9265F"/>
    <w:rsid w:val="00F95D83"/>
    <w:rsid w:val="00F97FE1"/>
    <w:rsid w:val="00FA4B9B"/>
    <w:rsid w:val="00FA5943"/>
    <w:rsid w:val="00FB11D8"/>
    <w:rsid w:val="00FB2393"/>
    <w:rsid w:val="00FB52CB"/>
    <w:rsid w:val="00FC17DC"/>
    <w:rsid w:val="00FC70DB"/>
    <w:rsid w:val="00FD72D8"/>
    <w:rsid w:val="00FE09D7"/>
    <w:rsid w:val="00FE20A8"/>
    <w:rsid w:val="00FE3106"/>
    <w:rsid w:val="00FE55D2"/>
    <w:rsid w:val="00FF0F7C"/>
    <w:rsid w:val="00FF1A0B"/>
    <w:rsid w:val="00FF2F67"/>
    <w:rsid w:val="00FF3081"/>
    <w:rsid w:val="00FF4191"/>
    <w:rsid w:val="00FF6E58"/>
    <w:rsid w:val="00FF7EB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FC60F"/>
  <w15:docId w15:val="{86AFA64C-D2D1-40F4-B3DD-E82BB433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FD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81C6B"/>
    <w:rPr>
      <w:color w:val="0563C1" w:themeColor="hyperlink"/>
      <w:u w:val="single"/>
    </w:rPr>
  </w:style>
  <w:style w:type="character" w:customStyle="1" w:styleId="MenoPendente1">
    <w:name w:val="Menção Pendente1"/>
    <w:basedOn w:val="Fontepargpadro"/>
    <w:uiPriority w:val="99"/>
    <w:semiHidden/>
    <w:unhideWhenUsed/>
    <w:rsid w:val="00C81C6B"/>
    <w:rPr>
      <w:color w:val="605E5C"/>
      <w:shd w:val="clear" w:color="auto" w:fill="E1DFDD"/>
    </w:rPr>
  </w:style>
  <w:style w:type="paragraph" w:styleId="Textodenotaderodap">
    <w:name w:val="footnote text"/>
    <w:aliases w:val=" Char Char,Char Char, Char Char Char Char,Nota de rodapé,fn,ALTS FOOTNOTE,Footnote Text Char,footnote text char, Char3,Char3,Texto de rodapé,Char3 Char Char Char Char, Char3 Char Char Char Char, Char3 Char Char,Char3 Char Char,f"/>
    <w:basedOn w:val="Normal"/>
    <w:link w:val="TextodenotaderodapChar"/>
    <w:uiPriority w:val="99"/>
    <w:qFormat/>
    <w:rsid w:val="00B15AD0"/>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aliases w:val=" Char Char Char,Char Char Char, Char Char Char Char Char,Nota de rodapé Char,fn Char,ALTS FOOTNOTE Char,Footnote Text Char Char,footnote text char Char, Char3 Char,Char3 Char,Texto de rodapé Char, Char3 Char Char Char,f Char"/>
    <w:basedOn w:val="Fontepargpadro"/>
    <w:link w:val="Textodenotaderodap"/>
    <w:uiPriority w:val="99"/>
    <w:qFormat/>
    <w:rsid w:val="00B15AD0"/>
    <w:rPr>
      <w:rFonts w:ascii="Times New Roman" w:eastAsia="Times New Roman" w:hAnsi="Times New Roman" w:cs="Times New Roman"/>
      <w:sz w:val="20"/>
      <w:szCs w:val="20"/>
      <w:lang w:eastAsia="pt-BR"/>
    </w:rPr>
  </w:style>
  <w:style w:type="character" w:styleId="Refdenotaderodap">
    <w:name w:val="footnote reference"/>
    <w:aliases w:val="sobrescrito,Ref,de nota al pie,FC,_Footnote Reference,_Footnote text,_Footnote,_Footnote Text,_Footnote base Reference,Footnote symbol,Style 12,(NECG) Footnote Reference,Referência de rodapé,Ref. de nota de rodapé monografia.,fr,o"/>
    <w:link w:val="frCharChar1"/>
    <w:uiPriority w:val="99"/>
    <w:qFormat/>
    <w:rsid w:val="00B15AD0"/>
    <w:rPr>
      <w:vertAlign w:val="superscript"/>
    </w:rPr>
  </w:style>
  <w:style w:type="paragraph" w:styleId="Cabealho">
    <w:name w:val="header"/>
    <w:basedOn w:val="Normal"/>
    <w:link w:val="CabealhoChar"/>
    <w:uiPriority w:val="99"/>
    <w:unhideWhenUsed/>
    <w:rsid w:val="00A327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327F6"/>
  </w:style>
  <w:style w:type="paragraph" w:styleId="Rodap">
    <w:name w:val="footer"/>
    <w:basedOn w:val="Normal"/>
    <w:link w:val="RodapChar"/>
    <w:uiPriority w:val="99"/>
    <w:unhideWhenUsed/>
    <w:rsid w:val="00A327F6"/>
    <w:pPr>
      <w:tabs>
        <w:tab w:val="center" w:pos="4252"/>
        <w:tab w:val="right" w:pos="8504"/>
      </w:tabs>
      <w:spacing w:after="0" w:line="240" w:lineRule="auto"/>
    </w:pPr>
  </w:style>
  <w:style w:type="character" w:customStyle="1" w:styleId="RodapChar">
    <w:name w:val="Rodapé Char"/>
    <w:basedOn w:val="Fontepargpadro"/>
    <w:link w:val="Rodap"/>
    <w:uiPriority w:val="99"/>
    <w:rsid w:val="00A327F6"/>
  </w:style>
  <w:style w:type="character" w:styleId="Refdecomentrio">
    <w:name w:val="annotation reference"/>
    <w:basedOn w:val="Fontepargpadro"/>
    <w:uiPriority w:val="99"/>
    <w:semiHidden/>
    <w:unhideWhenUsed/>
    <w:rsid w:val="00D87DAF"/>
    <w:rPr>
      <w:sz w:val="16"/>
      <w:szCs w:val="16"/>
    </w:rPr>
  </w:style>
  <w:style w:type="paragraph" w:styleId="Textodecomentrio">
    <w:name w:val="annotation text"/>
    <w:basedOn w:val="Normal"/>
    <w:link w:val="TextodecomentrioChar"/>
    <w:uiPriority w:val="99"/>
    <w:unhideWhenUsed/>
    <w:rsid w:val="00D87DAF"/>
    <w:pPr>
      <w:spacing w:line="240" w:lineRule="auto"/>
    </w:pPr>
    <w:rPr>
      <w:sz w:val="20"/>
      <w:szCs w:val="20"/>
    </w:rPr>
  </w:style>
  <w:style w:type="character" w:customStyle="1" w:styleId="TextodecomentrioChar">
    <w:name w:val="Texto de comentário Char"/>
    <w:basedOn w:val="Fontepargpadro"/>
    <w:link w:val="Textodecomentrio"/>
    <w:uiPriority w:val="99"/>
    <w:rsid w:val="00D87DAF"/>
    <w:rPr>
      <w:sz w:val="20"/>
      <w:szCs w:val="20"/>
    </w:rPr>
  </w:style>
  <w:style w:type="paragraph" w:styleId="Assuntodocomentrio">
    <w:name w:val="annotation subject"/>
    <w:basedOn w:val="Textodecomentrio"/>
    <w:next w:val="Textodecomentrio"/>
    <w:link w:val="AssuntodocomentrioChar"/>
    <w:uiPriority w:val="99"/>
    <w:semiHidden/>
    <w:unhideWhenUsed/>
    <w:rsid w:val="00D87DAF"/>
    <w:rPr>
      <w:b/>
      <w:bCs/>
    </w:rPr>
  </w:style>
  <w:style w:type="character" w:customStyle="1" w:styleId="AssuntodocomentrioChar">
    <w:name w:val="Assunto do comentário Char"/>
    <w:basedOn w:val="TextodecomentrioChar"/>
    <w:link w:val="Assuntodocomentrio"/>
    <w:uiPriority w:val="99"/>
    <w:semiHidden/>
    <w:rsid w:val="00D87DAF"/>
    <w:rPr>
      <w:b/>
      <w:bCs/>
      <w:sz w:val="20"/>
      <w:szCs w:val="20"/>
    </w:rPr>
  </w:style>
  <w:style w:type="paragraph" w:styleId="Textodebalo">
    <w:name w:val="Balloon Text"/>
    <w:basedOn w:val="Normal"/>
    <w:link w:val="TextodebaloChar"/>
    <w:uiPriority w:val="99"/>
    <w:semiHidden/>
    <w:unhideWhenUsed/>
    <w:rsid w:val="002628D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628DD"/>
    <w:rPr>
      <w:rFonts w:ascii="Segoe UI" w:hAnsi="Segoe UI" w:cs="Segoe UI"/>
      <w:sz w:val="18"/>
      <w:szCs w:val="18"/>
    </w:rPr>
  </w:style>
  <w:style w:type="paragraph" w:customStyle="1" w:styleId="recmenor">
    <w:name w:val="rec menor"/>
    <w:basedOn w:val="Normal"/>
    <w:uiPriority w:val="99"/>
    <w:rsid w:val="00C92E87"/>
    <w:pPr>
      <w:widowControl w:val="0"/>
      <w:suppressAutoHyphens/>
      <w:autoSpaceDE w:val="0"/>
      <w:autoSpaceDN w:val="0"/>
      <w:adjustRightInd w:val="0"/>
      <w:spacing w:before="170" w:after="283" w:line="220" w:lineRule="atLeast"/>
      <w:ind w:left="454" w:right="397"/>
      <w:jc w:val="both"/>
      <w:textAlignment w:val="center"/>
    </w:pPr>
    <w:rPr>
      <w:rFonts w:ascii="MinionPro-Regular" w:eastAsiaTheme="minorEastAsia" w:hAnsi="MinionPro-Regular" w:cs="MinionPro-Regular"/>
      <w:color w:val="000000"/>
      <w:w w:val="101"/>
      <w:sz w:val="20"/>
      <w:szCs w:val="20"/>
      <w:lang w:eastAsia="pt-BR"/>
    </w:rPr>
  </w:style>
  <w:style w:type="paragraph" w:customStyle="1" w:styleId="nota">
    <w:name w:val="nota"/>
    <w:basedOn w:val="Normal"/>
    <w:uiPriority w:val="99"/>
    <w:rsid w:val="00C92E87"/>
    <w:pPr>
      <w:widowControl w:val="0"/>
      <w:tabs>
        <w:tab w:val="left" w:pos="320"/>
      </w:tabs>
      <w:autoSpaceDE w:val="0"/>
      <w:autoSpaceDN w:val="0"/>
      <w:adjustRightInd w:val="0"/>
      <w:spacing w:after="57" w:line="200" w:lineRule="atLeast"/>
      <w:ind w:left="227" w:hanging="227"/>
      <w:jc w:val="both"/>
      <w:textAlignment w:val="center"/>
    </w:pPr>
    <w:rPr>
      <w:rFonts w:ascii="MyriadPro-Regular" w:eastAsiaTheme="minorEastAsia" w:hAnsi="MyriadPro-Regular" w:cs="MyriadPro-Regular"/>
      <w:color w:val="000000"/>
      <w:sz w:val="17"/>
      <w:szCs w:val="17"/>
      <w:lang w:eastAsia="pt-BR"/>
    </w:rPr>
  </w:style>
  <w:style w:type="character" w:customStyle="1" w:styleId="italico">
    <w:name w:val="italico"/>
    <w:uiPriority w:val="99"/>
    <w:rsid w:val="00C92E87"/>
    <w:rPr>
      <w:i/>
      <w:color w:val="000000"/>
    </w:rPr>
  </w:style>
  <w:style w:type="character" w:customStyle="1" w:styleId="elevado">
    <w:name w:val="elevado"/>
    <w:uiPriority w:val="99"/>
    <w:rsid w:val="00C92E87"/>
    <w:rPr>
      <w:color w:val="000000"/>
      <w:vertAlign w:val="superscript"/>
    </w:rPr>
  </w:style>
  <w:style w:type="paragraph" w:customStyle="1" w:styleId="t">
    <w:name w:val="t"/>
    <w:basedOn w:val="Normal"/>
    <w:next w:val="Normal"/>
    <w:rsid w:val="00D167BF"/>
    <w:pPr>
      <w:widowControl w:val="0"/>
      <w:autoSpaceDE w:val="0"/>
      <w:autoSpaceDN w:val="0"/>
      <w:adjustRightInd w:val="0"/>
      <w:spacing w:after="57" w:line="240" w:lineRule="atLeast"/>
      <w:ind w:firstLine="454"/>
      <w:jc w:val="both"/>
      <w:textAlignment w:val="center"/>
    </w:pPr>
    <w:rPr>
      <w:rFonts w:ascii="MinionPro-Regular" w:eastAsiaTheme="minorEastAsia" w:hAnsi="MinionPro-Regular" w:cs="MinionPro-Regular"/>
      <w:color w:val="000000"/>
      <w:sz w:val="21"/>
      <w:szCs w:val="21"/>
      <w:lang w:eastAsia="pt-BR"/>
    </w:rPr>
  </w:style>
  <w:style w:type="paragraph" w:styleId="PargrafodaLista">
    <w:name w:val="List Paragraph"/>
    <w:basedOn w:val="Normal"/>
    <w:uiPriority w:val="34"/>
    <w:qFormat/>
    <w:rsid w:val="00FC17DC"/>
    <w:pPr>
      <w:ind w:left="720"/>
      <w:contextualSpacing/>
    </w:pPr>
  </w:style>
  <w:style w:type="paragraph" w:styleId="Reviso">
    <w:name w:val="Revision"/>
    <w:hidden/>
    <w:uiPriority w:val="99"/>
    <w:semiHidden/>
    <w:rsid w:val="00174761"/>
    <w:pPr>
      <w:spacing w:after="0" w:line="240" w:lineRule="auto"/>
    </w:pPr>
  </w:style>
  <w:style w:type="paragraph" w:customStyle="1" w:styleId="recmenorfim">
    <w:name w:val="rec menor fim"/>
    <w:basedOn w:val="t"/>
    <w:uiPriority w:val="99"/>
    <w:rsid w:val="00A97842"/>
    <w:pPr>
      <w:suppressAutoHyphens/>
      <w:spacing w:after="283" w:line="220" w:lineRule="atLeast"/>
      <w:ind w:left="454" w:right="397" w:firstLine="0"/>
    </w:pPr>
    <w:rPr>
      <w:rFonts w:eastAsia="Times New Roman"/>
      <w:sz w:val="20"/>
      <w:szCs w:val="20"/>
    </w:rPr>
  </w:style>
  <w:style w:type="paragraph" w:customStyle="1" w:styleId="recmenorinicio">
    <w:name w:val="rec menor inicio"/>
    <w:basedOn w:val="t"/>
    <w:uiPriority w:val="99"/>
    <w:rsid w:val="00A97842"/>
    <w:pPr>
      <w:suppressAutoHyphens/>
      <w:spacing w:before="170" w:line="220" w:lineRule="atLeast"/>
      <w:ind w:left="454" w:right="397" w:firstLine="0"/>
    </w:pPr>
    <w:rPr>
      <w:rFonts w:eastAsia="Times New Roman"/>
      <w:sz w:val="20"/>
      <w:szCs w:val="20"/>
    </w:rPr>
  </w:style>
  <w:style w:type="paragraph" w:customStyle="1" w:styleId="recmenormeio">
    <w:name w:val="rec menor meio"/>
    <w:basedOn w:val="t"/>
    <w:uiPriority w:val="99"/>
    <w:rsid w:val="00A97842"/>
    <w:pPr>
      <w:suppressAutoHyphens/>
      <w:spacing w:line="220" w:lineRule="atLeast"/>
      <w:ind w:left="454" w:right="397" w:firstLine="0"/>
    </w:pPr>
    <w:rPr>
      <w:rFonts w:eastAsia="Times New Roman"/>
      <w:sz w:val="20"/>
      <w:szCs w:val="20"/>
    </w:rPr>
  </w:style>
  <w:style w:type="paragraph" w:customStyle="1" w:styleId="07-Citaolegal-CLG">
    <w:name w:val="07 - Citação legal - CLG"/>
    <w:qFormat/>
    <w:rsid w:val="00E5446C"/>
    <w:pPr>
      <w:spacing w:after="120" w:line="240" w:lineRule="auto"/>
      <w:ind w:left="1985" w:firstLine="567"/>
      <w:jc w:val="both"/>
    </w:pPr>
    <w:rPr>
      <w:rFonts w:ascii="Times New Roman" w:eastAsia="Times New Roman" w:hAnsi="Times New Roman" w:cs="Times New Roman"/>
      <w:bCs/>
      <w:sz w:val="24"/>
      <w:szCs w:val="20"/>
      <w:lang w:eastAsia="pt-BR"/>
    </w:rPr>
  </w:style>
  <w:style w:type="character" w:customStyle="1" w:styleId="MenoPendente2">
    <w:name w:val="Menção Pendente2"/>
    <w:basedOn w:val="Fontepargpadro"/>
    <w:uiPriority w:val="99"/>
    <w:semiHidden/>
    <w:unhideWhenUsed/>
    <w:rsid w:val="008B65F8"/>
    <w:rPr>
      <w:color w:val="605E5C"/>
      <w:shd w:val="clear" w:color="auto" w:fill="E1DFDD"/>
    </w:rPr>
  </w:style>
  <w:style w:type="paragraph" w:customStyle="1" w:styleId="05-PargrafodetextoPROJETO-CLG">
    <w:name w:val="05 - Parágrafo de texto PROJETO- CLG"/>
    <w:qFormat/>
    <w:rsid w:val="00B62174"/>
    <w:pPr>
      <w:spacing w:after="360" w:line="240" w:lineRule="auto"/>
      <w:ind w:firstLine="1418"/>
      <w:jc w:val="both"/>
    </w:pPr>
    <w:rPr>
      <w:rFonts w:ascii="Times New Roman" w:eastAsia="Times New Roman" w:hAnsi="Times New Roman" w:cs="Times New Roman"/>
      <w:sz w:val="28"/>
      <w:szCs w:val="20"/>
      <w:lang w:eastAsia="pt-BR"/>
    </w:rPr>
  </w:style>
  <w:style w:type="paragraph" w:customStyle="1" w:styleId="frCharChar1">
    <w:name w:val="fr Char Char1"/>
    <w:aliases w:val="fr Char Char Char, Char Char6 Char Char Char Char Char Char Char Char Char Char Char, Char6 Char Char Char Char Char Char Char Char Char Char Char Char,Char Char6 Char Char Char Char Char Char Char Char Char Char Char"/>
    <w:basedOn w:val="Normal"/>
    <w:link w:val="Refdenotaderodap"/>
    <w:uiPriority w:val="99"/>
    <w:rsid w:val="00B62174"/>
    <w:pPr>
      <w:spacing w:after="120" w:line="360" w:lineRule="auto"/>
      <w:jc w:val="center"/>
    </w:pPr>
    <w:rPr>
      <w:vertAlign w:val="superscript"/>
    </w:rPr>
  </w:style>
  <w:style w:type="paragraph" w:styleId="Textodenotadefim">
    <w:name w:val="endnote text"/>
    <w:basedOn w:val="Normal"/>
    <w:link w:val="TextodenotadefimChar"/>
    <w:uiPriority w:val="99"/>
    <w:semiHidden/>
    <w:unhideWhenUsed/>
    <w:rsid w:val="00E4119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4119F"/>
    <w:rPr>
      <w:sz w:val="20"/>
      <w:szCs w:val="20"/>
    </w:rPr>
  </w:style>
  <w:style w:type="character" w:styleId="Refdenotadefim">
    <w:name w:val="endnote reference"/>
    <w:basedOn w:val="Fontepargpadro"/>
    <w:uiPriority w:val="99"/>
    <w:semiHidden/>
    <w:unhideWhenUsed/>
    <w:rsid w:val="00E4119F"/>
    <w:rPr>
      <w:vertAlign w:val="superscript"/>
    </w:rPr>
  </w:style>
  <w:style w:type="paragraph" w:customStyle="1" w:styleId="boxiniciorec">
    <w:name w:val="box inicio_rec"/>
    <w:basedOn w:val="Normal"/>
    <w:uiPriority w:val="99"/>
    <w:rsid w:val="00F049DE"/>
    <w:pPr>
      <w:widowControl w:val="0"/>
      <w:shd w:val="clear" w:color="auto" w:fill="000000"/>
      <w:autoSpaceDE w:val="0"/>
      <w:autoSpaceDN w:val="0"/>
      <w:adjustRightInd w:val="0"/>
      <w:spacing w:before="283" w:after="57" w:line="220" w:lineRule="atLeast"/>
      <w:ind w:left="850" w:right="454" w:hanging="283"/>
      <w:jc w:val="both"/>
      <w:textAlignment w:val="center"/>
    </w:pPr>
    <w:rPr>
      <w:rFonts w:ascii="MyriadPro-Regular" w:eastAsia="Times New Roman" w:hAnsi="MyriadPro-Regular" w:cs="MyriadPro-Regular"/>
      <w:color w:val="000000"/>
      <w:sz w:val="20"/>
      <w:szCs w:val="20"/>
      <w:lang w:eastAsia="pt-BR"/>
    </w:rPr>
  </w:style>
  <w:style w:type="paragraph" w:customStyle="1" w:styleId="boxfinalrec">
    <w:name w:val="box final_rec"/>
    <w:basedOn w:val="Normal"/>
    <w:uiPriority w:val="99"/>
    <w:rsid w:val="00F049DE"/>
    <w:pPr>
      <w:widowControl w:val="0"/>
      <w:shd w:val="clear" w:color="auto" w:fill="000000"/>
      <w:autoSpaceDE w:val="0"/>
      <w:autoSpaceDN w:val="0"/>
      <w:adjustRightInd w:val="0"/>
      <w:spacing w:after="283" w:line="220" w:lineRule="atLeast"/>
      <w:ind w:left="850" w:right="454" w:hanging="283"/>
      <w:jc w:val="both"/>
      <w:textAlignment w:val="center"/>
    </w:pPr>
    <w:rPr>
      <w:rFonts w:ascii="MyriadPro-Regular" w:eastAsia="Times New Roman" w:hAnsi="MyriadPro-Regular" w:cs="MyriadPro-Regular"/>
      <w:color w:val="000000"/>
      <w:sz w:val="20"/>
      <w:szCs w:val="20"/>
      <w:lang w:eastAsia="pt-BR"/>
    </w:rPr>
  </w:style>
  <w:style w:type="paragraph" w:styleId="Recuodecorpodetexto">
    <w:name w:val="Body Text Indent"/>
    <w:basedOn w:val="Normal"/>
    <w:link w:val="RecuodecorpodetextoChar"/>
    <w:uiPriority w:val="99"/>
    <w:unhideWhenUsed/>
    <w:rsid w:val="00B254FF"/>
    <w:pPr>
      <w:widowControl w:val="0"/>
      <w:autoSpaceDE w:val="0"/>
      <w:autoSpaceDN w:val="0"/>
      <w:spacing w:after="120" w:line="240" w:lineRule="auto"/>
      <w:ind w:left="283"/>
    </w:pPr>
    <w:rPr>
      <w:rFonts w:ascii="Arial MT" w:eastAsia="Arial MT" w:hAnsi="Arial MT" w:cs="Arial MT"/>
      <w:lang w:val="pt-PT"/>
    </w:rPr>
  </w:style>
  <w:style w:type="character" w:customStyle="1" w:styleId="RecuodecorpodetextoChar">
    <w:name w:val="Recuo de corpo de texto Char"/>
    <w:basedOn w:val="Fontepargpadro"/>
    <w:link w:val="Recuodecorpodetexto"/>
    <w:uiPriority w:val="99"/>
    <w:rsid w:val="00B254FF"/>
    <w:rPr>
      <w:rFonts w:ascii="Arial MT" w:eastAsia="Arial MT" w:hAnsi="Arial MT" w:cs="Arial MT"/>
      <w:lang w:val="pt-PT"/>
    </w:rPr>
  </w:style>
  <w:style w:type="paragraph" w:styleId="NormalWeb">
    <w:name w:val="Normal (Web)"/>
    <w:basedOn w:val="Normal"/>
    <w:uiPriority w:val="99"/>
    <w:semiHidden/>
    <w:unhideWhenUsed/>
    <w:rsid w:val="009937E0"/>
    <w:pPr>
      <w:spacing w:before="100" w:beforeAutospacing="1" w:after="100" w:afterAutospacing="1" w:line="240" w:lineRule="auto"/>
    </w:pPr>
    <w:rPr>
      <w:rFonts w:ascii="Times New Roman" w:hAnsi="Times New Roman" w:cs="Times New Roman"/>
      <w:kern w:val="2"/>
      <w:sz w:val="24"/>
      <w:szCs w:val="24"/>
      <w:lang w:eastAsia="pt-B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8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66612-ADC3-4909-A7BB-1E8403B5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1465</Words>
  <Characters>7915</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lider</dc:creator>
  <cp:lastModifiedBy>Flávio Tartuce</cp:lastModifiedBy>
  <cp:revision>12</cp:revision>
  <dcterms:created xsi:type="dcterms:W3CDTF">2026-08-22T13:32:00Z</dcterms:created>
  <dcterms:modified xsi:type="dcterms:W3CDTF">2026-08-23T15:14:00Z</dcterms:modified>
</cp:coreProperties>
</file>