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F59" w:rsidRPr="00264A05" w:rsidRDefault="00984C5F" w:rsidP="00984C5F">
      <w:pPr>
        <w:pStyle w:val="t"/>
        <w:spacing w:before="120" w:after="120" w:line="360" w:lineRule="auto"/>
        <w:ind w:firstLine="0"/>
        <w:jc w:val="center"/>
        <w:rPr>
          <w:rFonts w:ascii="Times New Roman" w:hAnsi="Times New Roman" w:cs="Times New Roman"/>
          <w:b/>
          <w:sz w:val="24"/>
          <w:szCs w:val="24"/>
        </w:rPr>
      </w:pPr>
      <w:r w:rsidRPr="00264A05">
        <w:rPr>
          <w:rFonts w:ascii="Times New Roman" w:hAnsi="Times New Roman" w:cs="Times New Roman"/>
          <w:b/>
          <w:sz w:val="24"/>
          <w:szCs w:val="24"/>
        </w:rPr>
        <w:t xml:space="preserve">A REFORMA DO CÓDIGO CIVIL E </w:t>
      </w:r>
      <w:r w:rsidR="00125F59" w:rsidRPr="00264A05">
        <w:rPr>
          <w:rFonts w:ascii="Times New Roman" w:hAnsi="Times New Roman" w:cs="Times New Roman"/>
          <w:b/>
          <w:sz w:val="24"/>
          <w:szCs w:val="24"/>
        </w:rPr>
        <w:t xml:space="preserve">OS </w:t>
      </w:r>
      <w:r w:rsidR="00125F59" w:rsidRPr="00264A05">
        <w:rPr>
          <w:rFonts w:ascii="Times New Roman" w:hAnsi="Times New Roman" w:cs="Times New Roman"/>
          <w:b/>
          <w:i/>
          <w:sz w:val="24"/>
          <w:szCs w:val="24"/>
        </w:rPr>
        <w:t>ALIMENTOS FAMILIARES.</w:t>
      </w:r>
      <w:r w:rsidR="00125F59" w:rsidRPr="00264A05">
        <w:rPr>
          <w:rFonts w:ascii="Times New Roman" w:hAnsi="Times New Roman" w:cs="Times New Roman"/>
          <w:b/>
          <w:sz w:val="24"/>
          <w:szCs w:val="24"/>
        </w:rPr>
        <w:t xml:space="preserve"> </w:t>
      </w:r>
    </w:p>
    <w:p w:rsidR="00984C5F" w:rsidRPr="00264A05" w:rsidRDefault="00125F59" w:rsidP="00984C5F">
      <w:pPr>
        <w:pStyle w:val="t"/>
        <w:spacing w:before="120" w:after="120" w:line="360" w:lineRule="auto"/>
        <w:ind w:firstLine="0"/>
        <w:jc w:val="center"/>
        <w:rPr>
          <w:rFonts w:ascii="Times New Roman" w:hAnsi="Times New Roman" w:cs="Times New Roman"/>
          <w:b/>
          <w:sz w:val="24"/>
          <w:szCs w:val="24"/>
        </w:rPr>
      </w:pPr>
      <w:r w:rsidRPr="00264A05">
        <w:rPr>
          <w:rFonts w:ascii="Times New Roman" w:hAnsi="Times New Roman" w:cs="Times New Roman"/>
          <w:b/>
          <w:sz w:val="24"/>
          <w:szCs w:val="24"/>
        </w:rPr>
        <w:t xml:space="preserve">O POLÊMICO ART. 1.698 </w:t>
      </w:r>
    </w:p>
    <w:p w:rsidR="004B0C73" w:rsidRPr="00264A05" w:rsidRDefault="004B0C73" w:rsidP="003B2F06"/>
    <w:p w:rsidR="00B27CE0" w:rsidRPr="00264A05" w:rsidRDefault="00B27CE0" w:rsidP="003B2F06"/>
    <w:p w:rsidR="001C3F0B" w:rsidRPr="00264A05" w:rsidRDefault="001C3F0B" w:rsidP="003B6A73">
      <w:pPr>
        <w:jc w:val="right"/>
      </w:pPr>
    </w:p>
    <w:p w:rsidR="00470DA9" w:rsidRPr="00264A05" w:rsidRDefault="00470DA9" w:rsidP="00470DA9">
      <w:pPr>
        <w:spacing w:before="120" w:after="120" w:line="360" w:lineRule="auto"/>
        <w:jc w:val="right"/>
        <w:rPr>
          <w:bCs/>
        </w:rPr>
      </w:pPr>
      <w:r w:rsidRPr="00264A05">
        <w:rPr>
          <w:bCs/>
        </w:rPr>
        <w:t>Flávio Tartuce</w:t>
      </w:r>
      <w:r w:rsidRPr="00264A05">
        <w:rPr>
          <w:bCs/>
          <w:vertAlign w:val="superscript"/>
        </w:rPr>
        <w:footnoteReference w:id="1"/>
      </w:r>
    </w:p>
    <w:p w:rsidR="002116B9" w:rsidRPr="00264A05" w:rsidRDefault="002116B9" w:rsidP="002116B9"/>
    <w:p w:rsidR="005F4DB7" w:rsidRPr="00264A05" w:rsidRDefault="00984C5F" w:rsidP="00FC5D2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Seguindo na análise de algumas das propostas formuladas pelas Comissão de Juristas nomeada no âmbito do Senado Federal para</w:t>
      </w:r>
      <w:r w:rsidR="00000FCE" w:rsidRPr="00264A05">
        <w:rPr>
          <w:rFonts w:ascii="Times New Roman" w:hAnsi="Times New Roman" w:cs="Times New Roman"/>
          <w:sz w:val="24"/>
          <w:szCs w:val="24"/>
        </w:rPr>
        <w:t xml:space="preserve"> a</w:t>
      </w:r>
      <w:r w:rsidRPr="00264A05">
        <w:rPr>
          <w:rFonts w:ascii="Times New Roman" w:hAnsi="Times New Roman" w:cs="Times New Roman"/>
          <w:sz w:val="24"/>
          <w:szCs w:val="24"/>
        </w:rPr>
        <w:t xml:space="preserve"> Reforma do Código Civil, </w:t>
      </w:r>
      <w:r w:rsidR="002E4732" w:rsidRPr="00264A05">
        <w:rPr>
          <w:rFonts w:ascii="Times New Roman" w:hAnsi="Times New Roman" w:cs="Times New Roman"/>
          <w:sz w:val="24"/>
          <w:szCs w:val="24"/>
        </w:rPr>
        <w:t xml:space="preserve">hoje tratarei do conteúdo e das proposições relativas ao polêmico e intrincado art. 1.698 da Lei Geral Privada, que tem atualmente a seguinte redação: "se o parente, que deve alimentos em primeiro lugar, não estiver em condições de suportar totalmente o encargo, serão chamados a concorrer os de grau imediato; sendo várias as pessoas obrigadas a prestar alimentos, todas devem concorrer na proporção dos respectivos recursos, e, intentada ação contra uma delas, poderão as demais ser chamadas a integrar a lide". </w:t>
      </w:r>
    </w:p>
    <w:p w:rsidR="008D567B"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Como se sabe, nos termos desse dispositivo, a obrigação relativa aos </w:t>
      </w:r>
      <w:r w:rsidRPr="00264A05">
        <w:rPr>
          <w:rFonts w:ascii="Times New Roman" w:hAnsi="Times New Roman" w:cs="Times New Roman"/>
          <w:i/>
          <w:sz w:val="24"/>
          <w:szCs w:val="24"/>
        </w:rPr>
        <w:t>alimentos familiares</w:t>
      </w:r>
      <w:r w:rsidRPr="00264A05">
        <w:rPr>
          <w:rFonts w:ascii="Times New Roman" w:hAnsi="Times New Roman" w:cs="Times New Roman"/>
          <w:sz w:val="24"/>
          <w:szCs w:val="24"/>
        </w:rPr>
        <w:t xml:space="preserve"> é, em regra, divisível, o que pode ser retirado do conteúdo da norma transcrita e também de outros dispositivos da codificação privada, caso dos seus arts. 1.696 e 1.697. Como a solidariedade não se presume, por força do art. 265 do Código Civil, haveria a necessidade de a lei prever em sentido geral que a obrigação não é fracionária ou divisível, cabendo sempre uma </w:t>
      </w:r>
      <w:r w:rsidRPr="00264A05">
        <w:rPr>
          <w:rFonts w:ascii="Times New Roman" w:hAnsi="Times New Roman" w:cs="Times New Roman"/>
          <w:i/>
          <w:sz w:val="24"/>
          <w:szCs w:val="24"/>
        </w:rPr>
        <w:t>opção de demanda</w:t>
      </w:r>
      <w:r w:rsidRPr="00264A05">
        <w:rPr>
          <w:rFonts w:ascii="Times New Roman" w:hAnsi="Times New Roman" w:cs="Times New Roman"/>
          <w:sz w:val="24"/>
          <w:szCs w:val="24"/>
        </w:rPr>
        <w:t xml:space="preserve"> em relação aos devedores, o que não ocorre. </w:t>
      </w:r>
    </w:p>
    <w:p w:rsidR="002E473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Lembro que tal prerrogativa jurídica possibilita que o credor ingresse com ação em face de um, alguns ou todos os devedores, estando consagrada no art. 275, </w:t>
      </w:r>
      <w:r w:rsidRPr="00264A05">
        <w:rPr>
          <w:rFonts w:ascii="Times New Roman" w:hAnsi="Times New Roman" w:cs="Times New Roman"/>
          <w:i/>
          <w:sz w:val="24"/>
          <w:szCs w:val="24"/>
        </w:rPr>
        <w:t>caput,</w:t>
      </w:r>
      <w:r w:rsidRPr="00264A05">
        <w:rPr>
          <w:rFonts w:ascii="Times New Roman" w:hAnsi="Times New Roman" w:cs="Times New Roman"/>
          <w:sz w:val="24"/>
          <w:szCs w:val="24"/>
        </w:rPr>
        <w:t xml:space="preserve"> do Código Civil, </w:t>
      </w:r>
      <w:r w:rsidRPr="00264A05">
        <w:rPr>
          <w:rFonts w:ascii="Times New Roman" w:hAnsi="Times New Roman" w:cs="Times New Roman"/>
          <w:i/>
          <w:sz w:val="24"/>
          <w:szCs w:val="24"/>
        </w:rPr>
        <w:t>in verbis</w:t>
      </w:r>
      <w:r w:rsidRPr="00264A05">
        <w:rPr>
          <w:rFonts w:ascii="Times New Roman" w:hAnsi="Times New Roman" w:cs="Times New Roman"/>
          <w:sz w:val="24"/>
          <w:szCs w:val="24"/>
        </w:rPr>
        <w:t>:</w:t>
      </w:r>
      <w:r w:rsidR="00264A05" w:rsidRPr="00264A05">
        <w:rPr>
          <w:rFonts w:ascii="Times New Roman" w:hAnsi="Times New Roman" w:cs="Times New Roman"/>
          <w:sz w:val="24"/>
          <w:szCs w:val="24"/>
        </w:rPr>
        <w:t xml:space="preserve"> </w:t>
      </w:r>
      <w:r w:rsidRPr="00264A05">
        <w:rPr>
          <w:rFonts w:ascii="Times New Roman" w:hAnsi="Times New Roman" w:cs="Times New Roman"/>
          <w:sz w:val="24"/>
          <w:szCs w:val="24"/>
        </w:rPr>
        <w:t xml:space="preserve">"o credor tem direito a exigir e receber de um ou de alguns dos devedores, parcial ou totalmente, a dívida comum; se o pagamento tiver sido parcial, todos os demais devedores continuam obrigados solidariamente pelo resto". </w:t>
      </w:r>
    </w:p>
    <w:p w:rsidR="002E473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lastRenderedPageBreak/>
        <w:t xml:space="preserve">Em verdade, a única previsão legal de solidariedade passiva na obrigação de alimentos familiares é colocada pelo sistema jurídico brasileiro em favor do idoso, conforme estabelece o art. 12 da Lei n. 10.741/2011: “a obrigação alimentar é solidária, podendo a pessoa idosa optar entre os prestadores”. Mesmo sendo essa a opção legislativa, parece-me que a solução de divisibilidade como premissa geral afronta a solidariedade constitucional, o que tenho defendido há tempos. </w:t>
      </w:r>
    </w:p>
    <w:p w:rsidR="002E473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A melhor solução, portanto, seria consagrar</w:t>
      </w:r>
      <w:r w:rsidR="00000FCE" w:rsidRPr="00264A05">
        <w:rPr>
          <w:rFonts w:ascii="Times New Roman" w:hAnsi="Times New Roman" w:cs="Times New Roman"/>
          <w:sz w:val="24"/>
          <w:szCs w:val="24"/>
        </w:rPr>
        <w:t xml:space="preserve"> a</w:t>
      </w:r>
      <w:r w:rsidRPr="00264A05">
        <w:rPr>
          <w:rFonts w:ascii="Times New Roman" w:hAnsi="Times New Roman" w:cs="Times New Roman"/>
          <w:sz w:val="24"/>
          <w:szCs w:val="24"/>
        </w:rPr>
        <w:t xml:space="preserve"> solidariedade passiva dos devedores como regra geral, o que facilitaria o recebimento do crédito alimentar pelo credor, em patente situação de vulnerabilidade. Por isso fiz proposição nesse sentido para a Comissão de Juristas encarregada da Reforma do Código Civil, o que acabou não prevalecendo na votação final, tema que será analisado mais à frente. </w:t>
      </w:r>
    </w:p>
    <w:p w:rsidR="002E473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Em verdade, o sistema jurídico nacional parece hoje desequilibrado e injusto, ao proteger pela solidariedade passiva alimentar apenas o idoso, merecendo uma urgente reforma legislativa. Não se justifica a falta de proteção de outros vulneráveis, caso das crianças e dos adolescentes, de pessoas com deficiência e das mulheres sob violência doméstica. E não se olvide que o alimentando constitui um vulnerável por excelência, o que justifica a existência de todo o aparato legal protetivo e o fundamento da matéria em normas de ordem pública e interesse social, a incluir a possibilidade de prisão civil do devedor e o uso de medidas processuais atípicas do art. 139, inc. IV, do CPC/2015.</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 Sendo assim, a título de exemplo que sempre utilizo, se um pai não idoso necessita de alimentos</w:t>
      </w:r>
      <w:r w:rsidR="00000FCE" w:rsidRPr="00264A05">
        <w:rPr>
          <w:rFonts w:ascii="Times New Roman" w:hAnsi="Times New Roman" w:cs="Times New Roman"/>
          <w:sz w:val="24"/>
          <w:szCs w:val="24"/>
        </w:rPr>
        <w:t>,</w:t>
      </w:r>
      <w:r w:rsidRPr="00264A05">
        <w:rPr>
          <w:rFonts w:ascii="Times New Roman" w:hAnsi="Times New Roman" w:cs="Times New Roman"/>
          <w:sz w:val="24"/>
          <w:szCs w:val="24"/>
        </w:rPr>
        <w:t xml:space="preserve"> tem quatro filhos em condições de prestá-los e quer receber a integralidade do valor alimentar, a ação de alimentos deverá ser proposta em face de todos, em </w:t>
      </w:r>
      <w:r w:rsidRPr="00264A05">
        <w:rPr>
          <w:rFonts w:ascii="Times New Roman" w:hAnsi="Times New Roman" w:cs="Times New Roman"/>
          <w:i/>
          <w:sz w:val="24"/>
          <w:szCs w:val="24"/>
        </w:rPr>
        <w:t>litisconsórcio passivo necessário</w:t>
      </w:r>
      <w:r w:rsidRPr="00264A05">
        <w:rPr>
          <w:rFonts w:ascii="Times New Roman" w:hAnsi="Times New Roman" w:cs="Times New Roman"/>
          <w:sz w:val="24"/>
          <w:szCs w:val="24"/>
        </w:rPr>
        <w:t xml:space="preserve">. Entretanto, como a obrigação é divisível, esse pai pode optar </w:t>
      </w:r>
      <w:r w:rsidR="00000FCE" w:rsidRPr="00264A05">
        <w:rPr>
          <w:rFonts w:ascii="Times New Roman" w:hAnsi="Times New Roman" w:cs="Times New Roman"/>
          <w:sz w:val="24"/>
          <w:szCs w:val="24"/>
        </w:rPr>
        <w:t xml:space="preserve">por </w:t>
      </w:r>
      <w:r w:rsidRPr="00264A05">
        <w:rPr>
          <w:rFonts w:ascii="Times New Roman" w:hAnsi="Times New Roman" w:cs="Times New Roman"/>
          <w:sz w:val="24"/>
          <w:szCs w:val="24"/>
        </w:rPr>
        <w:t xml:space="preserve">receber de um ou alguns dos filhos, havendo </w:t>
      </w:r>
      <w:r w:rsidRPr="00264A05">
        <w:rPr>
          <w:rFonts w:ascii="Times New Roman" w:hAnsi="Times New Roman" w:cs="Times New Roman"/>
          <w:i/>
          <w:sz w:val="24"/>
          <w:szCs w:val="24"/>
        </w:rPr>
        <w:t>litisconsórcio passivo facultativo</w:t>
      </w:r>
      <w:r w:rsidRPr="00264A05">
        <w:rPr>
          <w:rFonts w:ascii="Times New Roman" w:hAnsi="Times New Roman" w:cs="Times New Roman"/>
          <w:sz w:val="24"/>
          <w:szCs w:val="24"/>
        </w:rPr>
        <w:t xml:space="preserve">, até porque cabem ações em separado.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Ainda </w:t>
      </w:r>
      <w:r w:rsidR="002E4732" w:rsidRPr="00264A05">
        <w:rPr>
          <w:rFonts w:ascii="Times New Roman" w:hAnsi="Times New Roman" w:cs="Times New Roman"/>
          <w:sz w:val="24"/>
          <w:szCs w:val="24"/>
        </w:rPr>
        <w:t xml:space="preserve">a título de exemplo, com a vitória da multiparentalidade no julgamento do Tema n. 622 de repercussão geral do STF, presente a socioafetividade, o filho terá que promover a ação de alimentos contra o pai biológico e o pai socioafetivo, havendo vínculo com ambos e condições iguais </w:t>
      </w:r>
      <w:r w:rsidR="0004323C" w:rsidRPr="00264A05">
        <w:rPr>
          <w:rFonts w:ascii="Times New Roman" w:hAnsi="Times New Roman" w:cs="Times New Roman"/>
          <w:sz w:val="24"/>
          <w:szCs w:val="24"/>
        </w:rPr>
        <w:t xml:space="preserve">de </w:t>
      </w:r>
      <w:r w:rsidR="002E4732" w:rsidRPr="00264A05">
        <w:rPr>
          <w:rFonts w:ascii="Times New Roman" w:hAnsi="Times New Roman" w:cs="Times New Roman"/>
          <w:sz w:val="24"/>
          <w:szCs w:val="24"/>
        </w:rPr>
        <w:t xml:space="preserve">prestar os alimentos. Pela tese ali firmada, fica cristalina essa possibilidade de demanda alimentar contra os dois ou mais pais. Nas situações descritas, caso a ação seja proposta em face de apenas um dos filhos ou um dos pais – socioafetivo ou biológico –, caberá a aplicação do polêmico e tão </w:t>
      </w:r>
      <w:r w:rsidR="002E4732" w:rsidRPr="00264A05">
        <w:rPr>
          <w:rFonts w:ascii="Times New Roman" w:hAnsi="Times New Roman" w:cs="Times New Roman"/>
          <w:sz w:val="24"/>
          <w:szCs w:val="24"/>
        </w:rPr>
        <w:lastRenderedPageBreak/>
        <w:t>criticado art. 1.698 do C</w:t>
      </w:r>
      <w:r w:rsidRPr="00264A05">
        <w:rPr>
          <w:rFonts w:ascii="Times New Roman" w:hAnsi="Times New Roman" w:cs="Times New Roman"/>
          <w:sz w:val="24"/>
          <w:szCs w:val="24"/>
        </w:rPr>
        <w:t xml:space="preserve">ódigo Civil.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Como visto, a norma preceitua que</w:t>
      </w:r>
      <w:r w:rsidR="00000FCE" w:rsidRPr="00264A05">
        <w:rPr>
          <w:rFonts w:ascii="Times New Roman" w:hAnsi="Times New Roman" w:cs="Times New Roman"/>
          <w:sz w:val="24"/>
          <w:szCs w:val="24"/>
        </w:rPr>
        <w:t>,</w:t>
      </w:r>
      <w:r w:rsidRPr="00264A05">
        <w:rPr>
          <w:rFonts w:ascii="Times New Roman" w:hAnsi="Times New Roman" w:cs="Times New Roman"/>
          <w:sz w:val="24"/>
          <w:szCs w:val="24"/>
        </w:rPr>
        <w:t xml:space="preserve"> </w:t>
      </w:r>
      <w:r w:rsidR="002E4732" w:rsidRPr="00264A05">
        <w:rPr>
          <w:rFonts w:ascii="Times New Roman" w:hAnsi="Times New Roman" w:cs="Times New Roman"/>
          <w:sz w:val="24"/>
          <w:szCs w:val="24"/>
        </w:rPr>
        <w:t xml:space="preserve">se o parente que deve alimentos em primeiro lugar não estiver em condições de suportar totalmente o encargo, serão chamados a concorrer os </w:t>
      </w:r>
      <w:r w:rsidRPr="00264A05">
        <w:rPr>
          <w:rFonts w:ascii="Times New Roman" w:hAnsi="Times New Roman" w:cs="Times New Roman"/>
          <w:sz w:val="24"/>
          <w:szCs w:val="24"/>
        </w:rPr>
        <w:t xml:space="preserve">parentes </w:t>
      </w:r>
      <w:r w:rsidR="002E4732" w:rsidRPr="00264A05">
        <w:rPr>
          <w:rFonts w:ascii="Times New Roman" w:hAnsi="Times New Roman" w:cs="Times New Roman"/>
          <w:sz w:val="24"/>
          <w:szCs w:val="24"/>
        </w:rPr>
        <w:t xml:space="preserve">de grau imediato. E mais, sendo várias as pessoas obrigadas a prestar alimentos, todas devem concorrer na </w:t>
      </w:r>
      <w:r w:rsidR="002E4732" w:rsidRPr="00264A05">
        <w:rPr>
          <w:rFonts w:ascii="Times New Roman" w:hAnsi="Times New Roman" w:cs="Times New Roman"/>
          <w:i/>
          <w:sz w:val="24"/>
          <w:szCs w:val="24"/>
        </w:rPr>
        <w:t xml:space="preserve">proporção </w:t>
      </w:r>
      <w:r w:rsidR="002E4732" w:rsidRPr="00264A05">
        <w:rPr>
          <w:rFonts w:ascii="Times New Roman" w:hAnsi="Times New Roman" w:cs="Times New Roman"/>
          <w:sz w:val="24"/>
          <w:szCs w:val="24"/>
        </w:rPr>
        <w:t>dos respectivos recursos</w:t>
      </w:r>
      <w:r w:rsidRPr="00264A05">
        <w:rPr>
          <w:rFonts w:ascii="Times New Roman" w:hAnsi="Times New Roman" w:cs="Times New Roman"/>
          <w:sz w:val="24"/>
          <w:szCs w:val="24"/>
        </w:rPr>
        <w:t xml:space="preserve">. Ainda, sendo </w:t>
      </w:r>
      <w:r w:rsidR="002E4732" w:rsidRPr="00264A05">
        <w:rPr>
          <w:rFonts w:ascii="Times New Roman" w:hAnsi="Times New Roman" w:cs="Times New Roman"/>
          <w:sz w:val="24"/>
          <w:szCs w:val="24"/>
        </w:rPr>
        <w:t xml:space="preserve">intentada </w:t>
      </w:r>
      <w:r w:rsidRPr="00264A05">
        <w:rPr>
          <w:rFonts w:ascii="Times New Roman" w:hAnsi="Times New Roman" w:cs="Times New Roman"/>
          <w:sz w:val="24"/>
          <w:szCs w:val="24"/>
        </w:rPr>
        <w:t xml:space="preserve">a </w:t>
      </w:r>
      <w:r w:rsidR="002E4732" w:rsidRPr="00264A05">
        <w:rPr>
          <w:rFonts w:ascii="Times New Roman" w:hAnsi="Times New Roman" w:cs="Times New Roman"/>
          <w:sz w:val="24"/>
          <w:szCs w:val="24"/>
        </w:rPr>
        <w:t xml:space="preserve">ação </w:t>
      </w:r>
      <w:r w:rsidRPr="00264A05">
        <w:rPr>
          <w:rFonts w:ascii="Times New Roman" w:hAnsi="Times New Roman" w:cs="Times New Roman"/>
          <w:sz w:val="24"/>
          <w:szCs w:val="24"/>
        </w:rPr>
        <w:t xml:space="preserve">de alimentos </w:t>
      </w:r>
      <w:r w:rsidR="002E4732" w:rsidRPr="00264A05">
        <w:rPr>
          <w:rFonts w:ascii="Times New Roman" w:hAnsi="Times New Roman" w:cs="Times New Roman"/>
          <w:sz w:val="24"/>
          <w:szCs w:val="24"/>
        </w:rPr>
        <w:t xml:space="preserve">contra uma delas, poderão as demais ser chamadas a integrar a lide.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Ora, a</w:t>
      </w:r>
      <w:r w:rsidR="002E4732" w:rsidRPr="00264A05">
        <w:rPr>
          <w:rFonts w:ascii="Times New Roman" w:hAnsi="Times New Roman" w:cs="Times New Roman"/>
          <w:sz w:val="24"/>
          <w:szCs w:val="24"/>
        </w:rPr>
        <w:t xml:space="preserve"> segunda parte do comando deixa clara a mencionada divisibilidade da obrigação, aplicando-se a máxima </w:t>
      </w:r>
      <w:r w:rsidR="002E4732" w:rsidRPr="00264A05">
        <w:rPr>
          <w:rFonts w:ascii="Times New Roman" w:hAnsi="Times New Roman" w:cs="Times New Roman"/>
          <w:i/>
          <w:sz w:val="24"/>
          <w:szCs w:val="24"/>
        </w:rPr>
        <w:t>concursu partes fiunt</w:t>
      </w:r>
      <w:r w:rsidR="002E4732" w:rsidRPr="00264A05">
        <w:rPr>
          <w:rFonts w:ascii="Times New Roman" w:hAnsi="Times New Roman" w:cs="Times New Roman"/>
          <w:sz w:val="24"/>
          <w:szCs w:val="24"/>
        </w:rPr>
        <w:t xml:space="preserve">, de divisão igualitária de acordo com o número de devedores, dedução de fracionamento que é retirada do art. 258 do CC/2002. Doutrinariamente, na </w:t>
      </w:r>
      <w:r w:rsidR="002E4732" w:rsidRPr="00264A05">
        <w:rPr>
          <w:rFonts w:ascii="Times New Roman" w:hAnsi="Times New Roman" w:cs="Times New Roman"/>
          <w:i/>
          <w:sz w:val="24"/>
          <w:szCs w:val="24"/>
        </w:rPr>
        <w:t>IV Jornada de Direito Civil</w:t>
      </w:r>
      <w:r w:rsidR="002E4732" w:rsidRPr="00264A05">
        <w:rPr>
          <w:rFonts w:ascii="Times New Roman" w:hAnsi="Times New Roman" w:cs="Times New Roman"/>
          <w:sz w:val="24"/>
          <w:szCs w:val="24"/>
        </w:rPr>
        <w:t>, foi aprovado o Enunciado n. 342 do Conselho da Justiça, tratando da responsabilidade subsidiária dos demais parentes, caso dos avós, que figuram na grande maioria dos casos analisados pela jurisprudência</w:t>
      </w:r>
      <w:r w:rsidR="00000FCE" w:rsidRPr="00264A05">
        <w:rPr>
          <w:rFonts w:ascii="Times New Roman" w:hAnsi="Times New Roman" w:cs="Times New Roman"/>
          <w:sz w:val="24"/>
          <w:szCs w:val="24"/>
        </w:rPr>
        <w:t>,</w:t>
      </w:r>
      <w:r w:rsidR="002E4732" w:rsidRPr="00264A05">
        <w:rPr>
          <w:rFonts w:ascii="Times New Roman" w:hAnsi="Times New Roman" w:cs="Times New Roman"/>
          <w:sz w:val="24"/>
          <w:szCs w:val="24"/>
        </w:rPr>
        <w:t xml:space="preserve"> e com a seguinte redação: “</w:t>
      </w:r>
      <w:r w:rsidRPr="00264A05">
        <w:rPr>
          <w:rFonts w:ascii="Times New Roman" w:hAnsi="Times New Roman" w:cs="Times New Roman"/>
          <w:sz w:val="24"/>
          <w:szCs w:val="24"/>
        </w:rPr>
        <w:t>o</w:t>
      </w:r>
      <w:r w:rsidR="002E4732" w:rsidRPr="00264A05">
        <w:rPr>
          <w:rFonts w:ascii="Times New Roman" w:hAnsi="Times New Roman" w:cs="Times New Roman"/>
          <w:sz w:val="24"/>
          <w:szCs w:val="24"/>
        </w:rPr>
        <w:t xml:space="preserve">bservadas as suas condições pessoais e sociais, os avós somente serão obrigados a prestar alimentos aos netos em caráter exclusivo, sucessivo, complementar e não solidário, quando os pais destes estiverem impossibilitados de fazê-lo, caso em que as necessidades básicas dos alimentandos serão aferidas, prioritariamente, segundo o nível econômico-financeiro dos seus genitores”.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Sem prejuízo dessa </w:t>
      </w:r>
      <w:r w:rsidR="0039603A" w:rsidRPr="00264A05">
        <w:rPr>
          <w:rFonts w:ascii="Times New Roman" w:hAnsi="Times New Roman" w:cs="Times New Roman"/>
          <w:sz w:val="24"/>
          <w:szCs w:val="24"/>
        </w:rPr>
        <w:t xml:space="preserve">intrincada </w:t>
      </w:r>
      <w:r w:rsidRPr="00264A05">
        <w:rPr>
          <w:rFonts w:ascii="Times New Roman" w:hAnsi="Times New Roman" w:cs="Times New Roman"/>
          <w:sz w:val="24"/>
          <w:szCs w:val="24"/>
        </w:rPr>
        <w:t>questão, dúvidas fulcrais surgem do art. 1.698 do C</w:t>
      </w:r>
      <w:r w:rsidR="0039603A" w:rsidRPr="00264A05">
        <w:rPr>
          <w:rFonts w:ascii="Times New Roman" w:hAnsi="Times New Roman" w:cs="Times New Roman"/>
          <w:sz w:val="24"/>
          <w:szCs w:val="24"/>
        </w:rPr>
        <w:t>ódigo Civil</w:t>
      </w:r>
      <w:r w:rsidRPr="00264A05">
        <w:rPr>
          <w:rFonts w:ascii="Times New Roman" w:hAnsi="Times New Roman" w:cs="Times New Roman"/>
          <w:sz w:val="24"/>
          <w:szCs w:val="24"/>
        </w:rPr>
        <w:t xml:space="preserve">, especialmente no que toca a essa responsabilidade subsidiária de outros devedores, caso dos avós. A quem cabe a convocação? Qual o instrumento jurídico cabível para tanto?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Sigo </w:t>
      </w:r>
      <w:r w:rsidR="0039603A" w:rsidRPr="00264A05">
        <w:rPr>
          <w:rFonts w:ascii="Times New Roman" w:hAnsi="Times New Roman" w:cs="Times New Roman"/>
          <w:sz w:val="24"/>
          <w:szCs w:val="24"/>
        </w:rPr>
        <w:t xml:space="preserve">hoje </w:t>
      </w:r>
      <w:r w:rsidRPr="00264A05">
        <w:rPr>
          <w:rFonts w:ascii="Times New Roman" w:hAnsi="Times New Roman" w:cs="Times New Roman"/>
          <w:sz w:val="24"/>
          <w:szCs w:val="24"/>
        </w:rPr>
        <w:t xml:space="preserve">a corrente doutrinária </w:t>
      </w:r>
      <w:r w:rsidR="0039603A" w:rsidRPr="00264A05">
        <w:rPr>
          <w:rFonts w:ascii="Times New Roman" w:hAnsi="Times New Roman" w:cs="Times New Roman"/>
          <w:sz w:val="24"/>
          <w:szCs w:val="24"/>
        </w:rPr>
        <w:t xml:space="preserve">liderada por Fredie Didier Jr. e Rodrigo Reis Mazzei, </w:t>
      </w:r>
      <w:r w:rsidRPr="00264A05">
        <w:rPr>
          <w:rFonts w:ascii="Times New Roman" w:hAnsi="Times New Roman" w:cs="Times New Roman"/>
          <w:sz w:val="24"/>
          <w:szCs w:val="24"/>
        </w:rPr>
        <w:t xml:space="preserve">no sentido de haver um </w:t>
      </w:r>
      <w:r w:rsidRPr="00264A05">
        <w:rPr>
          <w:rFonts w:ascii="Times New Roman" w:hAnsi="Times New Roman" w:cs="Times New Roman"/>
          <w:i/>
          <w:sz w:val="24"/>
          <w:szCs w:val="24"/>
        </w:rPr>
        <w:t>litisconsórcio sucessivo-passivo</w:t>
      </w:r>
      <w:r w:rsidRPr="00264A05">
        <w:rPr>
          <w:rFonts w:ascii="Times New Roman" w:hAnsi="Times New Roman" w:cs="Times New Roman"/>
          <w:sz w:val="24"/>
          <w:szCs w:val="24"/>
        </w:rPr>
        <w:t xml:space="preserve">, pois se trata de uma situação de </w:t>
      </w:r>
      <w:r w:rsidRPr="00264A05">
        <w:rPr>
          <w:rFonts w:ascii="Times New Roman" w:hAnsi="Times New Roman" w:cs="Times New Roman"/>
          <w:i/>
          <w:sz w:val="24"/>
          <w:szCs w:val="24"/>
        </w:rPr>
        <w:t>responsabilidade subsidiária especial</w:t>
      </w:r>
      <w:r w:rsidRPr="00264A05">
        <w:rPr>
          <w:rFonts w:ascii="Times New Roman" w:hAnsi="Times New Roman" w:cs="Times New Roman"/>
          <w:sz w:val="24"/>
          <w:szCs w:val="24"/>
        </w:rPr>
        <w:t xml:space="preserve">. Sendo assim, essas </w:t>
      </w:r>
      <w:r w:rsidRPr="00264A05">
        <w:rPr>
          <w:rFonts w:ascii="Times New Roman" w:hAnsi="Times New Roman" w:cs="Times New Roman"/>
          <w:i/>
          <w:sz w:val="24"/>
          <w:szCs w:val="24"/>
        </w:rPr>
        <w:t>convocações</w:t>
      </w:r>
      <w:r w:rsidRPr="00264A05">
        <w:rPr>
          <w:rFonts w:ascii="Times New Roman" w:hAnsi="Times New Roman" w:cs="Times New Roman"/>
          <w:sz w:val="24"/>
          <w:szCs w:val="24"/>
        </w:rPr>
        <w:t xml:space="preserve"> dos demais parentes devedores serão formuladas pelo autor da ação e não pelo réu, como defendem alguns.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A título de exemplo, </w:t>
      </w:r>
      <w:r w:rsidR="0039603A" w:rsidRPr="00264A05">
        <w:rPr>
          <w:rFonts w:ascii="Times New Roman" w:hAnsi="Times New Roman" w:cs="Times New Roman"/>
          <w:sz w:val="24"/>
          <w:szCs w:val="24"/>
        </w:rPr>
        <w:t xml:space="preserve">imagine-se a comum situação prática em que </w:t>
      </w:r>
      <w:r w:rsidRPr="00264A05">
        <w:rPr>
          <w:rFonts w:ascii="Times New Roman" w:hAnsi="Times New Roman" w:cs="Times New Roman"/>
          <w:sz w:val="24"/>
          <w:szCs w:val="24"/>
        </w:rPr>
        <w:t xml:space="preserve">um filho pede alimentos ao pai. Após a contestação por este, mencionando que não tem condições de arcar integralmente com os alimentos, o autor da ação poderá requerer a inclusão do avô no polo passivo, com base no que consta do art. 1.698 do CC/2002.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lastRenderedPageBreak/>
        <w:t>Parece-me ser um equívoco dizer que a</w:t>
      </w:r>
      <w:r w:rsidRPr="00264A05">
        <w:rPr>
          <w:rFonts w:ascii="Times New Roman" w:hAnsi="Times New Roman" w:cs="Times New Roman"/>
          <w:i/>
          <w:sz w:val="24"/>
          <w:szCs w:val="24"/>
        </w:rPr>
        <w:t xml:space="preserve"> convocação</w:t>
      </w:r>
      <w:r w:rsidRPr="00264A05">
        <w:rPr>
          <w:rFonts w:ascii="Times New Roman" w:hAnsi="Times New Roman" w:cs="Times New Roman"/>
          <w:sz w:val="24"/>
          <w:szCs w:val="24"/>
        </w:rPr>
        <w:t xml:space="preserve"> dos demais devedores cabe ao réu, pois a legislação processual – seja a anterior ou a nova – não consagra essa forma de intervenção de terceiro. Em reforço, o atual Código Civil não menciona que a referida </w:t>
      </w:r>
      <w:r w:rsidRPr="00264A05">
        <w:rPr>
          <w:rFonts w:ascii="Times New Roman" w:hAnsi="Times New Roman" w:cs="Times New Roman"/>
          <w:i/>
          <w:sz w:val="24"/>
          <w:szCs w:val="24"/>
        </w:rPr>
        <w:t>convocação</w:t>
      </w:r>
      <w:r w:rsidRPr="00264A05">
        <w:rPr>
          <w:rFonts w:ascii="Times New Roman" w:hAnsi="Times New Roman" w:cs="Times New Roman"/>
          <w:sz w:val="24"/>
          <w:szCs w:val="24"/>
        </w:rPr>
        <w:t xml:space="preserve"> cabe ao demandado. </w:t>
      </w:r>
      <w:r w:rsidR="0039603A" w:rsidRPr="00264A05">
        <w:rPr>
          <w:rFonts w:ascii="Times New Roman" w:hAnsi="Times New Roman" w:cs="Times New Roman"/>
          <w:sz w:val="24"/>
          <w:szCs w:val="24"/>
        </w:rPr>
        <w:t>E</w:t>
      </w:r>
      <w:r w:rsidR="00000FCE" w:rsidRPr="00264A05">
        <w:rPr>
          <w:rFonts w:ascii="Times New Roman" w:hAnsi="Times New Roman" w:cs="Times New Roman"/>
          <w:sz w:val="24"/>
          <w:szCs w:val="24"/>
        </w:rPr>
        <w:t>,</w:t>
      </w:r>
      <w:r w:rsidR="0039603A" w:rsidRPr="00264A05">
        <w:rPr>
          <w:rFonts w:ascii="Times New Roman" w:hAnsi="Times New Roman" w:cs="Times New Roman"/>
          <w:sz w:val="24"/>
          <w:szCs w:val="24"/>
        </w:rPr>
        <w:t xml:space="preserve"> </w:t>
      </w:r>
      <w:r w:rsidRPr="00264A05">
        <w:rPr>
          <w:rFonts w:ascii="Times New Roman" w:hAnsi="Times New Roman" w:cs="Times New Roman"/>
          <w:sz w:val="24"/>
          <w:szCs w:val="24"/>
        </w:rPr>
        <w:t xml:space="preserve">do ponto de vista funcional, verifica-se que, por razões óbvias, se a convocação coubesse ao réu, geralmente o pai do autor, não iria ele indicar os avós paternos, mas, sim, os maternos.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Cabe ainda destacar que </w:t>
      </w:r>
      <w:r w:rsidR="002E4732" w:rsidRPr="00264A05">
        <w:rPr>
          <w:rFonts w:ascii="Times New Roman" w:hAnsi="Times New Roman" w:cs="Times New Roman"/>
          <w:sz w:val="24"/>
          <w:szCs w:val="24"/>
        </w:rPr>
        <w:t xml:space="preserve">a tese de </w:t>
      </w:r>
      <w:r w:rsidR="002E4732" w:rsidRPr="00264A05">
        <w:rPr>
          <w:rFonts w:ascii="Times New Roman" w:hAnsi="Times New Roman" w:cs="Times New Roman"/>
          <w:i/>
          <w:sz w:val="24"/>
          <w:szCs w:val="24"/>
        </w:rPr>
        <w:t>convocaçã</w:t>
      </w:r>
      <w:r w:rsidR="002E4732" w:rsidRPr="00264A05">
        <w:rPr>
          <w:rFonts w:ascii="Times New Roman" w:hAnsi="Times New Roman" w:cs="Times New Roman"/>
          <w:sz w:val="24"/>
          <w:szCs w:val="24"/>
        </w:rPr>
        <w:t xml:space="preserve">o pelo autor da ação de alimentos ganha força com o art. 238 do Estatuto Processual de 2015, segundo o qual a citação é o ato pelo qual são convocados o réu, o executado ou o interessado para integrar a relação processual. Consigne-se que o termo </w:t>
      </w:r>
      <w:r w:rsidR="002E4732" w:rsidRPr="00264A05">
        <w:rPr>
          <w:rFonts w:ascii="Times New Roman" w:hAnsi="Times New Roman" w:cs="Times New Roman"/>
          <w:i/>
          <w:sz w:val="24"/>
          <w:szCs w:val="24"/>
        </w:rPr>
        <w:t>convocados</w:t>
      </w:r>
      <w:r w:rsidR="002E4732" w:rsidRPr="00264A05">
        <w:rPr>
          <w:rFonts w:ascii="Times New Roman" w:hAnsi="Times New Roman" w:cs="Times New Roman"/>
          <w:sz w:val="24"/>
          <w:szCs w:val="24"/>
        </w:rPr>
        <w:t xml:space="preserve"> não constava do art. 213 do CPC/1973, seu correspondente, que utilizava a expressão “</w:t>
      </w:r>
      <w:r w:rsidR="002E4732" w:rsidRPr="00264A05">
        <w:rPr>
          <w:rFonts w:ascii="Times New Roman" w:hAnsi="Times New Roman" w:cs="Times New Roman"/>
          <w:i/>
          <w:sz w:val="24"/>
          <w:szCs w:val="24"/>
        </w:rPr>
        <w:t>se chama</w:t>
      </w:r>
      <w:r w:rsidR="002E4732" w:rsidRPr="00264A05">
        <w:rPr>
          <w:rFonts w:ascii="Times New Roman" w:hAnsi="Times New Roman" w:cs="Times New Roman"/>
          <w:sz w:val="24"/>
          <w:szCs w:val="24"/>
        </w:rPr>
        <w:t xml:space="preserve">”.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Não se pode negar, contudo, que é forte o entendimento doutrinário de que a convocação caberia ao réu, por meio de uma forma de intervenção de terceiros </w:t>
      </w:r>
      <w:r w:rsidRPr="00264A05">
        <w:rPr>
          <w:rFonts w:ascii="Times New Roman" w:hAnsi="Times New Roman" w:cs="Times New Roman"/>
          <w:i/>
          <w:sz w:val="24"/>
          <w:szCs w:val="24"/>
        </w:rPr>
        <w:t>sui generis</w:t>
      </w:r>
      <w:r w:rsidRPr="00264A05">
        <w:rPr>
          <w:rFonts w:ascii="Times New Roman" w:hAnsi="Times New Roman" w:cs="Times New Roman"/>
          <w:sz w:val="24"/>
          <w:szCs w:val="24"/>
        </w:rPr>
        <w:t xml:space="preserve">, atípica ou especial. </w:t>
      </w:r>
    </w:p>
    <w:p w:rsidR="0039603A" w:rsidRPr="00264A05" w:rsidRDefault="0039603A" w:rsidP="0039603A">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Doutrinariamente, h</w:t>
      </w:r>
      <w:r w:rsidR="002E4732" w:rsidRPr="00264A05">
        <w:rPr>
          <w:rFonts w:ascii="Times New Roman" w:hAnsi="Times New Roman" w:cs="Times New Roman"/>
          <w:sz w:val="24"/>
          <w:szCs w:val="24"/>
        </w:rPr>
        <w:t>á, ainda, quem sustente a extensão da regra de solidariedade, sendo cabível o chamamento ao processo tratado pelo art. 130, inc. III, do CPC/2015</w:t>
      </w:r>
      <w:r w:rsidR="00000FCE" w:rsidRPr="00264A05">
        <w:rPr>
          <w:rFonts w:ascii="Times New Roman" w:hAnsi="Times New Roman" w:cs="Times New Roman"/>
          <w:sz w:val="24"/>
          <w:szCs w:val="24"/>
        </w:rPr>
        <w:t xml:space="preserve">, </w:t>
      </w:r>
      <w:r w:rsidR="002E4732" w:rsidRPr="00264A05">
        <w:rPr>
          <w:rFonts w:ascii="Times New Roman" w:hAnsi="Times New Roman" w:cs="Times New Roman"/>
          <w:sz w:val="24"/>
          <w:szCs w:val="24"/>
        </w:rPr>
        <w:t xml:space="preserve">correspondente ao art. 77, inc. III, do CPC/1973. </w:t>
      </w:r>
      <w:r w:rsidRPr="00264A05">
        <w:rPr>
          <w:rFonts w:ascii="Times New Roman" w:hAnsi="Times New Roman" w:cs="Times New Roman"/>
          <w:sz w:val="24"/>
          <w:szCs w:val="24"/>
        </w:rPr>
        <w:t>Nos seus termos atuais, é admissível o chamamento ao processo, requerido pelo réu, "dos demais devedores solidários, quando o credor exigir de um ou de alguns o pagamento da dívida comum". Relembro, contudo, que a hipótese não é de responsabilidade passiva solidária, o que é um entrave para o chamamento ao processo, somente cabível quando o autor da ação de alimento</w:t>
      </w:r>
      <w:r w:rsidR="00000FCE" w:rsidRPr="00264A05">
        <w:rPr>
          <w:rFonts w:ascii="Times New Roman" w:hAnsi="Times New Roman" w:cs="Times New Roman"/>
          <w:sz w:val="24"/>
          <w:szCs w:val="24"/>
        </w:rPr>
        <w:t>s</w:t>
      </w:r>
      <w:r w:rsidRPr="00264A05">
        <w:rPr>
          <w:rFonts w:ascii="Times New Roman" w:hAnsi="Times New Roman" w:cs="Times New Roman"/>
          <w:sz w:val="24"/>
          <w:szCs w:val="24"/>
        </w:rPr>
        <w:t xml:space="preserve"> for idoso.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C</w:t>
      </w:r>
      <w:r w:rsidR="002E4732" w:rsidRPr="00264A05">
        <w:rPr>
          <w:rFonts w:ascii="Times New Roman" w:hAnsi="Times New Roman" w:cs="Times New Roman"/>
          <w:sz w:val="24"/>
          <w:szCs w:val="24"/>
        </w:rPr>
        <w:t xml:space="preserve">omo última corrente doutrinária, </w:t>
      </w:r>
      <w:r w:rsidRPr="00264A05">
        <w:rPr>
          <w:rFonts w:ascii="Times New Roman" w:hAnsi="Times New Roman" w:cs="Times New Roman"/>
          <w:sz w:val="24"/>
          <w:szCs w:val="24"/>
        </w:rPr>
        <w:t>destaco</w:t>
      </w:r>
      <w:r w:rsidR="002E4732" w:rsidRPr="00264A05">
        <w:rPr>
          <w:rFonts w:ascii="Times New Roman" w:hAnsi="Times New Roman" w:cs="Times New Roman"/>
          <w:sz w:val="24"/>
          <w:szCs w:val="24"/>
        </w:rPr>
        <w:t xml:space="preserve"> a aprovação de enunciado, na </w:t>
      </w:r>
      <w:r w:rsidR="002E4732" w:rsidRPr="00264A05">
        <w:rPr>
          <w:rFonts w:ascii="Times New Roman" w:hAnsi="Times New Roman" w:cs="Times New Roman"/>
          <w:i/>
          <w:sz w:val="24"/>
          <w:szCs w:val="24"/>
        </w:rPr>
        <w:t>V Jornada de Direito Civil</w:t>
      </w:r>
      <w:r w:rsidR="002E4732" w:rsidRPr="00264A05">
        <w:rPr>
          <w:rFonts w:ascii="Times New Roman" w:hAnsi="Times New Roman" w:cs="Times New Roman"/>
          <w:sz w:val="24"/>
          <w:szCs w:val="24"/>
        </w:rPr>
        <w:t>, evento promovido em 2011, visando a facilitar a compreensão da matéria, possibilitando a citada convocação tanto pelo autor quanto pelo réu: “</w:t>
      </w:r>
      <w:r w:rsidRPr="00264A05">
        <w:rPr>
          <w:rFonts w:ascii="Times New Roman" w:hAnsi="Times New Roman" w:cs="Times New Roman"/>
          <w:sz w:val="24"/>
          <w:szCs w:val="24"/>
        </w:rPr>
        <w:t>o</w:t>
      </w:r>
      <w:r w:rsidR="002E4732" w:rsidRPr="00264A05">
        <w:rPr>
          <w:rFonts w:ascii="Times New Roman" w:hAnsi="Times New Roman" w:cs="Times New Roman"/>
          <w:sz w:val="24"/>
          <w:szCs w:val="24"/>
        </w:rPr>
        <w:t xml:space="preserve"> chamamento dos codevedores para integrar a lide, na forma do art. 1.698 do Código Civil</w:t>
      </w:r>
      <w:r w:rsidR="00000FCE" w:rsidRPr="00264A05">
        <w:rPr>
          <w:rFonts w:ascii="Times New Roman" w:hAnsi="Times New Roman" w:cs="Times New Roman"/>
          <w:sz w:val="24"/>
          <w:szCs w:val="24"/>
        </w:rPr>
        <w:t>,</w:t>
      </w:r>
      <w:r w:rsidR="002E4732" w:rsidRPr="00264A05">
        <w:rPr>
          <w:rFonts w:ascii="Times New Roman" w:hAnsi="Times New Roman" w:cs="Times New Roman"/>
          <w:sz w:val="24"/>
          <w:szCs w:val="24"/>
        </w:rPr>
        <w:t xml:space="preserve"> pode ser requerido por qualquer das partes, bem como pelo Ministério Público, quando legitimado” (Enunciado n. 523 do Conselho da Justiça Federal). A </w:t>
      </w:r>
      <w:r w:rsidRPr="00264A05">
        <w:rPr>
          <w:rFonts w:ascii="Times New Roman" w:hAnsi="Times New Roman" w:cs="Times New Roman"/>
          <w:sz w:val="24"/>
          <w:szCs w:val="24"/>
        </w:rPr>
        <w:t>solução doutrinária</w:t>
      </w:r>
      <w:r w:rsidR="002E4732" w:rsidRPr="00264A05">
        <w:rPr>
          <w:rFonts w:ascii="Times New Roman" w:hAnsi="Times New Roman" w:cs="Times New Roman"/>
          <w:sz w:val="24"/>
          <w:szCs w:val="24"/>
        </w:rPr>
        <w:t xml:space="preserve"> é louvável, por viabilizar a ampla tutela do alimentando, vulnerável na relação jurídica. O proponente do enunciado, Daniel Ustarroz, argumentou muito bem que “essa solução privilegia o princípio do melhor interesse do menor e o ideal de celeridade processual, tornando desnecessária a propositura de outra ação de alimentos”. </w:t>
      </w:r>
    </w:p>
    <w:p w:rsidR="002E473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lastRenderedPageBreak/>
        <w:t xml:space="preserve">Em síntese, nota-se uma </w:t>
      </w:r>
      <w:r w:rsidRPr="00264A05">
        <w:rPr>
          <w:rFonts w:ascii="Times New Roman" w:hAnsi="Times New Roman" w:cs="Times New Roman"/>
          <w:i/>
          <w:sz w:val="24"/>
          <w:szCs w:val="24"/>
        </w:rPr>
        <w:t>Torre de Babel</w:t>
      </w:r>
      <w:r w:rsidRPr="00264A05">
        <w:rPr>
          <w:rFonts w:ascii="Times New Roman" w:hAnsi="Times New Roman" w:cs="Times New Roman"/>
          <w:sz w:val="24"/>
          <w:szCs w:val="24"/>
        </w:rPr>
        <w:t xml:space="preserve"> doutrinária a respeito da matéria, </w:t>
      </w:r>
      <w:r w:rsidR="0039603A" w:rsidRPr="00264A05">
        <w:rPr>
          <w:rFonts w:ascii="Times New Roman" w:hAnsi="Times New Roman" w:cs="Times New Roman"/>
          <w:sz w:val="24"/>
          <w:szCs w:val="24"/>
        </w:rPr>
        <w:t xml:space="preserve">variando também a jurisprudência superior na análise da temática, o que passo a expor. </w:t>
      </w:r>
    </w:p>
    <w:p w:rsidR="0039603A" w:rsidRPr="00264A05" w:rsidRDefault="0039603A"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De início, existem </w:t>
      </w:r>
      <w:r w:rsidR="002E4732" w:rsidRPr="00264A05">
        <w:rPr>
          <w:rFonts w:ascii="Times New Roman" w:hAnsi="Times New Roman" w:cs="Times New Roman"/>
          <w:sz w:val="24"/>
          <w:szCs w:val="24"/>
        </w:rPr>
        <w:t>arestos entendendo pela responsabilidade subsidiária, sucessiva e complementar dos avós, colacionando-se, por todos</w:t>
      </w:r>
      <w:r w:rsidRPr="00264A05">
        <w:rPr>
          <w:rFonts w:ascii="Times New Roman" w:hAnsi="Times New Roman" w:cs="Times New Roman"/>
          <w:sz w:val="24"/>
          <w:szCs w:val="24"/>
        </w:rPr>
        <w:t>, entre os mais remotos:</w:t>
      </w:r>
      <w:r w:rsidR="002E4732" w:rsidRPr="00264A05">
        <w:rPr>
          <w:rFonts w:ascii="Times New Roman" w:hAnsi="Times New Roman" w:cs="Times New Roman"/>
          <w:sz w:val="24"/>
          <w:szCs w:val="24"/>
        </w:rPr>
        <w:t xml:space="preserve"> “</w:t>
      </w:r>
      <w:r w:rsidRPr="00264A05">
        <w:rPr>
          <w:rFonts w:ascii="Times New Roman" w:hAnsi="Times New Roman" w:cs="Times New Roman"/>
          <w:sz w:val="24"/>
          <w:szCs w:val="24"/>
        </w:rPr>
        <w:t>a</w:t>
      </w:r>
      <w:r w:rsidR="002E4732" w:rsidRPr="00264A05">
        <w:rPr>
          <w:rFonts w:ascii="Times New Roman" w:hAnsi="Times New Roman" w:cs="Times New Roman"/>
          <w:sz w:val="24"/>
          <w:szCs w:val="24"/>
        </w:rPr>
        <w:t xml:space="preserve"> responsabilidade dos avós de prestar alimentos aos netos não é apenas sucessiva, mas também complementar, quando demonstrada a insuficiência de recursos do genitor” (STJ, REsp 579.385/SP, 3.ª Turma, Rel. Min. Nancy Andrighi, j. 26</w:t>
      </w:r>
      <w:r w:rsidR="00264A05" w:rsidRPr="00264A05">
        <w:rPr>
          <w:rFonts w:ascii="Times New Roman" w:hAnsi="Times New Roman" w:cs="Times New Roman"/>
          <w:sz w:val="24"/>
          <w:szCs w:val="24"/>
        </w:rPr>
        <w:t>.</w:t>
      </w:r>
      <w:r w:rsidR="002E4732" w:rsidRPr="00264A05">
        <w:rPr>
          <w:rFonts w:ascii="Times New Roman" w:hAnsi="Times New Roman" w:cs="Times New Roman"/>
          <w:sz w:val="24"/>
          <w:szCs w:val="24"/>
        </w:rPr>
        <w:t>08.2004, DJ 04.10.2004, p. 291). Na mesma linha é a afirmação número 15, constante da Edição n. 65 da ferramenta Jurisprudência em Teses, da Corte Superior: “A responsabilidade dos avós de prestar alimentos aos netos apresenta natureza complementar e subsidiária, somente se configurando quando demonstrada a insuficiência de recursos do genitor”. Exatamente no mesmo sentido, a Súmula n. 596 da Corte</w:t>
      </w:r>
      <w:r w:rsidRPr="00264A05">
        <w:rPr>
          <w:rFonts w:ascii="Times New Roman" w:hAnsi="Times New Roman" w:cs="Times New Roman"/>
          <w:sz w:val="24"/>
          <w:szCs w:val="24"/>
        </w:rPr>
        <w:t xml:space="preserve"> Superior</w:t>
      </w:r>
      <w:r w:rsidR="002E4732" w:rsidRPr="00264A05">
        <w:rPr>
          <w:rFonts w:ascii="Times New Roman" w:hAnsi="Times New Roman" w:cs="Times New Roman"/>
          <w:sz w:val="24"/>
          <w:szCs w:val="24"/>
        </w:rPr>
        <w:t xml:space="preserve">, aprovada em novembro de 2017, a demonstrar que tal posição está ali consolidada.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Sobre a convocação dos avós, entre os primeiros arestos superiores, entendendo que cabe aos réus da demanda – no caso, os pais – chamar ou convocar os avós e afastando a solidariedade, como pontuei: </w:t>
      </w:r>
    </w:p>
    <w:p w:rsidR="0039603A" w:rsidRPr="00264A05" w:rsidRDefault="002E4732" w:rsidP="0039603A">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 xml:space="preserve">“A obrigação alimentar não tem caráter de solidariedade, no sentido que ‘sendo várias pessoas obrigadas a prestar alimentos todos devem concorrer na proporção dos respectivos recursos’. O demandado, no entanto, terá direito de chamar ao processo os corresponsáveis da obrigação alimentar, caso não consiga suportar sozinho o encargo, para que se defina quanto caberá a cada um contribuir de acordo com as suas possibilidades financeiras. Neste contexto, à luz do novo Código Civil, frustrada a obrigação alimentar principal, de responsabilidade dos pais, a obrigação subsidiária deve ser diluída entre os avós paternos e maternos na medida de seus recursos, diante de sua divisibilidade e possibilidade de fracionamento. A necessidade alimentar não deve ser pautada por quem paga, mas sim por quem recebe, representando para o alimentado maior provisionamento tantos quantos coobrigados houver no polo passivo da demanda” (STJ, REsp 658.139/RS, 4.ª Turma, Rel. Min. Fernando Gonçalves, j. 11.10.2005, DJ 13.03.2006, p. 326). </w:t>
      </w:r>
    </w:p>
    <w:p w:rsidR="0039603A"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Ou, ainda, de data mais próxima</w:t>
      </w:r>
      <w:r w:rsidR="0039603A" w:rsidRPr="00264A05">
        <w:rPr>
          <w:rFonts w:ascii="Times New Roman" w:hAnsi="Times New Roman" w:cs="Times New Roman"/>
          <w:sz w:val="24"/>
          <w:szCs w:val="24"/>
        </w:rPr>
        <w:t xml:space="preserve"> e citando outro precedente do próprio Superior Tribunal de Justiça</w:t>
      </w:r>
      <w:r w:rsidRPr="00264A05">
        <w:rPr>
          <w:rFonts w:ascii="Times New Roman" w:hAnsi="Times New Roman" w:cs="Times New Roman"/>
          <w:sz w:val="24"/>
          <w:szCs w:val="24"/>
        </w:rPr>
        <w:t xml:space="preserve">: </w:t>
      </w:r>
    </w:p>
    <w:p w:rsidR="0039603A" w:rsidRPr="00264A05" w:rsidRDefault="002E4732" w:rsidP="0039603A">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lastRenderedPageBreak/>
        <w:t>“A obrigação alimentar é de responsabilidade dos pais, e, no caso de a genitora dos autores da ação de alimentos também exercer atividade remuneratória, é juridicamente razoável que seja chamada a compor o polo passivo do processo a fim de ser avaliada sua condição econômico-financeira para assumir, em conjunto com o genitor, a responsabilidade pela manutenção dos filhos maiores e capazes. Segundo a jurisprudência do STJ, ‘o demandado [...] terá direito de chamar ao processo os corresponsáveis da obrigação alimentar, caso não consiga suportar sozinho o encargo, para que se defina quanto caberá a cada um contribuir de acordo com as suas possibilidades financeiras’ (REsp n. 658.139/RS, Quarta Turma, relator Ministro Fernando Gonçalves, DJ de 13.03.2006). Não obstante se possa inferir do texto do art. 1.698 do CC – norma de natureza especial – que o credor de alimentos detém a faculdade de ajuizar ação apenas contra um dos coobrigados, não há óbice legal a que o demandado exponha, circunstanciadamente, a arguição de não ser o único devedor e, por conseguinte, adote a iniciativa de chamamento de outro potencial devedor para integrar a lide. 4. Recurso especial provido” (STJ, REsp 964.866/SP, 4.ª Turma, Rel. Min. João Otávio de Noronha, j. 1º.03.2011, DJe 11.03.2011).</w:t>
      </w:r>
    </w:p>
    <w:p w:rsidR="00B2390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Como se percebe, as decisões tendiam a seguir a terceira corrente </w:t>
      </w:r>
      <w:r w:rsidR="0039603A" w:rsidRPr="00264A05">
        <w:rPr>
          <w:rFonts w:ascii="Times New Roman" w:hAnsi="Times New Roman" w:cs="Times New Roman"/>
          <w:sz w:val="24"/>
          <w:szCs w:val="24"/>
        </w:rPr>
        <w:t xml:space="preserve">doutrinária </w:t>
      </w:r>
      <w:r w:rsidRPr="00264A05">
        <w:rPr>
          <w:rFonts w:ascii="Times New Roman" w:hAnsi="Times New Roman" w:cs="Times New Roman"/>
          <w:sz w:val="24"/>
          <w:szCs w:val="24"/>
        </w:rPr>
        <w:t>antes exposta, o que me parece um equívoco, pelas razões outrora esposadas. No final de 2018 surgiu outro julgado superior, expondo todo o debate doutrinário – inclusive com a minha posição</w:t>
      </w:r>
      <w:r w:rsidR="00B23902" w:rsidRPr="00264A05">
        <w:rPr>
          <w:rFonts w:ascii="Times New Roman" w:hAnsi="Times New Roman" w:cs="Times New Roman"/>
          <w:sz w:val="24"/>
          <w:szCs w:val="24"/>
        </w:rPr>
        <w:t xml:space="preserve"> </w:t>
      </w:r>
      <w:r w:rsidRPr="00264A05">
        <w:rPr>
          <w:rFonts w:ascii="Times New Roman" w:hAnsi="Times New Roman" w:cs="Times New Roman"/>
          <w:sz w:val="24"/>
          <w:szCs w:val="24"/>
        </w:rPr>
        <w:t xml:space="preserve">– e decidindo, pelo menos em parte, na linha do Enunciado n. 523 da </w:t>
      </w:r>
      <w:r w:rsidRPr="00264A05">
        <w:rPr>
          <w:rFonts w:ascii="Times New Roman" w:hAnsi="Times New Roman" w:cs="Times New Roman"/>
          <w:i/>
          <w:sz w:val="24"/>
          <w:szCs w:val="24"/>
        </w:rPr>
        <w:t>V Jornada de Direito Civil</w:t>
      </w:r>
      <w:r w:rsidR="00264A05" w:rsidRPr="00264A05">
        <w:rPr>
          <w:rFonts w:ascii="Times New Roman" w:hAnsi="Times New Roman" w:cs="Times New Roman"/>
          <w:i/>
          <w:sz w:val="24"/>
          <w:szCs w:val="24"/>
        </w:rPr>
        <w:t>,</w:t>
      </w:r>
      <w:r w:rsidRPr="00264A05">
        <w:rPr>
          <w:rFonts w:ascii="Times New Roman" w:hAnsi="Times New Roman" w:cs="Times New Roman"/>
          <w:sz w:val="24"/>
          <w:szCs w:val="24"/>
        </w:rPr>
        <w:t xml:space="preserve"> que “em ação de alimentos, quando se trata de credor com plena capacidade processual, cabe exclusivamente a ele provocar a integração posterior no polo passivo”. Porém, “nas hipóteses em que for necessária a representação processual do credor de alimentos incapaz, cabe também ao devedor provocar a integração posterior do polo passivo, a fim de que os demais coobrigados também componham a lide, inclusive aquele que atua como representante processual do credor dos alimentos, bem como cabe provocação do Ministério Público, quando a ausência de manifestação de quaisquer dos legitimados no sentido de chamar ao processo os demais coobrigados possa causar prejuízos aos interesses do incapaz” (REsp 1.715.438/RS, 3.ª Turma, Rel. Min. Nancy Andrighi). </w:t>
      </w:r>
    </w:p>
    <w:p w:rsidR="00B23902" w:rsidRPr="00264A05" w:rsidRDefault="002E473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Como consta</w:t>
      </w:r>
      <w:r w:rsidR="00B23902" w:rsidRPr="00264A05">
        <w:rPr>
          <w:rFonts w:ascii="Times New Roman" w:hAnsi="Times New Roman" w:cs="Times New Roman"/>
          <w:sz w:val="24"/>
          <w:szCs w:val="24"/>
        </w:rPr>
        <w:t xml:space="preserve"> do </w:t>
      </w:r>
      <w:r w:rsidR="00B23902" w:rsidRPr="00264A05">
        <w:rPr>
          <w:rFonts w:ascii="Times New Roman" w:hAnsi="Times New Roman" w:cs="Times New Roman"/>
          <w:i/>
          <w:sz w:val="24"/>
          <w:szCs w:val="24"/>
        </w:rPr>
        <w:t>decisum</w:t>
      </w:r>
      <w:r w:rsidRPr="00264A05">
        <w:rPr>
          <w:rFonts w:ascii="Times New Roman" w:hAnsi="Times New Roman" w:cs="Times New Roman"/>
          <w:sz w:val="24"/>
          <w:szCs w:val="24"/>
        </w:rPr>
        <w:t xml:space="preserve">, explicando o teor do dispositivo em estudo, “a regra do art. 1.698 do CC/2002, por disciplinar questões de direito material e de direito processual, possui natureza híbrida, devendo ser interpretada à luz dos ditames da lei instrumental e, principalmente, sob a ótica de máxima efetividade da lei civil. A </w:t>
      </w:r>
      <w:r w:rsidRPr="00264A05">
        <w:rPr>
          <w:rFonts w:ascii="Times New Roman" w:hAnsi="Times New Roman" w:cs="Times New Roman"/>
          <w:sz w:val="24"/>
          <w:szCs w:val="24"/>
        </w:rPr>
        <w:lastRenderedPageBreak/>
        <w:t>definição acerca da natureza jurídica do mecanismo de integração posterior do polo passivo previsto no art. 1.698 do CC/2002, por meio da qual são convocados os coobrigados a prestar alimentos no mesmo processo judicial</w:t>
      </w:r>
      <w:r w:rsidR="0004323C" w:rsidRPr="00264A05">
        <w:rPr>
          <w:rFonts w:ascii="Times New Roman" w:hAnsi="Times New Roman" w:cs="Times New Roman"/>
          <w:sz w:val="24"/>
          <w:szCs w:val="24"/>
        </w:rPr>
        <w:t>,</w:t>
      </w:r>
      <w:r w:rsidRPr="00264A05">
        <w:rPr>
          <w:rFonts w:ascii="Times New Roman" w:hAnsi="Times New Roman" w:cs="Times New Roman"/>
          <w:sz w:val="24"/>
          <w:szCs w:val="24"/>
        </w:rPr>
        <w:t xml:space="preserve"> e que, segundo a doutrina, seria hipótese de intervenção de terceiro atípica, de litisconsórcio facultativo, de litisconsórcio necessário ou de chamamento ao processo, é relevante para que sejam corretamente delimitados os poderes, ônus, faculdades, deveres e responsabilidades daqueles que vierem a compor o polo passivo, assim como é igualmente relevante para estabelecer a legitimação para provocar e o momento processual adequado para que possa ocorrer a ampliação subjetiva da lide na referida hipótese”</w:t>
      </w:r>
      <w:r w:rsidR="00B23902" w:rsidRPr="00264A05">
        <w:rPr>
          <w:rFonts w:ascii="Times New Roman" w:hAnsi="Times New Roman" w:cs="Times New Roman"/>
          <w:sz w:val="24"/>
          <w:szCs w:val="24"/>
        </w:rPr>
        <w:t xml:space="preserve"> (REsp 1.715.438/RS)</w:t>
      </w:r>
      <w:r w:rsidRPr="00264A05">
        <w:rPr>
          <w:rFonts w:ascii="Times New Roman" w:hAnsi="Times New Roman" w:cs="Times New Roman"/>
          <w:sz w:val="24"/>
          <w:szCs w:val="24"/>
        </w:rPr>
        <w:t xml:space="preserve">. E mais, como antes sustentei, em parte: </w:t>
      </w:r>
    </w:p>
    <w:p w:rsidR="00B23902" w:rsidRPr="00264A05" w:rsidRDefault="00B23902" w:rsidP="00B23902">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 xml:space="preserve">"(...) </w:t>
      </w:r>
      <w:r w:rsidR="002E4732" w:rsidRPr="00264A05">
        <w:rPr>
          <w:rFonts w:ascii="Times New Roman" w:hAnsi="Times New Roman" w:cs="Times New Roman"/>
        </w:rPr>
        <w:t>A natureza jurídica do mecanismo de integração posterior do polo passivo previsto no art. 1.698 do CC/2002 é de litisconsórcio facultativo ulterior simples, com a particularidade, decorrente da realidade do direito material, de que a formação dessa singular espécie de litisconsórcio não ocorre somente por iniciativa exclusiva do autor, mas também por provocação do réu ou do Ministério Público, quando o c</w:t>
      </w:r>
      <w:r w:rsidRPr="00264A05">
        <w:rPr>
          <w:rFonts w:ascii="Times New Roman" w:hAnsi="Times New Roman" w:cs="Times New Roman"/>
        </w:rPr>
        <w:t xml:space="preserve">redor dos alimentos for incapaz. (...). </w:t>
      </w:r>
      <w:r w:rsidR="002E4732" w:rsidRPr="00264A05">
        <w:rPr>
          <w:rFonts w:ascii="Times New Roman" w:hAnsi="Times New Roman" w:cs="Times New Roman"/>
        </w:rPr>
        <w:t xml:space="preserve">No que tange ao momento processual adequado para a integração do polo passivo pelos coobrigados, cabe ao autor requerê-lo em sua réplica à contestação; ao réu, em sua contestação; e ao Ministério Público, após a prática dos referidos atos processuais pelas partes, respeitada, em todas as hipóteses, a impossibilidade de ampliação objetiva ou subjetiva da lide após o saneamento e organização do processo, em homenagem ao contraditório, à ampla defesa e à razoável duração do processo” (STJ, REsp 1.715.438/RS, 3.ª Turma, Rel. Min. Nancy Andrighi, j. 13.11.2018, DJe 21.11.2018). </w:t>
      </w:r>
    </w:p>
    <w:p w:rsidR="002E4732" w:rsidRPr="00264A05" w:rsidRDefault="00B23902" w:rsidP="002E473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Não se pode negar que </w:t>
      </w:r>
      <w:r w:rsidR="002E4732" w:rsidRPr="00264A05">
        <w:rPr>
          <w:rFonts w:ascii="Times New Roman" w:hAnsi="Times New Roman" w:cs="Times New Roman"/>
          <w:sz w:val="24"/>
          <w:szCs w:val="24"/>
        </w:rPr>
        <w:t xml:space="preserve">o julgado representa um notável avanço, por afastar a possibilidade de convocação exclusiva pelo réu, tutelando efetivamente o direito a alimentos. </w:t>
      </w:r>
    </w:p>
    <w:p w:rsidR="00B23902" w:rsidRPr="00264A05" w:rsidRDefault="00B23902" w:rsidP="00B2390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Pois bem, a respeito do Anteprojeto de Reforma do Código Civil, t</w:t>
      </w:r>
      <w:r w:rsidR="002E4732" w:rsidRPr="00264A05">
        <w:rPr>
          <w:rFonts w:ascii="Times New Roman" w:hAnsi="Times New Roman" w:cs="Times New Roman"/>
          <w:sz w:val="24"/>
          <w:szCs w:val="24"/>
        </w:rPr>
        <w:t xml:space="preserve">odos os meus comentários doutrinários e anotações jurisprudenciais demonstram um verdadeiro </w:t>
      </w:r>
      <w:r w:rsidR="002E4732" w:rsidRPr="00264A05">
        <w:rPr>
          <w:rFonts w:ascii="Times New Roman" w:hAnsi="Times New Roman" w:cs="Times New Roman"/>
          <w:i/>
          <w:sz w:val="24"/>
          <w:szCs w:val="24"/>
        </w:rPr>
        <w:t>caos</w:t>
      </w:r>
      <w:r w:rsidR="002E4732" w:rsidRPr="00264A05">
        <w:rPr>
          <w:rFonts w:ascii="Times New Roman" w:hAnsi="Times New Roman" w:cs="Times New Roman"/>
          <w:sz w:val="24"/>
          <w:szCs w:val="24"/>
        </w:rPr>
        <w:t xml:space="preserve">, material e processual, na aplicação do </w:t>
      </w:r>
      <w:r w:rsidRPr="00264A05">
        <w:rPr>
          <w:rFonts w:ascii="Times New Roman" w:hAnsi="Times New Roman" w:cs="Times New Roman"/>
          <w:sz w:val="24"/>
          <w:szCs w:val="24"/>
        </w:rPr>
        <w:t xml:space="preserve">seu </w:t>
      </w:r>
      <w:r w:rsidR="002E4732" w:rsidRPr="00264A05">
        <w:rPr>
          <w:rFonts w:ascii="Times New Roman" w:hAnsi="Times New Roman" w:cs="Times New Roman"/>
          <w:sz w:val="24"/>
          <w:szCs w:val="24"/>
        </w:rPr>
        <w:t>art. 1.698</w:t>
      </w:r>
      <w:r w:rsidRPr="00264A05">
        <w:rPr>
          <w:rFonts w:ascii="Times New Roman" w:hAnsi="Times New Roman" w:cs="Times New Roman"/>
          <w:sz w:val="24"/>
          <w:szCs w:val="24"/>
        </w:rPr>
        <w:t>.</w:t>
      </w:r>
      <w:r w:rsidR="00264A05" w:rsidRPr="00264A05">
        <w:rPr>
          <w:rFonts w:ascii="Times New Roman" w:hAnsi="Times New Roman" w:cs="Times New Roman"/>
          <w:sz w:val="24"/>
          <w:szCs w:val="24"/>
        </w:rPr>
        <w:t xml:space="preserve"> </w:t>
      </w:r>
      <w:r w:rsidRPr="00264A05">
        <w:rPr>
          <w:rFonts w:ascii="Times New Roman" w:hAnsi="Times New Roman" w:cs="Times New Roman"/>
          <w:sz w:val="24"/>
          <w:szCs w:val="24"/>
        </w:rPr>
        <w:t xml:space="preserve">Por isso, sugeri, perante a Comissão de Juristas nomeada no âmbito do Congresso Nacional, que </w:t>
      </w:r>
      <w:r w:rsidR="002E4732" w:rsidRPr="00264A05">
        <w:rPr>
          <w:rFonts w:ascii="Times New Roman" w:hAnsi="Times New Roman" w:cs="Times New Roman"/>
          <w:sz w:val="24"/>
          <w:szCs w:val="24"/>
        </w:rPr>
        <w:t xml:space="preserve">o dispositivo passasse a prever a solidariedade da obrigação alimentar quanto aos devedores com uma redação bem sintética e objetiva: “a obrigação de prestar alimentos é solidária em relação aos devedores”. </w:t>
      </w:r>
    </w:p>
    <w:p w:rsidR="00B23902" w:rsidRPr="00264A05" w:rsidRDefault="00B23902" w:rsidP="00B2390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Entretanto, após intensos debates, </w:t>
      </w:r>
      <w:r w:rsidR="002E4732" w:rsidRPr="00264A05">
        <w:rPr>
          <w:rFonts w:ascii="Times New Roman" w:hAnsi="Times New Roman" w:cs="Times New Roman"/>
          <w:sz w:val="24"/>
          <w:szCs w:val="24"/>
        </w:rPr>
        <w:t xml:space="preserve">acabou prevalecendo, na votação </w:t>
      </w:r>
      <w:r w:rsidR="002E4732" w:rsidRPr="00264A05">
        <w:rPr>
          <w:rFonts w:ascii="Times New Roman" w:hAnsi="Times New Roman" w:cs="Times New Roman"/>
          <w:sz w:val="24"/>
          <w:szCs w:val="24"/>
        </w:rPr>
        <w:lastRenderedPageBreak/>
        <w:t xml:space="preserve">final de abril de 2024, a posição da Subcomissão de Direito de Família e da Relatora </w:t>
      </w:r>
      <w:r w:rsidRPr="00264A05">
        <w:rPr>
          <w:rFonts w:ascii="Times New Roman" w:hAnsi="Times New Roman" w:cs="Times New Roman"/>
          <w:sz w:val="24"/>
          <w:szCs w:val="24"/>
        </w:rPr>
        <w:t xml:space="preserve">Professora </w:t>
      </w:r>
      <w:r w:rsidR="002E4732" w:rsidRPr="00264A05">
        <w:rPr>
          <w:rFonts w:ascii="Times New Roman" w:hAnsi="Times New Roman" w:cs="Times New Roman"/>
          <w:sz w:val="24"/>
          <w:szCs w:val="24"/>
        </w:rPr>
        <w:t xml:space="preserve">Rosa Maria de Andrade Nery, para que a divisibilidade da obrigação de alimentos fosse mantida, mas com aperfeiçoamentos necessários ao art. 1.698 do </w:t>
      </w:r>
      <w:r w:rsidRPr="00264A05">
        <w:rPr>
          <w:rFonts w:ascii="Times New Roman" w:hAnsi="Times New Roman" w:cs="Times New Roman"/>
          <w:sz w:val="24"/>
          <w:szCs w:val="24"/>
        </w:rPr>
        <w:t xml:space="preserve">Código Civil. </w:t>
      </w:r>
      <w:r w:rsidR="002E4732" w:rsidRPr="00264A05">
        <w:rPr>
          <w:rFonts w:ascii="Times New Roman" w:hAnsi="Times New Roman" w:cs="Times New Roman"/>
          <w:sz w:val="24"/>
          <w:szCs w:val="24"/>
        </w:rPr>
        <w:t>Assim foram as justificativas da citada subcomissão, que tinha outra proposta</w:t>
      </w:r>
      <w:r w:rsidRPr="00264A05">
        <w:rPr>
          <w:rFonts w:ascii="Times New Roman" w:hAnsi="Times New Roman" w:cs="Times New Roman"/>
          <w:sz w:val="24"/>
          <w:szCs w:val="24"/>
        </w:rPr>
        <w:t xml:space="preserve"> inicial</w:t>
      </w:r>
      <w:r w:rsidR="002E4732" w:rsidRPr="00264A05">
        <w:rPr>
          <w:rFonts w:ascii="Times New Roman" w:hAnsi="Times New Roman" w:cs="Times New Roman"/>
          <w:sz w:val="24"/>
          <w:szCs w:val="24"/>
        </w:rPr>
        <w:t xml:space="preserve">: </w:t>
      </w:r>
    </w:p>
    <w:p w:rsidR="00B23902" w:rsidRPr="00264A05" w:rsidRDefault="002E4732" w:rsidP="00B23902">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w:t>
      </w:r>
      <w:r w:rsidR="00B23902" w:rsidRPr="00264A05">
        <w:rPr>
          <w:rFonts w:ascii="Times New Roman" w:hAnsi="Times New Roman" w:cs="Times New Roman"/>
        </w:rPr>
        <w:t>C</w:t>
      </w:r>
      <w:r w:rsidRPr="00264A05">
        <w:rPr>
          <w:rFonts w:ascii="Times New Roman" w:hAnsi="Times New Roman" w:cs="Times New Roman"/>
        </w:rPr>
        <w:t xml:space="preserve">onsiderando que no artigo em questão existe multiplicidade de normas, para fins diversos, buscou-se fracionar estas normas incluindo-as em parágrafos, de sorte a melhorar a técnica legislativa. O </w:t>
      </w:r>
      <w:r w:rsidRPr="00264A05">
        <w:rPr>
          <w:rFonts w:ascii="Times New Roman" w:hAnsi="Times New Roman" w:cs="Times New Roman"/>
          <w:i/>
        </w:rPr>
        <w:t>caput</w:t>
      </w:r>
      <w:r w:rsidRPr="00264A05">
        <w:rPr>
          <w:rFonts w:ascii="Times New Roman" w:hAnsi="Times New Roman" w:cs="Times New Roman"/>
        </w:rPr>
        <w:t xml:space="preserve"> e o § 1º são mero desdobramento da parte inicial do texto atualmente em vigor. O § 2º busca positivar a interpretação jurisprudencial a respeito da obrigação alimentar dos avós, hoje prevista na Súmula 596 do STJ, </w:t>
      </w:r>
      <w:r w:rsidRPr="00264A05">
        <w:rPr>
          <w:rFonts w:ascii="Times New Roman" w:hAnsi="Times New Roman" w:cs="Times New Roman"/>
          <w:i/>
        </w:rPr>
        <w:t>verbis</w:t>
      </w:r>
      <w:r w:rsidRPr="00264A05">
        <w:rPr>
          <w:rFonts w:ascii="Times New Roman" w:hAnsi="Times New Roman" w:cs="Times New Roman"/>
        </w:rPr>
        <w:t xml:space="preserve">: ‘A obrigação alimentar dos avós tem natureza complementar e subsidiária, somente se configurando no caso de impossibilidade total ou parcial de seu cumprimento pelos pais’. Em relação aos §§ 3º e 4º, muito se discute na doutrina civilista e processualista sobre o conteúdo da parte final do artigo hoje em vigor: ‘intentada ação contra uma delas, poderão as demais ser chamadas a integrar a lide’. Há interpretações em vários sentidos, inclusive a respeito da modalidade de intervenção de terceiros aí prevista. Atualmente, há precedentes do STJ entendendo que tal não se cuida de uma espécie de intervenção de terceiros, mas sim de um litisconsórcio ulterior facultativo. Portanto, tanto o § 3º quanto o 4º são sugeridos a fim de acolher a atual jurisprudência em torno do tema, visando a garantir maior segurança jurídica às lides que envolvem alimentos”. </w:t>
      </w:r>
    </w:p>
    <w:p w:rsidR="00125F59" w:rsidRPr="00264A05" w:rsidRDefault="002E4732" w:rsidP="00B23902">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Ao final foram feitos reparos nas propostas iniciais da Subcomissão de Direito de Família e o dispositivo ora proposto pela Comissão de Juristas é o seguinte, vencida a minha posição: </w:t>
      </w:r>
    </w:p>
    <w:p w:rsidR="00125F59" w:rsidRPr="00264A05" w:rsidRDefault="002E4732" w:rsidP="00125F59">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 xml:space="preserve">“Art. 1.698. Se o parente, que deve alimentos em primeiro lugar, não estiver em condições de suportar totalmente o encargo por incapacidade financeira total ou parcial, poderá o credor reclamá-los aos de grau imediato. </w:t>
      </w:r>
    </w:p>
    <w:p w:rsidR="00125F59" w:rsidRPr="00264A05" w:rsidRDefault="002E4732" w:rsidP="00125F59">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 xml:space="preserve">§ 1º Sendo várias as pessoas obrigadas a prestar alimentos, concorrerão na proporção dos respectivos recursos. </w:t>
      </w:r>
    </w:p>
    <w:p w:rsidR="00125F59" w:rsidRPr="00264A05" w:rsidRDefault="002E4732" w:rsidP="00125F59">
      <w:pPr>
        <w:pStyle w:val="t"/>
        <w:spacing w:before="120" w:after="120" w:line="360" w:lineRule="auto"/>
        <w:ind w:left="567" w:firstLine="0"/>
        <w:rPr>
          <w:rFonts w:ascii="Times New Roman" w:hAnsi="Times New Roman" w:cs="Times New Roman"/>
        </w:rPr>
      </w:pPr>
      <w:r w:rsidRPr="00264A05">
        <w:rPr>
          <w:rFonts w:ascii="Times New Roman" w:hAnsi="Times New Roman" w:cs="Times New Roman"/>
        </w:rPr>
        <w:t xml:space="preserve">§ 2º É direito do alimentando demandar diretamente o obrigado sucessivo ou incluí-lo, a qualquer tempo, no polo passivo no curso da ação proposta contra o obrigado antecedente, desde que esteja comprovada a incapacidade financeira deste último”. </w:t>
      </w:r>
    </w:p>
    <w:p w:rsidR="00125F59" w:rsidRPr="00264A05" w:rsidRDefault="00125F59" w:rsidP="00125F59">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Prevaleceu, na votação final, o texto substitutivo elaborado pelo Professor Pablo Stolze Gagliano, com a contribuição do Professor Fredie Didier Jr. E, de fato, </w:t>
      </w:r>
      <w:r w:rsidR="002E4732" w:rsidRPr="00264A05">
        <w:rPr>
          <w:rFonts w:ascii="Times New Roman" w:hAnsi="Times New Roman" w:cs="Times New Roman"/>
          <w:sz w:val="24"/>
          <w:szCs w:val="24"/>
        </w:rPr>
        <w:t>a proposta resolve alguns dos dilemas hoje existentes</w:t>
      </w:r>
      <w:r w:rsidRPr="00264A05">
        <w:rPr>
          <w:rFonts w:ascii="Times New Roman" w:hAnsi="Times New Roman" w:cs="Times New Roman"/>
          <w:sz w:val="24"/>
          <w:szCs w:val="24"/>
        </w:rPr>
        <w:t xml:space="preserve"> e aqui expostos</w:t>
      </w:r>
      <w:r w:rsidR="002E4732" w:rsidRPr="00264A05">
        <w:rPr>
          <w:rFonts w:ascii="Times New Roman" w:hAnsi="Times New Roman" w:cs="Times New Roman"/>
          <w:sz w:val="24"/>
          <w:szCs w:val="24"/>
        </w:rPr>
        <w:t xml:space="preserve">, </w:t>
      </w:r>
      <w:r w:rsidR="002E4732" w:rsidRPr="00264A05">
        <w:rPr>
          <w:rFonts w:ascii="Times New Roman" w:hAnsi="Times New Roman" w:cs="Times New Roman"/>
          <w:sz w:val="24"/>
          <w:szCs w:val="24"/>
        </w:rPr>
        <w:lastRenderedPageBreak/>
        <w:t xml:space="preserve">atribuindo ao alimentando, e somente a ele, a prerrogativa de indicar os demais parentes que devem suportar o encargo alimentar, ou colocá-los no polo passivo, como verdadeiras opções que lhe são atribuídas. </w:t>
      </w:r>
    </w:p>
    <w:p w:rsidR="00125F59" w:rsidRPr="00264A05" w:rsidRDefault="002E4732" w:rsidP="00125F59">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Todavia,</w:t>
      </w:r>
      <w:r w:rsidR="00125F59" w:rsidRPr="00264A05">
        <w:rPr>
          <w:rFonts w:ascii="Times New Roman" w:hAnsi="Times New Roman" w:cs="Times New Roman"/>
          <w:sz w:val="24"/>
          <w:szCs w:val="24"/>
        </w:rPr>
        <w:t xml:space="preserve"> parece-me que </w:t>
      </w:r>
      <w:r w:rsidRPr="00264A05">
        <w:rPr>
          <w:rFonts w:ascii="Times New Roman" w:hAnsi="Times New Roman" w:cs="Times New Roman"/>
          <w:sz w:val="24"/>
          <w:szCs w:val="24"/>
        </w:rPr>
        <w:t>a proposição ainda oferece entraves materiais e processuais para o alimentando receber imediatamente o valor que lhe é devido. A existência de uma obrigação divisível, no meu entender</w:t>
      </w:r>
      <w:r w:rsidR="00125F59" w:rsidRPr="00264A05">
        <w:rPr>
          <w:rFonts w:ascii="Times New Roman" w:hAnsi="Times New Roman" w:cs="Times New Roman"/>
          <w:sz w:val="24"/>
          <w:szCs w:val="24"/>
        </w:rPr>
        <w:t xml:space="preserve"> e com o devido respeito</w:t>
      </w:r>
      <w:r w:rsidRPr="00264A05">
        <w:rPr>
          <w:rFonts w:ascii="Times New Roman" w:hAnsi="Times New Roman" w:cs="Times New Roman"/>
          <w:sz w:val="24"/>
          <w:szCs w:val="24"/>
        </w:rPr>
        <w:t xml:space="preserve">, </w:t>
      </w:r>
      <w:r w:rsidR="00125F59" w:rsidRPr="00264A05">
        <w:rPr>
          <w:rFonts w:ascii="Times New Roman" w:hAnsi="Times New Roman" w:cs="Times New Roman"/>
          <w:sz w:val="24"/>
          <w:szCs w:val="24"/>
        </w:rPr>
        <w:t>somente atrasa esse recebimento, sendo o melhor caminho que a obrigação de alimentos familiares passasse a ser uma obrigação solidária em relação aos devedores.</w:t>
      </w:r>
    </w:p>
    <w:p w:rsidR="00125F59" w:rsidRPr="00125F59" w:rsidRDefault="00125F59" w:rsidP="00125F59">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 xml:space="preserve">Como palavras finais deste breve texto, tendo prevalecido pelo voto da maioria, a proposição destacada é a que foi enviada para o Congresso Nacional, cabendo a ele analisá-la, dentro dos ditames democráticos, que também </w:t>
      </w:r>
      <w:r w:rsidR="0004323C" w:rsidRPr="00264A05">
        <w:rPr>
          <w:rFonts w:ascii="Times New Roman" w:hAnsi="Times New Roman" w:cs="Times New Roman"/>
          <w:sz w:val="24"/>
          <w:szCs w:val="24"/>
        </w:rPr>
        <w:t xml:space="preserve">guiaram </w:t>
      </w:r>
      <w:r w:rsidRPr="00264A05">
        <w:rPr>
          <w:rFonts w:ascii="Times New Roman" w:hAnsi="Times New Roman" w:cs="Times New Roman"/>
          <w:sz w:val="24"/>
          <w:szCs w:val="24"/>
        </w:rPr>
        <w:t xml:space="preserve">a nossa Comissão de Juristas. </w:t>
      </w:r>
    </w:p>
    <w:sectPr w:rsidR="00125F59" w:rsidRPr="00125F59" w:rsidSect="008964FA">
      <w:footerReference w:type="even" r:id="rId8"/>
      <w:footerReference w:type="default" r:id="rId9"/>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4C4BC1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5304B2F" w16cex:dateUtc="2024-10-23T1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4C4BC13" w16cid:durableId="35304B2F"/>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4B2C" w:rsidRPr="00264A05" w:rsidRDefault="00794B2C">
      <w:r w:rsidRPr="00264A05">
        <w:separator/>
      </w:r>
    </w:p>
  </w:endnote>
  <w:endnote w:type="continuationSeparator" w:id="0">
    <w:p w:rsidR="00794B2C" w:rsidRPr="00264A05" w:rsidRDefault="00794B2C">
      <w:r w:rsidRPr="00264A05">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Pro">
    <w:altName w:val="Malgun Gothic"/>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03A" w:rsidRPr="00264A05" w:rsidRDefault="00DF0866" w:rsidP="008A6CB4">
    <w:pPr>
      <w:pStyle w:val="Rodap"/>
      <w:framePr w:wrap="around" w:vAnchor="text" w:hAnchor="margin" w:xAlign="right" w:y="1"/>
      <w:rPr>
        <w:rStyle w:val="Nmerodepgina"/>
      </w:rPr>
    </w:pPr>
    <w:r w:rsidRPr="00264A05">
      <w:rPr>
        <w:rStyle w:val="Nmerodepgina"/>
      </w:rPr>
      <w:fldChar w:fldCharType="begin"/>
    </w:r>
    <w:r w:rsidR="0039603A" w:rsidRPr="00264A05">
      <w:rPr>
        <w:rStyle w:val="Nmerodepgina"/>
      </w:rPr>
      <w:instrText xml:space="preserve">PAGE  </w:instrText>
    </w:r>
    <w:r w:rsidRPr="00264A05">
      <w:rPr>
        <w:rStyle w:val="Nmerodepgina"/>
      </w:rPr>
      <w:fldChar w:fldCharType="end"/>
    </w:r>
  </w:p>
  <w:p w:rsidR="0039603A" w:rsidRPr="00264A05" w:rsidRDefault="0039603A" w:rsidP="008A6CB4">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4698470"/>
      <w:docPartObj>
        <w:docPartGallery w:val="Page Numbers (Bottom of Page)"/>
        <w:docPartUnique/>
      </w:docPartObj>
    </w:sdtPr>
    <w:sdtContent>
      <w:p w:rsidR="0039603A" w:rsidRPr="00264A05" w:rsidRDefault="00DF0866">
        <w:pPr>
          <w:pStyle w:val="Rodap"/>
          <w:jc w:val="right"/>
        </w:pPr>
        <w:r w:rsidRPr="00264A05">
          <w:fldChar w:fldCharType="begin"/>
        </w:r>
        <w:r w:rsidR="0039603A" w:rsidRPr="00264A05">
          <w:instrText xml:space="preserve"> PAGE   \* MERGEFORMAT </w:instrText>
        </w:r>
        <w:r w:rsidRPr="00264A05">
          <w:fldChar w:fldCharType="separate"/>
        </w:r>
        <w:r w:rsidR="00950BD8">
          <w:rPr>
            <w:noProof/>
          </w:rPr>
          <w:t>9</w:t>
        </w:r>
        <w:r w:rsidRPr="00264A05">
          <w:fldChar w:fldCharType="end"/>
        </w:r>
      </w:p>
    </w:sdtContent>
  </w:sdt>
  <w:p w:rsidR="0039603A" w:rsidRPr="00264A05" w:rsidRDefault="0039603A" w:rsidP="008A6CB4">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4B2C" w:rsidRPr="00264A05" w:rsidRDefault="00794B2C">
      <w:r w:rsidRPr="00264A05">
        <w:separator/>
      </w:r>
    </w:p>
  </w:footnote>
  <w:footnote w:type="continuationSeparator" w:id="0">
    <w:p w:rsidR="00794B2C" w:rsidRPr="00264A05" w:rsidRDefault="00794B2C">
      <w:r w:rsidRPr="00264A05">
        <w:continuationSeparator/>
      </w:r>
    </w:p>
  </w:footnote>
  <w:footnote w:id="1">
    <w:p w:rsidR="0039603A" w:rsidRPr="00197971" w:rsidRDefault="0039603A" w:rsidP="00470DA9">
      <w:pPr>
        <w:pStyle w:val="Textodenotaderodap"/>
        <w:jc w:val="both"/>
      </w:pPr>
      <w:r w:rsidRPr="00264A05">
        <w:rPr>
          <w:rStyle w:val="Refdenotaderodap"/>
        </w:rPr>
        <w:footnoteRef/>
      </w:r>
      <w:r w:rsidRPr="00264A05">
        <w:t xml:space="preserve"> Pós-Doutor e Doutor em Direito Civil pela USP. Mestre em Direito Civil Comparado pela PUCSP. Professor Titular permanente e coordenador do mestrado da Escola Paulista de Direito (EPD). Professor e coordenador dos cursos de pós-graduação </w:t>
      </w:r>
      <w:r w:rsidRPr="00264A05">
        <w:rPr>
          <w:i/>
        </w:rPr>
        <w:t>lato sensu</w:t>
      </w:r>
      <w:r w:rsidRPr="00264A05">
        <w:t xml:space="preserve"> em Direito Privado da EPD. Relator do Projeto de Reforma do Código Civil. Primeiro Presidente e Fundador do Instituto Brasileiro de Direito Contratual (IBDCONT). Presidente da Comissão de Direito das Sucessões do Instituto Brasileiro de Direito de Família (IBDFAM). Conselheiro seccional da OABSP e Diretor da ESAOABSP. Advogado em São Paulo, parecerista, árbitro e consultor jurídico.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F72AA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6"/>
  <w:proofState w:spelling="clean"/>
  <w:stylePaneFormatFilter w:val="3F01"/>
  <w:trackRevisions/>
  <w:defaultTabStop w:val="708"/>
  <w:hyphenationZone w:val="425"/>
  <w:characterSpacingControl w:val="doNotCompress"/>
  <w:footnotePr>
    <w:footnote w:id="-1"/>
    <w:footnote w:id="0"/>
  </w:footnotePr>
  <w:endnotePr>
    <w:endnote w:id="-1"/>
    <w:endnote w:id="0"/>
  </w:endnotePr>
  <w:compat/>
  <w:rsids>
    <w:rsidRoot w:val="001A6B5F"/>
    <w:rsid w:val="000006D7"/>
    <w:rsid w:val="00000FCE"/>
    <w:rsid w:val="00002DFB"/>
    <w:rsid w:val="00003AC8"/>
    <w:rsid w:val="00004871"/>
    <w:rsid w:val="00012E1F"/>
    <w:rsid w:val="00013F07"/>
    <w:rsid w:val="00017793"/>
    <w:rsid w:val="00022FFB"/>
    <w:rsid w:val="000321C3"/>
    <w:rsid w:val="0003241B"/>
    <w:rsid w:val="0004323C"/>
    <w:rsid w:val="000467E1"/>
    <w:rsid w:val="00056861"/>
    <w:rsid w:val="0005749C"/>
    <w:rsid w:val="0005756E"/>
    <w:rsid w:val="00057960"/>
    <w:rsid w:val="00064D8B"/>
    <w:rsid w:val="000666C0"/>
    <w:rsid w:val="000756D9"/>
    <w:rsid w:val="0007773C"/>
    <w:rsid w:val="00080EA6"/>
    <w:rsid w:val="0008159D"/>
    <w:rsid w:val="00096F53"/>
    <w:rsid w:val="000A2F7A"/>
    <w:rsid w:val="000A3FA9"/>
    <w:rsid w:val="000B051F"/>
    <w:rsid w:val="000B6563"/>
    <w:rsid w:val="000C1649"/>
    <w:rsid w:val="000C2117"/>
    <w:rsid w:val="000C2699"/>
    <w:rsid w:val="000D3F71"/>
    <w:rsid w:val="000D6AF0"/>
    <w:rsid w:val="000E05E6"/>
    <w:rsid w:val="000E3CAF"/>
    <w:rsid w:val="000E65CA"/>
    <w:rsid w:val="000F615E"/>
    <w:rsid w:val="00107141"/>
    <w:rsid w:val="00107FA1"/>
    <w:rsid w:val="0011279E"/>
    <w:rsid w:val="0011532B"/>
    <w:rsid w:val="00116986"/>
    <w:rsid w:val="001230A1"/>
    <w:rsid w:val="001238FF"/>
    <w:rsid w:val="00125F59"/>
    <w:rsid w:val="001262FE"/>
    <w:rsid w:val="00126D26"/>
    <w:rsid w:val="00126E1F"/>
    <w:rsid w:val="001347DA"/>
    <w:rsid w:val="00145B34"/>
    <w:rsid w:val="001461FD"/>
    <w:rsid w:val="001509E7"/>
    <w:rsid w:val="001535FA"/>
    <w:rsid w:val="00154043"/>
    <w:rsid w:val="00155F03"/>
    <w:rsid w:val="00160A14"/>
    <w:rsid w:val="00165E7A"/>
    <w:rsid w:val="00174153"/>
    <w:rsid w:val="0018146F"/>
    <w:rsid w:val="001841D1"/>
    <w:rsid w:val="001A064D"/>
    <w:rsid w:val="001A07E7"/>
    <w:rsid w:val="001A202B"/>
    <w:rsid w:val="001A37EA"/>
    <w:rsid w:val="001A4407"/>
    <w:rsid w:val="001A50AF"/>
    <w:rsid w:val="001A6B5F"/>
    <w:rsid w:val="001B3220"/>
    <w:rsid w:val="001B578C"/>
    <w:rsid w:val="001B58DA"/>
    <w:rsid w:val="001B69D2"/>
    <w:rsid w:val="001C2BD2"/>
    <w:rsid w:val="001C3F0B"/>
    <w:rsid w:val="001D38EA"/>
    <w:rsid w:val="001F0631"/>
    <w:rsid w:val="001F47C3"/>
    <w:rsid w:val="001F5756"/>
    <w:rsid w:val="001F6DC5"/>
    <w:rsid w:val="00200326"/>
    <w:rsid w:val="00206C85"/>
    <w:rsid w:val="00207256"/>
    <w:rsid w:val="00207782"/>
    <w:rsid w:val="002116B9"/>
    <w:rsid w:val="00212FFA"/>
    <w:rsid w:val="0021687A"/>
    <w:rsid w:val="0022707E"/>
    <w:rsid w:val="00235D42"/>
    <w:rsid w:val="00243EF4"/>
    <w:rsid w:val="002443C4"/>
    <w:rsid w:val="00252754"/>
    <w:rsid w:val="00253155"/>
    <w:rsid w:val="002578C0"/>
    <w:rsid w:val="00261CDF"/>
    <w:rsid w:val="00264A05"/>
    <w:rsid w:val="00265BFA"/>
    <w:rsid w:val="002663C8"/>
    <w:rsid w:val="00266F36"/>
    <w:rsid w:val="00267066"/>
    <w:rsid w:val="002700B2"/>
    <w:rsid w:val="00271AFC"/>
    <w:rsid w:val="00274BC6"/>
    <w:rsid w:val="00276586"/>
    <w:rsid w:val="002802B7"/>
    <w:rsid w:val="00282E8D"/>
    <w:rsid w:val="002836B5"/>
    <w:rsid w:val="002844C0"/>
    <w:rsid w:val="0028730E"/>
    <w:rsid w:val="0028758E"/>
    <w:rsid w:val="0029490F"/>
    <w:rsid w:val="002A003E"/>
    <w:rsid w:val="002A2AF5"/>
    <w:rsid w:val="002A431B"/>
    <w:rsid w:val="002A71F3"/>
    <w:rsid w:val="002A7E0F"/>
    <w:rsid w:val="002B0136"/>
    <w:rsid w:val="002B0CBA"/>
    <w:rsid w:val="002B0D7E"/>
    <w:rsid w:val="002B4A47"/>
    <w:rsid w:val="002B5F5D"/>
    <w:rsid w:val="002C57C0"/>
    <w:rsid w:val="002D1487"/>
    <w:rsid w:val="002D1DEF"/>
    <w:rsid w:val="002D3E5B"/>
    <w:rsid w:val="002D564A"/>
    <w:rsid w:val="002E07CB"/>
    <w:rsid w:val="002E0F20"/>
    <w:rsid w:val="002E4732"/>
    <w:rsid w:val="002F2D05"/>
    <w:rsid w:val="002F6594"/>
    <w:rsid w:val="00302F58"/>
    <w:rsid w:val="00303856"/>
    <w:rsid w:val="0030419F"/>
    <w:rsid w:val="0030483C"/>
    <w:rsid w:val="00306685"/>
    <w:rsid w:val="00311887"/>
    <w:rsid w:val="00312A5C"/>
    <w:rsid w:val="003135FC"/>
    <w:rsid w:val="00314A07"/>
    <w:rsid w:val="00314C35"/>
    <w:rsid w:val="00315AA6"/>
    <w:rsid w:val="00326A1D"/>
    <w:rsid w:val="00331190"/>
    <w:rsid w:val="00332A07"/>
    <w:rsid w:val="00332BD0"/>
    <w:rsid w:val="00333A29"/>
    <w:rsid w:val="00335007"/>
    <w:rsid w:val="003404DC"/>
    <w:rsid w:val="00341202"/>
    <w:rsid w:val="003419E5"/>
    <w:rsid w:val="00347FAA"/>
    <w:rsid w:val="003516FE"/>
    <w:rsid w:val="003529EE"/>
    <w:rsid w:val="003562C5"/>
    <w:rsid w:val="00360AF2"/>
    <w:rsid w:val="00362874"/>
    <w:rsid w:val="003648FD"/>
    <w:rsid w:val="00366C65"/>
    <w:rsid w:val="0037785C"/>
    <w:rsid w:val="00381576"/>
    <w:rsid w:val="003876ED"/>
    <w:rsid w:val="00390016"/>
    <w:rsid w:val="0039603A"/>
    <w:rsid w:val="00396423"/>
    <w:rsid w:val="003B230A"/>
    <w:rsid w:val="003B2F06"/>
    <w:rsid w:val="003B42DD"/>
    <w:rsid w:val="003B4386"/>
    <w:rsid w:val="003B5C7B"/>
    <w:rsid w:val="003B62F0"/>
    <w:rsid w:val="003B6A73"/>
    <w:rsid w:val="003B727B"/>
    <w:rsid w:val="003C0520"/>
    <w:rsid w:val="003C5702"/>
    <w:rsid w:val="003D0418"/>
    <w:rsid w:val="003D1CB3"/>
    <w:rsid w:val="003D4118"/>
    <w:rsid w:val="003E3529"/>
    <w:rsid w:val="003E4E5C"/>
    <w:rsid w:val="003E5A3C"/>
    <w:rsid w:val="003F01E4"/>
    <w:rsid w:val="003F1915"/>
    <w:rsid w:val="003F347D"/>
    <w:rsid w:val="00403184"/>
    <w:rsid w:val="00403C33"/>
    <w:rsid w:val="004046ED"/>
    <w:rsid w:val="004158FC"/>
    <w:rsid w:val="00415B01"/>
    <w:rsid w:val="00416567"/>
    <w:rsid w:val="0042315D"/>
    <w:rsid w:val="00425B8A"/>
    <w:rsid w:val="00427EC5"/>
    <w:rsid w:val="0043008C"/>
    <w:rsid w:val="00445471"/>
    <w:rsid w:val="00445964"/>
    <w:rsid w:val="00447FCA"/>
    <w:rsid w:val="004503B6"/>
    <w:rsid w:val="00450475"/>
    <w:rsid w:val="00450E93"/>
    <w:rsid w:val="004542E5"/>
    <w:rsid w:val="00466141"/>
    <w:rsid w:val="00467072"/>
    <w:rsid w:val="00470DA9"/>
    <w:rsid w:val="004718B4"/>
    <w:rsid w:val="00481009"/>
    <w:rsid w:val="00483462"/>
    <w:rsid w:val="00484C70"/>
    <w:rsid w:val="004950AE"/>
    <w:rsid w:val="004A104B"/>
    <w:rsid w:val="004B0C73"/>
    <w:rsid w:val="004B4706"/>
    <w:rsid w:val="004B704C"/>
    <w:rsid w:val="004C16BB"/>
    <w:rsid w:val="004C75AF"/>
    <w:rsid w:val="004D1D7C"/>
    <w:rsid w:val="004D5F7C"/>
    <w:rsid w:val="004E3553"/>
    <w:rsid w:val="004E4F19"/>
    <w:rsid w:val="004F010D"/>
    <w:rsid w:val="004F2F6E"/>
    <w:rsid w:val="004F6AF3"/>
    <w:rsid w:val="00500F66"/>
    <w:rsid w:val="00503083"/>
    <w:rsid w:val="0050336B"/>
    <w:rsid w:val="00511B17"/>
    <w:rsid w:val="005164AD"/>
    <w:rsid w:val="0051753D"/>
    <w:rsid w:val="005175CE"/>
    <w:rsid w:val="005218F3"/>
    <w:rsid w:val="00522D58"/>
    <w:rsid w:val="005432D2"/>
    <w:rsid w:val="005441F0"/>
    <w:rsid w:val="00550D67"/>
    <w:rsid w:val="005650CE"/>
    <w:rsid w:val="00566332"/>
    <w:rsid w:val="005729A9"/>
    <w:rsid w:val="00573D39"/>
    <w:rsid w:val="005813C3"/>
    <w:rsid w:val="005820A6"/>
    <w:rsid w:val="005A30BB"/>
    <w:rsid w:val="005A4C20"/>
    <w:rsid w:val="005B3F8B"/>
    <w:rsid w:val="005B6B53"/>
    <w:rsid w:val="005C4BE2"/>
    <w:rsid w:val="005C604C"/>
    <w:rsid w:val="005D0B13"/>
    <w:rsid w:val="005D31CF"/>
    <w:rsid w:val="005E1EF2"/>
    <w:rsid w:val="005E6678"/>
    <w:rsid w:val="005E709A"/>
    <w:rsid w:val="005F1A84"/>
    <w:rsid w:val="005F4DB7"/>
    <w:rsid w:val="005F51F3"/>
    <w:rsid w:val="005F5FBE"/>
    <w:rsid w:val="0060774F"/>
    <w:rsid w:val="006168BF"/>
    <w:rsid w:val="00621E46"/>
    <w:rsid w:val="006241B2"/>
    <w:rsid w:val="0062754A"/>
    <w:rsid w:val="00633101"/>
    <w:rsid w:val="0063311A"/>
    <w:rsid w:val="006377C1"/>
    <w:rsid w:val="00641E16"/>
    <w:rsid w:val="00650436"/>
    <w:rsid w:val="00650A0C"/>
    <w:rsid w:val="006571AD"/>
    <w:rsid w:val="006577F0"/>
    <w:rsid w:val="00660CF6"/>
    <w:rsid w:val="00661D33"/>
    <w:rsid w:val="00684C42"/>
    <w:rsid w:val="006861F8"/>
    <w:rsid w:val="00690158"/>
    <w:rsid w:val="006977E9"/>
    <w:rsid w:val="006B2243"/>
    <w:rsid w:val="006B3907"/>
    <w:rsid w:val="006C46ED"/>
    <w:rsid w:val="006C5EDA"/>
    <w:rsid w:val="006C62FC"/>
    <w:rsid w:val="006D6191"/>
    <w:rsid w:val="006E40EA"/>
    <w:rsid w:val="006E4481"/>
    <w:rsid w:val="006E4DE5"/>
    <w:rsid w:val="006E5126"/>
    <w:rsid w:val="006F61E0"/>
    <w:rsid w:val="006F6380"/>
    <w:rsid w:val="00703DBB"/>
    <w:rsid w:val="00710123"/>
    <w:rsid w:val="00710C29"/>
    <w:rsid w:val="00713BF2"/>
    <w:rsid w:val="007203E9"/>
    <w:rsid w:val="00736FBF"/>
    <w:rsid w:val="00745489"/>
    <w:rsid w:val="00753E89"/>
    <w:rsid w:val="0075661A"/>
    <w:rsid w:val="00764D23"/>
    <w:rsid w:val="00765768"/>
    <w:rsid w:val="00766AAD"/>
    <w:rsid w:val="007704C3"/>
    <w:rsid w:val="007741C1"/>
    <w:rsid w:val="00777BD2"/>
    <w:rsid w:val="00777F4E"/>
    <w:rsid w:val="00786137"/>
    <w:rsid w:val="007863FE"/>
    <w:rsid w:val="00790139"/>
    <w:rsid w:val="0079104F"/>
    <w:rsid w:val="00791DCC"/>
    <w:rsid w:val="00794B2C"/>
    <w:rsid w:val="00797E75"/>
    <w:rsid w:val="007A0620"/>
    <w:rsid w:val="007A30FB"/>
    <w:rsid w:val="007A4E85"/>
    <w:rsid w:val="007B2C8C"/>
    <w:rsid w:val="007C091E"/>
    <w:rsid w:val="007C4436"/>
    <w:rsid w:val="007C5CC7"/>
    <w:rsid w:val="007C66CE"/>
    <w:rsid w:val="007D02B9"/>
    <w:rsid w:val="007D0D12"/>
    <w:rsid w:val="007D2DB6"/>
    <w:rsid w:val="007D448F"/>
    <w:rsid w:val="007F0AD2"/>
    <w:rsid w:val="007F2532"/>
    <w:rsid w:val="007F2C2C"/>
    <w:rsid w:val="007F2F20"/>
    <w:rsid w:val="007F3FFC"/>
    <w:rsid w:val="007F68F1"/>
    <w:rsid w:val="008016D0"/>
    <w:rsid w:val="00811D73"/>
    <w:rsid w:val="00814295"/>
    <w:rsid w:val="00817226"/>
    <w:rsid w:val="00817CCB"/>
    <w:rsid w:val="00820290"/>
    <w:rsid w:val="008239EC"/>
    <w:rsid w:val="00827C6B"/>
    <w:rsid w:val="00835568"/>
    <w:rsid w:val="008376DF"/>
    <w:rsid w:val="008421B2"/>
    <w:rsid w:val="00845356"/>
    <w:rsid w:val="00851222"/>
    <w:rsid w:val="00852438"/>
    <w:rsid w:val="00854530"/>
    <w:rsid w:val="008569FC"/>
    <w:rsid w:val="008611CD"/>
    <w:rsid w:val="00871C6C"/>
    <w:rsid w:val="00873886"/>
    <w:rsid w:val="00875A56"/>
    <w:rsid w:val="00875E34"/>
    <w:rsid w:val="0088482E"/>
    <w:rsid w:val="008849A9"/>
    <w:rsid w:val="00886A93"/>
    <w:rsid w:val="00893DE8"/>
    <w:rsid w:val="00894057"/>
    <w:rsid w:val="00895C10"/>
    <w:rsid w:val="008964FA"/>
    <w:rsid w:val="008967F0"/>
    <w:rsid w:val="008973DC"/>
    <w:rsid w:val="008A02AB"/>
    <w:rsid w:val="008A4C28"/>
    <w:rsid w:val="008A6CB4"/>
    <w:rsid w:val="008B22CE"/>
    <w:rsid w:val="008B2594"/>
    <w:rsid w:val="008B29A9"/>
    <w:rsid w:val="008B432E"/>
    <w:rsid w:val="008B4368"/>
    <w:rsid w:val="008C2D79"/>
    <w:rsid w:val="008C5596"/>
    <w:rsid w:val="008D449D"/>
    <w:rsid w:val="008D567B"/>
    <w:rsid w:val="008D5C00"/>
    <w:rsid w:val="008E4D7B"/>
    <w:rsid w:val="008F2C26"/>
    <w:rsid w:val="008F2F31"/>
    <w:rsid w:val="008F37DF"/>
    <w:rsid w:val="008F7850"/>
    <w:rsid w:val="008F7FFE"/>
    <w:rsid w:val="009033DC"/>
    <w:rsid w:val="0091001B"/>
    <w:rsid w:val="00910799"/>
    <w:rsid w:val="00914DAB"/>
    <w:rsid w:val="009228A0"/>
    <w:rsid w:val="00922DF9"/>
    <w:rsid w:val="0092357D"/>
    <w:rsid w:val="00930495"/>
    <w:rsid w:val="00931FF5"/>
    <w:rsid w:val="00934036"/>
    <w:rsid w:val="00943BD4"/>
    <w:rsid w:val="00945603"/>
    <w:rsid w:val="00950BD8"/>
    <w:rsid w:val="0095470A"/>
    <w:rsid w:val="00960170"/>
    <w:rsid w:val="00962442"/>
    <w:rsid w:val="0096430E"/>
    <w:rsid w:val="009644EA"/>
    <w:rsid w:val="009705F0"/>
    <w:rsid w:val="00980F9F"/>
    <w:rsid w:val="00984C5F"/>
    <w:rsid w:val="00994731"/>
    <w:rsid w:val="009A65E6"/>
    <w:rsid w:val="009B3CEB"/>
    <w:rsid w:val="009B4B45"/>
    <w:rsid w:val="009B5857"/>
    <w:rsid w:val="009B5DA8"/>
    <w:rsid w:val="009C06C6"/>
    <w:rsid w:val="009C3C88"/>
    <w:rsid w:val="009C5CE2"/>
    <w:rsid w:val="009D1203"/>
    <w:rsid w:val="009D1958"/>
    <w:rsid w:val="009E0681"/>
    <w:rsid w:val="009E30DF"/>
    <w:rsid w:val="009E7A92"/>
    <w:rsid w:val="009F035B"/>
    <w:rsid w:val="009F0977"/>
    <w:rsid w:val="009F14C3"/>
    <w:rsid w:val="009F3416"/>
    <w:rsid w:val="009F35D0"/>
    <w:rsid w:val="009F6DA7"/>
    <w:rsid w:val="00A0182E"/>
    <w:rsid w:val="00A0538C"/>
    <w:rsid w:val="00A076E5"/>
    <w:rsid w:val="00A11B9C"/>
    <w:rsid w:val="00A151DB"/>
    <w:rsid w:val="00A16B93"/>
    <w:rsid w:val="00A20F4D"/>
    <w:rsid w:val="00A2356F"/>
    <w:rsid w:val="00A2471F"/>
    <w:rsid w:val="00A333D9"/>
    <w:rsid w:val="00A35350"/>
    <w:rsid w:val="00A3554E"/>
    <w:rsid w:val="00A35F27"/>
    <w:rsid w:val="00A410E3"/>
    <w:rsid w:val="00A445F0"/>
    <w:rsid w:val="00A466B1"/>
    <w:rsid w:val="00A47AD4"/>
    <w:rsid w:val="00A534D6"/>
    <w:rsid w:val="00A53992"/>
    <w:rsid w:val="00A542B8"/>
    <w:rsid w:val="00A561DB"/>
    <w:rsid w:val="00A6189C"/>
    <w:rsid w:val="00A712CA"/>
    <w:rsid w:val="00A7386F"/>
    <w:rsid w:val="00A73F46"/>
    <w:rsid w:val="00A7512D"/>
    <w:rsid w:val="00A838EB"/>
    <w:rsid w:val="00A84653"/>
    <w:rsid w:val="00A8549C"/>
    <w:rsid w:val="00A940D9"/>
    <w:rsid w:val="00A95D4E"/>
    <w:rsid w:val="00A96EBD"/>
    <w:rsid w:val="00AA073D"/>
    <w:rsid w:val="00AA5071"/>
    <w:rsid w:val="00AA6071"/>
    <w:rsid w:val="00AB0281"/>
    <w:rsid w:val="00AB2490"/>
    <w:rsid w:val="00AB2A78"/>
    <w:rsid w:val="00AB2DB8"/>
    <w:rsid w:val="00AB330C"/>
    <w:rsid w:val="00AB51C3"/>
    <w:rsid w:val="00AB65E3"/>
    <w:rsid w:val="00AC3440"/>
    <w:rsid w:val="00AD4C2C"/>
    <w:rsid w:val="00AD5581"/>
    <w:rsid w:val="00AD57FF"/>
    <w:rsid w:val="00AD7100"/>
    <w:rsid w:val="00AE6742"/>
    <w:rsid w:val="00AF36EF"/>
    <w:rsid w:val="00B07E2B"/>
    <w:rsid w:val="00B120D2"/>
    <w:rsid w:val="00B15684"/>
    <w:rsid w:val="00B15A6E"/>
    <w:rsid w:val="00B22246"/>
    <w:rsid w:val="00B23902"/>
    <w:rsid w:val="00B27CE0"/>
    <w:rsid w:val="00B32B8C"/>
    <w:rsid w:val="00B362D6"/>
    <w:rsid w:val="00B5550D"/>
    <w:rsid w:val="00B62AC6"/>
    <w:rsid w:val="00B6323A"/>
    <w:rsid w:val="00B6764D"/>
    <w:rsid w:val="00B72750"/>
    <w:rsid w:val="00B75A13"/>
    <w:rsid w:val="00B77056"/>
    <w:rsid w:val="00B8471F"/>
    <w:rsid w:val="00B85EF7"/>
    <w:rsid w:val="00B9312F"/>
    <w:rsid w:val="00B961A3"/>
    <w:rsid w:val="00BA0485"/>
    <w:rsid w:val="00BA2AD9"/>
    <w:rsid w:val="00BA2BB1"/>
    <w:rsid w:val="00BA3AB9"/>
    <w:rsid w:val="00BA7706"/>
    <w:rsid w:val="00BB082A"/>
    <w:rsid w:val="00BB527A"/>
    <w:rsid w:val="00BB6B55"/>
    <w:rsid w:val="00BB6C90"/>
    <w:rsid w:val="00BC32AD"/>
    <w:rsid w:val="00BC3B23"/>
    <w:rsid w:val="00BC7FAC"/>
    <w:rsid w:val="00BD008F"/>
    <w:rsid w:val="00BD438D"/>
    <w:rsid w:val="00BE2F3A"/>
    <w:rsid w:val="00BF0CC7"/>
    <w:rsid w:val="00BF22C4"/>
    <w:rsid w:val="00BF37B6"/>
    <w:rsid w:val="00BF6AD3"/>
    <w:rsid w:val="00C11598"/>
    <w:rsid w:val="00C1449B"/>
    <w:rsid w:val="00C16DC0"/>
    <w:rsid w:val="00C215F6"/>
    <w:rsid w:val="00C21FFF"/>
    <w:rsid w:val="00C23F79"/>
    <w:rsid w:val="00C27409"/>
    <w:rsid w:val="00C27770"/>
    <w:rsid w:val="00C30044"/>
    <w:rsid w:val="00C32772"/>
    <w:rsid w:val="00C332DE"/>
    <w:rsid w:val="00C36C86"/>
    <w:rsid w:val="00C4213C"/>
    <w:rsid w:val="00C53561"/>
    <w:rsid w:val="00C5361C"/>
    <w:rsid w:val="00C54A44"/>
    <w:rsid w:val="00C60023"/>
    <w:rsid w:val="00C72E02"/>
    <w:rsid w:val="00C7684F"/>
    <w:rsid w:val="00C80C5F"/>
    <w:rsid w:val="00C83F91"/>
    <w:rsid w:val="00C8737D"/>
    <w:rsid w:val="00C920D1"/>
    <w:rsid w:val="00C9283F"/>
    <w:rsid w:val="00C93D45"/>
    <w:rsid w:val="00C9679D"/>
    <w:rsid w:val="00C96C30"/>
    <w:rsid w:val="00CA2FF0"/>
    <w:rsid w:val="00CA5DFF"/>
    <w:rsid w:val="00CA72CD"/>
    <w:rsid w:val="00CB25AF"/>
    <w:rsid w:val="00CB444A"/>
    <w:rsid w:val="00CB65C2"/>
    <w:rsid w:val="00CB70F3"/>
    <w:rsid w:val="00CB7BA8"/>
    <w:rsid w:val="00CC001F"/>
    <w:rsid w:val="00CC4E6C"/>
    <w:rsid w:val="00CC585D"/>
    <w:rsid w:val="00CD1DDD"/>
    <w:rsid w:val="00CD2F1C"/>
    <w:rsid w:val="00CE0598"/>
    <w:rsid w:val="00CE2425"/>
    <w:rsid w:val="00CF01DB"/>
    <w:rsid w:val="00CF17D5"/>
    <w:rsid w:val="00D02705"/>
    <w:rsid w:val="00D028D1"/>
    <w:rsid w:val="00D03B8F"/>
    <w:rsid w:val="00D052CF"/>
    <w:rsid w:val="00D060B1"/>
    <w:rsid w:val="00D1177D"/>
    <w:rsid w:val="00D21206"/>
    <w:rsid w:val="00D27BF2"/>
    <w:rsid w:val="00D27D1F"/>
    <w:rsid w:val="00D32449"/>
    <w:rsid w:val="00D34DB3"/>
    <w:rsid w:val="00D3547E"/>
    <w:rsid w:val="00D36702"/>
    <w:rsid w:val="00D3680D"/>
    <w:rsid w:val="00D44A29"/>
    <w:rsid w:val="00D44A99"/>
    <w:rsid w:val="00D50612"/>
    <w:rsid w:val="00D60372"/>
    <w:rsid w:val="00D61891"/>
    <w:rsid w:val="00D62A38"/>
    <w:rsid w:val="00D63AA0"/>
    <w:rsid w:val="00D76780"/>
    <w:rsid w:val="00D76989"/>
    <w:rsid w:val="00D77203"/>
    <w:rsid w:val="00D84F01"/>
    <w:rsid w:val="00D85A6B"/>
    <w:rsid w:val="00D92231"/>
    <w:rsid w:val="00D93B5C"/>
    <w:rsid w:val="00D95F5C"/>
    <w:rsid w:val="00D97CB4"/>
    <w:rsid w:val="00DA3F7A"/>
    <w:rsid w:val="00DA7D79"/>
    <w:rsid w:val="00DD2AFB"/>
    <w:rsid w:val="00DD7906"/>
    <w:rsid w:val="00DD7E05"/>
    <w:rsid w:val="00DE393D"/>
    <w:rsid w:val="00DE4472"/>
    <w:rsid w:val="00DF0866"/>
    <w:rsid w:val="00DF1B1C"/>
    <w:rsid w:val="00DF7F93"/>
    <w:rsid w:val="00E02943"/>
    <w:rsid w:val="00E03361"/>
    <w:rsid w:val="00E119CF"/>
    <w:rsid w:val="00E201A4"/>
    <w:rsid w:val="00E2022D"/>
    <w:rsid w:val="00E22692"/>
    <w:rsid w:val="00E23120"/>
    <w:rsid w:val="00E318F5"/>
    <w:rsid w:val="00E371F6"/>
    <w:rsid w:val="00E43649"/>
    <w:rsid w:val="00E44A60"/>
    <w:rsid w:val="00E530CA"/>
    <w:rsid w:val="00E611EF"/>
    <w:rsid w:val="00E629CA"/>
    <w:rsid w:val="00E64F45"/>
    <w:rsid w:val="00E6733C"/>
    <w:rsid w:val="00E710B3"/>
    <w:rsid w:val="00E72790"/>
    <w:rsid w:val="00E75838"/>
    <w:rsid w:val="00E82113"/>
    <w:rsid w:val="00E94EE5"/>
    <w:rsid w:val="00E94F11"/>
    <w:rsid w:val="00EA34FE"/>
    <w:rsid w:val="00EA5378"/>
    <w:rsid w:val="00EA6575"/>
    <w:rsid w:val="00EA6A53"/>
    <w:rsid w:val="00EB325F"/>
    <w:rsid w:val="00EB688D"/>
    <w:rsid w:val="00EC14B0"/>
    <w:rsid w:val="00ED65FE"/>
    <w:rsid w:val="00EE7459"/>
    <w:rsid w:val="00EF353B"/>
    <w:rsid w:val="00EF5FB5"/>
    <w:rsid w:val="00EF62A4"/>
    <w:rsid w:val="00F03AB1"/>
    <w:rsid w:val="00F04189"/>
    <w:rsid w:val="00F04FA0"/>
    <w:rsid w:val="00F24371"/>
    <w:rsid w:val="00F25EA9"/>
    <w:rsid w:val="00F27517"/>
    <w:rsid w:val="00F35E75"/>
    <w:rsid w:val="00F40DF8"/>
    <w:rsid w:val="00F44D90"/>
    <w:rsid w:val="00F46420"/>
    <w:rsid w:val="00F50837"/>
    <w:rsid w:val="00F5362E"/>
    <w:rsid w:val="00F56A11"/>
    <w:rsid w:val="00F57FCA"/>
    <w:rsid w:val="00F60AD1"/>
    <w:rsid w:val="00F61589"/>
    <w:rsid w:val="00F63CC5"/>
    <w:rsid w:val="00F64A15"/>
    <w:rsid w:val="00F66509"/>
    <w:rsid w:val="00F67B86"/>
    <w:rsid w:val="00F77C76"/>
    <w:rsid w:val="00F8220E"/>
    <w:rsid w:val="00F827A3"/>
    <w:rsid w:val="00F90174"/>
    <w:rsid w:val="00F92372"/>
    <w:rsid w:val="00FA1C7D"/>
    <w:rsid w:val="00FB3C65"/>
    <w:rsid w:val="00FB5CA5"/>
    <w:rsid w:val="00FC1608"/>
    <w:rsid w:val="00FC5D22"/>
    <w:rsid w:val="00FD4AF4"/>
    <w:rsid w:val="00FD4FF9"/>
    <w:rsid w:val="00FD525E"/>
    <w:rsid w:val="00FD58AE"/>
    <w:rsid w:val="00FD7AB7"/>
    <w:rsid w:val="00FE222B"/>
    <w:rsid w:val="00FE4B16"/>
    <w:rsid w:val="00FE56D9"/>
    <w:rsid w:val="00FE7F0B"/>
    <w:rsid w:val="00FF49E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5F"/>
    <w:rPr>
      <w:sz w:val="24"/>
      <w:szCs w:val="24"/>
      <w:lang w:eastAsia="pt-BR"/>
    </w:rPr>
  </w:style>
  <w:style w:type="paragraph" w:styleId="Ttulo1">
    <w:name w:val="heading 1"/>
    <w:basedOn w:val="Normal"/>
    <w:next w:val="Normal"/>
    <w:link w:val="Ttulo1Char"/>
    <w:uiPriority w:val="9"/>
    <w:qFormat/>
    <w:rsid w:val="003B2F06"/>
    <w:pPr>
      <w:keepNext/>
      <w:keepLines/>
      <w:spacing w:before="480" w:line="276" w:lineRule="auto"/>
      <w:outlineLvl w:val="0"/>
    </w:pPr>
    <w:rPr>
      <w:rFonts w:ascii="Calibri" w:eastAsia="MS Gothic" w:hAnsi="Calibri"/>
      <w:b/>
      <w:bCs/>
      <w:color w:val="365F91"/>
      <w:sz w:val="28"/>
      <w:szCs w:val="28"/>
      <w:lang w:val="en-US" w:eastAsia="en-US" w:bidi="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
    <w:name w:val="t"/>
    <w:basedOn w:val="Normal"/>
    <w:next w:val="Normal"/>
    <w:uiPriority w:val="99"/>
    <w:rsid w:val="001A6B5F"/>
    <w:pPr>
      <w:widowControl w:val="0"/>
      <w:autoSpaceDE w:val="0"/>
      <w:autoSpaceDN w:val="0"/>
      <w:adjustRightInd w:val="0"/>
      <w:spacing w:before="64" w:line="250" w:lineRule="atLeast"/>
      <w:ind w:firstLine="512"/>
      <w:jc w:val="both"/>
      <w:textAlignment w:val="center"/>
    </w:pPr>
    <w:rPr>
      <w:rFonts w:ascii="Calibri" w:hAnsi="Calibri" w:cs="Calibri"/>
      <w:color w:val="000000"/>
      <w:sz w:val="22"/>
      <w:szCs w:val="22"/>
    </w:rPr>
  </w:style>
  <w:style w:type="character" w:styleId="Refdecomentrio">
    <w:name w:val="annotation reference"/>
    <w:semiHidden/>
    <w:rsid w:val="001A6B5F"/>
    <w:rPr>
      <w:sz w:val="16"/>
      <w:szCs w:val="16"/>
    </w:rPr>
  </w:style>
  <w:style w:type="paragraph" w:styleId="Textodecomentrio">
    <w:name w:val="annotation text"/>
    <w:basedOn w:val="Normal"/>
    <w:link w:val="TextodecomentrioChar"/>
    <w:semiHidden/>
    <w:rsid w:val="001A6B5F"/>
    <w:pPr>
      <w:spacing w:after="160" w:line="259" w:lineRule="auto"/>
    </w:pPr>
    <w:rPr>
      <w:rFonts w:ascii="Calibri" w:hAnsi="Calibri"/>
      <w:sz w:val="20"/>
      <w:szCs w:val="20"/>
    </w:rPr>
  </w:style>
  <w:style w:type="paragraph" w:styleId="Textodenotaderodap">
    <w:name w:val="footnote text"/>
    <w:basedOn w:val="Normal"/>
    <w:link w:val="TextodenotaderodapChar"/>
    <w:rsid w:val="001A6B5F"/>
    <w:rPr>
      <w:sz w:val="20"/>
      <w:szCs w:val="20"/>
    </w:rPr>
  </w:style>
  <w:style w:type="character" w:styleId="Refdenotaderodap">
    <w:name w:val="footnote reference"/>
    <w:semiHidden/>
    <w:rsid w:val="001A6B5F"/>
    <w:rPr>
      <w:vertAlign w:val="superscript"/>
    </w:rPr>
  </w:style>
  <w:style w:type="character" w:customStyle="1" w:styleId="TextodenotaderodapChar">
    <w:name w:val="Texto de nota de rodapé Char"/>
    <w:link w:val="Textodenotaderodap"/>
    <w:rsid w:val="001A6B5F"/>
    <w:rPr>
      <w:lang w:val="pt-BR" w:eastAsia="pt-BR" w:bidi="ar-SA"/>
    </w:rPr>
  </w:style>
  <w:style w:type="character" w:customStyle="1" w:styleId="TextodecomentrioChar">
    <w:name w:val="Texto de comentário Char"/>
    <w:link w:val="Textodecomentrio"/>
    <w:semiHidden/>
    <w:rsid w:val="001A6B5F"/>
    <w:rPr>
      <w:rFonts w:ascii="Calibri" w:hAnsi="Calibri"/>
      <w:lang w:bidi="ar-SA"/>
    </w:rPr>
  </w:style>
  <w:style w:type="paragraph" w:styleId="Textodebalo">
    <w:name w:val="Balloon Text"/>
    <w:basedOn w:val="Normal"/>
    <w:semiHidden/>
    <w:rsid w:val="001A6B5F"/>
    <w:rPr>
      <w:rFonts w:ascii="Tahoma" w:hAnsi="Tahoma" w:cs="Tahoma"/>
      <w:sz w:val="16"/>
      <w:szCs w:val="16"/>
    </w:rPr>
  </w:style>
  <w:style w:type="paragraph" w:styleId="NormalWeb">
    <w:name w:val="Normal (Web)"/>
    <w:basedOn w:val="Normal"/>
    <w:uiPriority w:val="99"/>
    <w:rsid w:val="001A6B5F"/>
    <w:pPr>
      <w:spacing w:before="100" w:beforeAutospacing="1" w:after="100" w:afterAutospacing="1"/>
    </w:pPr>
  </w:style>
  <w:style w:type="paragraph" w:customStyle="1" w:styleId="nota">
    <w:name w:val="nota"/>
    <w:basedOn w:val="t"/>
    <w:uiPriority w:val="99"/>
    <w:rsid w:val="001A6B5F"/>
    <w:pPr>
      <w:tabs>
        <w:tab w:val="left" w:pos="320"/>
      </w:tabs>
      <w:spacing w:before="0" w:line="200" w:lineRule="atLeast"/>
      <w:ind w:left="213" w:hanging="213"/>
    </w:pPr>
    <w:rPr>
      <w:rFonts w:ascii="Myriad Pro" w:hAnsi="Myriad Pro" w:cs="Myriad Pro"/>
      <w:sz w:val="17"/>
      <w:szCs w:val="17"/>
    </w:rPr>
  </w:style>
  <w:style w:type="character" w:customStyle="1" w:styleId="Ttulo1Char">
    <w:name w:val="Título 1 Char"/>
    <w:basedOn w:val="Fontepargpadro"/>
    <w:link w:val="Ttulo1"/>
    <w:uiPriority w:val="9"/>
    <w:rsid w:val="003B2F06"/>
    <w:rPr>
      <w:rFonts w:ascii="Calibri" w:eastAsia="MS Gothic" w:hAnsi="Calibri"/>
      <w:b/>
      <w:bCs/>
      <w:color w:val="365F91"/>
      <w:sz w:val="28"/>
      <w:szCs w:val="28"/>
      <w:lang w:val="en-US" w:bidi="en-US"/>
    </w:rPr>
  </w:style>
  <w:style w:type="paragraph" w:styleId="Rodap">
    <w:name w:val="footer"/>
    <w:basedOn w:val="Normal"/>
    <w:link w:val="RodapChar"/>
    <w:uiPriority w:val="99"/>
    <w:rsid w:val="008A6CB4"/>
    <w:pPr>
      <w:tabs>
        <w:tab w:val="center" w:pos="4320"/>
        <w:tab w:val="right" w:pos="8640"/>
      </w:tabs>
    </w:pPr>
  </w:style>
  <w:style w:type="character" w:customStyle="1" w:styleId="RodapChar">
    <w:name w:val="Rodapé Char"/>
    <w:basedOn w:val="Fontepargpadro"/>
    <w:link w:val="Rodap"/>
    <w:uiPriority w:val="99"/>
    <w:rsid w:val="008A6CB4"/>
    <w:rPr>
      <w:sz w:val="24"/>
      <w:szCs w:val="24"/>
      <w:lang w:eastAsia="pt-BR"/>
    </w:rPr>
  </w:style>
  <w:style w:type="character" w:styleId="Nmerodepgina">
    <w:name w:val="page number"/>
    <w:basedOn w:val="Fontepargpadro"/>
    <w:rsid w:val="008A6CB4"/>
  </w:style>
  <w:style w:type="paragraph" w:styleId="Assuntodocomentrio">
    <w:name w:val="annotation subject"/>
    <w:basedOn w:val="Textodecomentrio"/>
    <w:next w:val="Textodecomentrio"/>
    <w:link w:val="AssuntodocomentrioChar"/>
    <w:rsid w:val="00D84F01"/>
    <w:pPr>
      <w:spacing w:after="0" w:line="240" w:lineRule="auto"/>
    </w:pPr>
    <w:rPr>
      <w:rFonts w:ascii="Times New Roman" w:hAnsi="Times New Roman"/>
      <w:b/>
      <w:bCs/>
    </w:rPr>
  </w:style>
  <w:style w:type="character" w:customStyle="1" w:styleId="AssuntodocomentrioChar">
    <w:name w:val="Assunto do comentário Char"/>
    <w:basedOn w:val="TextodecomentrioChar"/>
    <w:link w:val="Assuntodocomentrio"/>
    <w:rsid w:val="00D84F01"/>
    <w:rPr>
      <w:rFonts w:ascii="Calibri" w:hAnsi="Calibri"/>
      <w:b/>
      <w:bCs/>
      <w:lang w:eastAsia="pt-BR" w:bidi="ar-SA"/>
    </w:rPr>
  </w:style>
  <w:style w:type="character" w:styleId="Hyperlink">
    <w:name w:val="Hyperlink"/>
    <w:basedOn w:val="Fontepargpadro"/>
    <w:unhideWhenUsed/>
    <w:rsid w:val="003B42DD"/>
    <w:rPr>
      <w:color w:val="0000FF" w:themeColor="hyperlink"/>
      <w:u w:val="single"/>
    </w:rPr>
  </w:style>
  <w:style w:type="paragraph" w:styleId="Cabealho">
    <w:name w:val="header"/>
    <w:basedOn w:val="Normal"/>
    <w:link w:val="CabealhoChar"/>
    <w:semiHidden/>
    <w:unhideWhenUsed/>
    <w:rsid w:val="007F68F1"/>
    <w:pPr>
      <w:tabs>
        <w:tab w:val="center" w:pos="4252"/>
        <w:tab w:val="right" w:pos="8504"/>
      </w:tabs>
    </w:pPr>
  </w:style>
  <w:style w:type="character" w:customStyle="1" w:styleId="CabealhoChar">
    <w:name w:val="Cabeçalho Char"/>
    <w:basedOn w:val="Fontepargpadro"/>
    <w:link w:val="Cabealho"/>
    <w:semiHidden/>
    <w:rsid w:val="007F68F1"/>
    <w:rPr>
      <w:sz w:val="24"/>
      <w:szCs w:val="24"/>
      <w:lang w:eastAsia="pt-BR"/>
    </w:rPr>
  </w:style>
  <w:style w:type="paragraph" w:styleId="Reviso">
    <w:name w:val="Revision"/>
    <w:hidden/>
    <w:uiPriority w:val="71"/>
    <w:semiHidden/>
    <w:rsid w:val="001B69D2"/>
    <w:rPr>
      <w:sz w:val="24"/>
      <w:szCs w:val="24"/>
      <w:lang w:eastAsia="pt-BR"/>
    </w:rPr>
  </w:style>
  <w:style w:type="paragraph" w:customStyle="1" w:styleId="rec">
    <w:name w:val="rec"/>
    <w:basedOn w:val="Normal"/>
    <w:uiPriority w:val="99"/>
    <w:rsid w:val="00012E1F"/>
    <w:pPr>
      <w:widowControl w:val="0"/>
      <w:autoSpaceDE w:val="0"/>
      <w:autoSpaceDN w:val="0"/>
      <w:adjustRightInd w:val="0"/>
      <w:spacing w:before="64" w:line="260" w:lineRule="atLeast"/>
      <w:ind w:left="512" w:firstLine="256"/>
      <w:jc w:val="both"/>
    </w:pPr>
    <w:rPr>
      <w:rFonts w:ascii="Times" w:hAnsi="Times" w:cs="Times"/>
      <w:sz w:val="23"/>
      <w:szCs w:val="23"/>
    </w:rPr>
  </w:style>
  <w:style w:type="paragraph" w:styleId="Recuodecorpodetexto">
    <w:name w:val="Body Text Indent"/>
    <w:basedOn w:val="Normal"/>
    <w:link w:val="RecuodecorpodetextoChar"/>
    <w:rsid w:val="00012E1F"/>
    <w:pPr>
      <w:spacing w:before="120" w:after="120" w:line="360" w:lineRule="auto"/>
      <w:ind w:firstLine="1701"/>
      <w:jc w:val="both"/>
    </w:pPr>
    <w:rPr>
      <w:szCs w:val="20"/>
    </w:rPr>
  </w:style>
  <w:style w:type="character" w:customStyle="1" w:styleId="RecuodecorpodetextoChar">
    <w:name w:val="Recuo de corpo de texto Char"/>
    <w:basedOn w:val="Fontepargpadro"/>
    <w:link w:val="Recuodecorpodetexto"/>
    <w:rsid w:val="00012E1F"/>
    <w:rPr>
      <w:sz w:val="24"/>
      <w:lang w:eastAsia="pt-BR"/>
    </w:rPr>
  </w:style>
  <w:style w:type="table" w:styleId="Tabelacomgrade">
    <w:name w:val="Table Grid"/>
    <w:basedOn w:val="Tabelanormal"/>
    <w:rsid w:val="00FC5D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Fontepargpadro"/>
    <w:uiPriority w:val="99"/>
    <w:semiHidden/>
    <w:unhideWhenUsed/>
    <w:rsid w:val="00000FC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42206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21CCE-8EB9-4B3B-B2C1-6F9715CAD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3175</Words>
  <Characters>17151</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O Novo Código de Processo Civil teve a feliz opção de equalizar expressamente a união estável ao casamento em vários de seus preceitos, o que trará consequências para o modo como a comparação dessas entidades familiares é feita no âmbito do direito mater</vt:lpstr>
    </vt:vector>
  </TitlesOfParts>
  <Company>R&amp;R Informatica</Company>
  <LinksUpToDate>false</LinksUpToDate>
  <CharactersWithSpaces>20286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 Novo Código de Processo Civil teve a feliz opção de equalizar expressamente a união estável ao casamento em vários de seus preceitos, o que trará consequências para o modo como a comparação dessas entidades familiares é feita no âmbito do direito mater</dc:title>
  <dc:creator>Douglas</dc:creator>
  <cp:lastModifiedBy>Flavio</cp:lastModifiedBy>
  <cp:revision>2</cp:revision>
  <cp:lastPrinted>2016-09-23T18:20:00Z</cp:lastPrinted>
  <dcterms:created xsi:type="dcterms:W3CDTF">2024-10-24T21:45:00Z</dcterms:created>
  <dcterms:modified xsi:type="dcterms:W3CDTF">2024-10-24T21:45:00Z</dcterms:modified>
</cp:coreProperties>
</file>