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C5CC9" w14:textId="6DCDCD3E" w:rsidR="00F268FD" w:rsidRPr="006D568E" w:rsidRDefault="00647572">
      <w:pPr>
        <w:spacing w:before="120" w:after="120" w:line="360" w:lineRule="auto"/>
        <w:jc w:val="center"/>
        <w:rPr>
          <w:rFonts w:ascii="Times New Roman" w:hAnsi="Times New Roman" w:cs="Times New Roman"/>
          <w:sz w:val="24"/>
          <w:szCs w:val="24"/>
        </w:rPr>
      </w:pPr>
      <w:r>
        <w:rPr>
          <w:rFonts w:ascii="Times New Roman" w:hAnsi="Times New Roman" w:cs="Times New Roman"/>
          <w:b/>
          <w:bCs/>
          <w:sz w:val="24"/>
          <w:szCs w:val="24"/>
        </w:rPr>
        <w:t xml:space="preserve">A </w:t>
      </w:r>
      <w:r w:rsidR="0020197F">
        <w:rPr>
          <w:rFonts w:ascii="Times New Roman" w:hAnsi="Times New Roman" w:cs="Times New Roman"/>
          <w:b/>
          <w:bCs/>
          <w:sz w:val="24"/>
          <w:szCs w:val="24"/>
        </w:rPr>
        <w:t>CONTROVE</w:t>
      </w:r>
      <w:r w:rsidR="00E839C3">
        <w:rPr>
          <w:rFonts w:ascii="Times New Roman" w:hAnsi="Times New Roman" w:cs="Times New Roman"/>
          <w:b/>
          <w:bCs/>
          <w:sz w:val="24"/>
          <w:szCs w:val="24"/>
        </w:rPr>
        <w:t>R</w:t>
      </w:r>
      <w:r w:rsidR="0020197F">
        <w:rPr>
          <w:rFonts w:ascii="Times New Roman" w:hAnsi="Times New Roman" w:cs="Times New Roman"/>
          <w:b/>
          <w:bCs/>
          <w:sz w:val="24"/>
          <w:szCs w:val="24"/>
        </w:rPr>
        <w:t>SA</w:t>
      </w:r>
      <w:r>
        <w:rPr>
          <w:rFonts w:ascii="Times New Roman" w:hAnsi="Times New Roman" w:cs="Times New Roman"/>
          <w:b/>
          <w:bCs/>
          <w:sz w:val="24"/>
          <w:szCs w:val="24"/>
        </w:rPr>
        <w:t xml:space="preserve"> USUCAPIÃO ENTRE HERDEIROS. </w:t>
      </w:r>
    </w:p>
    <w:p w14:paraId="2EB06250" w14:textId="77777777" w:rsidR="00F268FD" w:rsidRPr="006D568E" w:rsidRDefault="00F268FD" w:rsidP="00447D60">
      <w:pPr>
        <w:spacing w:before="120" w:after="120" w:line="360" w:lineRule="auto"/>
        <w:ind w:firstLine="1701"/>
        <w:jc w:val="right"/>
        <w:rPr>
          <w:rFonts w:ascii="Times New Roman" w:hAnsi="Times New Roman" w:cs="Times New Roman"/>
          <w:bCs/>
          <w:sz w:val="24"/>
          <w:szCs w:val="24"/>
        </w:rPr>
      </w:pPr>
    </w:p>
    <w:p w14:paraId="3FB861FE" w14:textId="77777777" w:rsidR="00805969" w:rsidRPr="006D568E" w:rsidRDefault="00B15AD0" w:rsidP="00447D60">
      <w:pPr>
        <w:spacing w:before="120" w:after="120" w:line="360" w:lineRule="auto"/>
        <w:ind w:firstLine="1701"/>
        <w:jc w:val="right"/>
        <w:rPr>
          <w:rFonts w:ascii="Times New Roman" w:hAnsi="Times New Roman" w:cs="Times New Roman"/>
          <w:bCs/>
          <w:sz w:val="24"/>
          <w:szCs w:val="24"/>
        </w:rPr>
      </w:pPr>
      <w:r w:rsidRPr="006D568E">
        <w:rPr>
          <w:rFonts w:ascii="Times New Roman" w:hAnsi="Times New Roman" w:cs="Times New Roman"/>
          <w:bCs/>
          <w:sz w:val="24"/>
          <w:szCs w:val="24"/>
        </w:rPr>
        <w:t>Flávio Tartuce</w:t>
      </w:r>
      <w:r w:rsidRPr="006D568E">
        <w:rPr>
          <w:rFonts w:ascii="Times New Roman" w:hAnsi="Times New Roman" w:cs="Times New Roman"/>
          <w:bCs/>
          <w:sz w:val="24"/>
          <w:szCs w:val="24"/>
          <w:vertAlign w:val="superscript"/>
        </w:rPr>
        <w:footnoteReference w:id="1"/>
      </w:r>
    </w:p>
    <w:p w14:paraId="4514B1CC" w14:textId="77777777" w:rsidR="00443E8E" w:rsidRDefault="00443E8E">
      <w:pPr>
        <w:pStyle w:val="t"/>
        <w:spacing w:before="120" w:after="120" w:line="360" w:lineRule="auto"/>
        <w:ind w:firstLine="1701"/>
        <w:rPr>
          <w:rFonts w:ascii="Times New Roman" w:hAnsi="Times New Roman" w:cs="Times New Roman"/>
          <w:sz w:val="24"/>
          <w:szCs w:val="24"/>
        </w:rPr>
      </w:pPr>
    </w:p>
    <w:p w14:paraId="0CD09188" w14:textId="77777777" w:rsidR="00DE7F51" w:rsidRPr="00DE7F51" w:rsidRDefault="00DE7F51">
      <w:pPr>
        <w:pStyle w:val="t"/>
        <w:spacing w:before="120" w:after="120" w:line="360" w:lineRule="auto"/>
        <w:ind w:firstLine="1701"/>
        <w:rPr>
          <w:rFonts w:ascii="Times New Roman" w:hAnsi="Times New Roman" w:cs="Times New Roman"/>
          <w:kern w:val="2"/>
          <w:sz w:val="24"/>
          <w:szCs w:val="24"/>
          <w14:ligatures w14:val="standardContextual"/>
        </w:rPr>
      </w:pPr>
      <w:r w:rsidRPr="00DE7F51">
        <w:rPr>
          <w:rFonts w:ascii="Times New Roman" w:hAnsi="Times New Roman" w:cs="Times New Roman"/>
          <w:sz w:val="24"/>
          <w:szCs w:val="24"/>
        </w:rPr>
        <w:t>Temática que há tempos levanta muito debate na teoria e na prática é a relativa à usucapião entre herdeiros, assunto que envolve três livros distintos do Código Civil, quais sejam o de Direito das Coisas, o de Direito de Família e o de Direito das Sucessões. Há tempos analiso a questão sob a perspectiva da usucapião entre condôminos, com citação das precisas lições da Mestra Maria Helena Diniz:</w:t>
      </w:r>
    </w:p>
    <w:p w14:paraId="7F0E8FC2" w14:textId="77777777" w:rsidR="00647572" w:rsidRPr="00647572" w:rsidRDefault="00647572" w:rsidP="00647572">
      <w:pPr>
        <w:pStyle w:val="t"/>
        <w:spacing w:before="120" w:after="120" w:line="360" w:lineRule="auto"/>
        <w:ind w:left="567" w:firstLine="0"/>
        <w:rPr>
          <w:rFonts w:ascii="Times New Roman" w:hAnsi="Times New Roman" w:cs="Times New Roman"/>
          <w:sz w:val="22"/>
          <w:szCs w:val="22"/>
        </w:rPr>
      </w:pPr>
      <w:r w:rsidRPr="00647572">
        <w:rPr>
          <w:rFonts w:ascii="Times New Roman" w:hAnsi="Times New Roman" w:cs="Times New Roman"/>
          <w:sz w:val="22"/>
          <w:szCs w:val="22"/>
        </w:rPr>
        <w:t xml:space="preserve">“Entendem a doutrina e a jurisprudência que é impossível a aquisição por usucapião contra os outros condôminos, enquanto subsistir o estado de indivisão (RJTJSP 52:187, 45:184; JTJ 152:209; RT 495:213, 547:84, 530:179), pois não pode haver usucapião de área incerta. Para que se torne possível a um condômino usucapir contra os demais, necessário seria de sua parte um comportamento de proprietário exclusivo (RT 427:82), ou a inversão de sua posse, abrangendo o todo e não apenas uma parte (RT 576:113; RJTJESP 62:197), ou seja, o condômino para pretender a usucapião deverá ter sobre o todo posse exclusiva, cessando o estado de comunhão” (DINIZ, Maria Helena. </w:t>
      </w:r>
      <w:r w:rsidRPr="00647572">
        <w:rPr>
          <w:rFonts w:ascii="Times New Roman" w:hAnsi="Times New Roman" w:cs="Times New Roman"/>
          <w:i/>
          <w:sz w:val="22"/>
          <w:szCs w:val="22"/>
        </w:rPr>
        <w:t>Curso de Direito Civil Brasileiro</w:t>
      </w:r>
      <w:r>
        <w:rPr>
          <w:rFonts w:ascii="Times New Roman" w:hAnsi="Times New Roman" w:cs="Times New Roman"/>
          <w:sz w:val="22"/>
          <w:szCs w:val="22"/>
        </w:rPr>
        <w:t>. Volume 4. Direito das Coisas. São Paulo: Saraiva, 40ª Edição, 2026, p. 134</w:t>
      </w:r>
      <w:r w:rsidRPr="00647572">
        <w:rPr>
          <w:rFonts w:ascii="Times New Roman" w:hAnsi="Times New Roman" w:cs="Times New Roman"/>
          <w:sz w:val="22"/>
          <w:szCs w:val="22"/>
        </w:rPr>
        <w:t>).</w:t>
      </w:r>
    </w:p>
    <w:p w14:paraId="6CAE01DB" w14:textId="20A4338B" w:rsidR="00647572" w:rsidRPr="00647572" w:rsidRDefault="00647572" w:rsidP="00647572">
      <w:pPr>
        <w:pStyle w:val="t"/>
        <w:spacing w:before="120" w:after="120" w:line="360" w:lineRule="auto"/>
        <w:ind w:firstLine="1701"/>
        <w:rPr>
          <w:rFonts w:ascii="Times New Roman" w:hAnsi="Times New Roman" w:cs="Times New Roman"/>
          <w:sz w:val="24"/>
          <w:szCs w:val="24"/>
        </w:rPr>
      </w:pPr>
      <w:r>
        <w:rPr>
          <w:rFonts w:ascii="Times New Roman" w:hAnsi="Times New Roman" w:cs="Times New Roman"/>
          <w:sz w:val="24"/>
          <w:szCs w:val="24"/>
        </w:rPr>
        <w:t>A par dessas palavras, e</w:t>
      </w:r>
      <w:r w:rsidRPr="00647572">
        <w:rPr>
          <w:rFonts w:ascii="Times New Roman" w:hAnsi="Times New Roman" w:cs="Times New Roman"/>
          <w:sz w:val="24"/>
          <w:szCs w:val="24"/>
        </w:rPr>
        <w:t xml:space="preserve">m relação à usucapião em favor de um herdeiro contra o outro, o raciocínio deve ser </w:t>
      </w:r>
      <w:r>
        <w:rPr>
          <w:rFonts w:ascii="Times New Roman" w:hAnsi="Times New Roman" w:cs="Times New Roman"/>
          <w:sz w:val="24"/>
          <w:szCs w:val="24"/>
        </w:rPr>
        <w:t>idêntico</w:t>
      </w:r>
      <w:r w:rsidRPr="00647572">
        <w:rPr>
          <w:rFonts w:ascii="Times New Roman" w:hAnsi="Times New Roman" w:cs="Times New Roman"/>
          <w:sz w:val="24"/>
          <w:szCs w:val="24"/>
        </w:rPr>
        <w:t>, sendo a usucapião exceção nesses casos, e não a regra. Isso porque a herança é um bem imóvel e indivisível antes da partilha, o que decorre do princípio</w:t>
      </w:r>
      <w:r w:rsidR="000C50CB">
        <w:rPr>
          <w:rFonts w:ascii="Times New Roman" w:hAnsi="Times New Roman" w:cs="Times New Roman"/>
          <w:sz w:val="24"/>
          <w:szCs w:val="24"/>
        </w:rPr>
        <w:t xml:space="preserve"> da</w:t>
      </w:r>
      <w:r w:rsidRPr="00647572">
        <w:rPr>
          <w:rFonts w:ascii="Times New Roman" w:hAnsi="Times New Roman" w:cs="Times New Roman"/>
          <w:sz w:val="24"/>
          <w:szCs w:val="24"/>
        </w:rPr>
        <w:t xml:space="preserve"> </w:t>
      </w:r>
      <w:r w:rsidRPr="00647572">
        <w:rPr>
          <w:rFonts w:ascii="Times New Roman" w:hAnsi="Times New Roman" w:cs="Times New Roman"/>
          <w:i/>
          <w:sz w:val="24"/>
          <w:szCs w:val="24"/>
        </w:rPr>
        <w:t>saisine</w:t>
      </w:r>
      <w:r w:rsidRPr="00647572">
        <w:rPr>
          <w:rFonts w:ascii="Times New Roman" w:hAnsi="Times New Roman" w:cs="Times New Roman"/>
          <w:sz w:val="24"/>
          <w:szCs w:val="24"/>
        </w:rPr>
        <w:t>, havendo um condomínio entre os herdeiros até o momento da divisão.</w:t>
      </w:r>
    </w:p>
    <w:p w14:paraId="6F8AD756" w14:textId="4EA91FDC" w:rsidR="00A07476" w:rsidRPr="00A07476" w:rsidRDefault="00530D2E" w:rsidP="00A07476">
      <w:pPr>
        <w:pStyle w:val="t"/>
        <w:spacing w:before="120" w:after="120"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Concluindo da mesma forma, </w:t>
      </w:r>
      <w:r w:rsidR="00A07476" w:rsidRPr="00A07476">
        <w:rPr>
          <w:rFonts w:ascii="Times New Roman" w:hAnsi="Times New Roman" w:cs="Times New Roman"/>
          <w:sz w:val="24"/>
          <w:szCs w:val="24"/>
        </w:rPr>
        <w:t xml:space="preserve">Carlos </w:t>
      </w:r>
      <w:r w:rsidR="00F43E63">
        <w:rPr>
          <w:rFonts w:ascii="Times New Roman" w:hAnsi="Times New Roman" w:cs="Times New Roman"/>
          <w:sz w:val="24"/>
          <w:szCs w:val="24"/>
        </w:rPr>
        <w:t xml:space="preserve">Eduardo </w:t>
      </w:r>
      <w:r w:rsidR="00A07476" w:rsidRPr="00A07476">
        <w:rPr>
          <w:rFonts w:ascii="Times New Roman" w:hAnsi="Times New Roman" w:cs="Times New Roman"/>
          <w:sz w:val="24"/>
          <w:szCs w:val="24"/>
        </w:rPr>
        <w:t xml:space="preserve">Elias de Oliveira e João Costa-Neto </w:t>
      </w:r>
      <w:r w:rsidR="00A07476">
        <w:rPr>
          <w:rFonts w:ascii="Times New Roman" w:hAnsi="Times New Roman" w:cs="Times New Roman"/>
          <w:sz w:val="24"/>
          <w:szCs w:val="24"/>
        </w:rPr>
        <w:t>asseveram</w:t>
      </w:r>
      <w:r w:rsidR="00A07476" w:rsidRPr="00A07476">
        <w:rPr>
          <w:rFonts w:ascii="Times New Roman" w:hAnsi="Times New Roman" w:cs="Times New Roman"/>
          <w:sz w:val="24"/>
          <w:szCs w:val="24"/>
        </w:rPr>
        <w:t xml:space="preserve"> o caráter excepcional da usucapião entre herdeiros</w:t>
      </w:r>
      <w:r w:rsidR="00A07476">
        <w:rPr>
          <w:rFonts w:ascii="Times New Roman" w:hAnsi="Times New Roman" w:cs="Times New Roman"/>
          <w:sz w:val="24"/>
          <w:szCs w:val="24"/>
        </w:rPr>
        <w:t>,</w:t>
      </w:r>
      <w:r w:rsidR="00DE7F51">
        <w:rPr>
          <w:rFonts w:ascii="Times New Roman" w:hAnsi="Times New Roman" w:cs="Times New Roman"/>
          <w:sz w:val="24"/>
          <w:szCs w:val="24"/>
        </w:rPr>
        <w:t xml:space="preserve"> ressaltando o rigor do julgar na análise da sua viabilidade jurídica, </w:t>
      </w:r>
      <w:r w:rsidR="00A07476">
        <w:rPr>
          <w:rFonts w:ascii="Times New Roman" w:hAnsi="Times New Roman" w:cs="Times New Roman"/>
          <w:sz w:val="24"/>
          <w:szCs w:val="24"/>
        </w:rPr>
        <w:t>merecendo destaque as suas palavras</w:t>
      </w:r>
      <w:r w:rsidR="00A07476" w:rsidRPr="00A07476">
        <w:rPr>
          <w:rFonts w:ascii="Times New Roman" w:hAnsi="Times New Roman" w:cs="Times New Roman"/>
          <w:sz w:val="24"/>
          <w:szCs w:val="24"/>
        </w:rPr>
        <w:t xml:space="preserve">: </w:t>
      </w:r>
    </w:p>
    <w:p w14:paraId="3C73F1B5" w14:textId="77777777" w:rsidR="00A07476" w:rsidRPr="00A07476" w:rsidRDefault="00A07476" w:rsidP="00A07476">
      <w:pPr>
        <w:pStyle w:val="t"/>
        <w:spacing w:before="120" w:after="120" w:line="360" w:lineRule="auto"/>
        <w:ind w:left="567" w:firstLine="0"/>
        <w:rPr>
          <w:rFonts w:ascii="Times New Roman" w:hAnsi="Times New Roman" w:cs="Times New Roman"/>
          <w:sz w:val="22"/>
          <w:szCs w:val="22"/>
        </w:rPr>
      </w:pPr>
      <w:r w:rsidRPr="00A07476">
        <w:rPr>
          <w:rFonts w:ascii="Times New Roman" w:hAnsi="Times New Roman" w:cs="Times New Roman"/>
          <w:sz w:val="22"/>
          <w:szCs w:val="22"/>
        </w:rPr>
        <w:lastRenderedPageBreak/>
        <w:t>“Até a partilha, a herança é indivisível e sujeita os herdeiros às regras de condomínio tradicional no que couber (art. 1.791, CC). Daí decorre que o mero fato de um herdeiro ocupar exclusivamente um bem significa que ele é presumidamente um representante dos demais por força do art. 1.324 do CC e, assim, não pode invocar a usucapião. Todavia, há exceção: se esse herdeiro fizer prova cabal de que exercia a posse exclusiva do bem como se fosse dono (</w:t>
      </w:r>
      <w:r w:rsidRPr="00A07476">
        <w:rPr>
          <w:rFonts w:ascii="Times New Roman" w:hAnsi="Times New Roman" w:cs="Times New Roman"/>
          <w:i/>
          <w:iCs/>
          <w:sz w:val="22"/>
          <w:szCs w:val="22"/>
        </w:rPr>
        <w:t>animus domini</w:t>
      </w:r>
      <w:r w:rsidRPr="00A07476">
        <w:rPr>
          <w:rFonts w:ascii="Times New Roman" w:hAnsi="Times New Roman" w:cs="Times New Roman"/>
          <w:sz w:val="22"/>
          <w:szCs w:val="22"/>
        </w:rPr>
        <w:t>), será cabível a usucapião.</w:t>
      </w:r>
    </w:p>
    <w:p w14:paraId="2E628F3C" w14:textId="45EEFF85" w:rsidR="00530D2E" w:rsidRPr="00A07476" w:rsidRDefault="00A07476" w:rsidP="00A07476">
      <w:pPr>
        <w:pStyle w:val="t"/>
        <w:spacing w:before="120" w:after="120" w:line="360" w:lineRule="auto"/>
        <w:ind w:left="567" w:firstLine="0"/>
        <w:rPr>
          <w:rFonts w:ascii="Times New Roman" w:hAnsi="Times New Roman" w:cs="Times New Roman"/>
          <w:sz w:val="22"/>
          <w:szCs w:val="22"/>
        </w:rPr>
      </w:pPr>
      <w:r w:rsidRPr="00A07476">
        <w:rPr>
          <w:rFonts w:ascii="Times New Roman" w:hAnsi="Times New Roman" w:cs="Times New Roman"/>
          <w:sz w:val="22"/>
          <w:szCs w:val="22"/>
        </w:rPr>
        <w:t xml:space="preserve">Alertamos que é preciso o juiz ser rigoroso em exigir prova cabal de que o herdeiro estava a exercer a posse exclusiva em total desdém com o direito dos demais herdeiros, sob pena de prestigiar a má-fé e de prejudicar a confiança que impera nas relações familiares. A propósito, em vários casos em que o STJ admitiu a usucapião por herdeiro, o herdeiro usucapiente já exercia posse sobre o bem usucapido desde antes da abertura da sucessão (STJ, REsp 668131/PR, 4ª Turma, Rel. Ministro Luis Felipe Salomão, DJe 14/09/2010).” (OLIVEIRA, Carlos E. Elias de; COSTA-NETO, João. </w:t>
      </w:r>
      <w:r w:rsidRPr="00A07476">
        <w:rPr>
          <w:rFonts w:ascii="Times New Roman" w:hAnsi="Times New Roman" w:cs="Times New Roman"/>
          <w:i/>
          <w:iCs/>
          <w:sz w:val="22"/>
          <w:szCs w:val="22"/>
        </w:rPr>
        <w:t>Direito Civil.</w:t>
      </w:r>
      <w:r>
        <w:rPr>
          <w:rFonts w:ascii="Times New Roman" w:hAnsi="Times New Roman" w:cs="Times New Roman"/>
          <w:sz w:val="22"/>
          <w:szCs w:val="22"/>
        </w:rPr>
        <w:t xml:space="preserve"> Volume Único. </w:t>
      </w:r>
      <w:r w:rsidRPr="00A07476">
        <w:rPr>
          <w:rFonts w:ascii="Times New Roman" w:hAnsi="Times New Roman" w:cs="Times New Roman"/>
          <w:sz w:val="22"/>
          <w:szCs w:val="22"/>
        </w:rPr>
        <w:t xml:space="preserve">Rio de Janeiro: Forense, </w:t>
      </w:r>
      <w:r>
        <w:rPr>
          <w:rFonts w:ascii="Times New Roman" w:hAnsi="Times New Roman" w:cs="Times New Roman"/>
          <w:sz w:val="22"/>
          <w:szCs w:val="22"/>
        </w:rPr>
        <w:t xml:space="preserve">5ª Edição, </w:t>
      </w:r>
      <w:r w:rsidRPr="00A07476">
        <w:rPr>
          <w:rFonts w:ascii="Times New Roman" w:hAnsi="Times New Roman" w:cs="Times New Roman"/>
          <w:sz w:val="22"/>
          <w:szCs w:val="22"/>
        </w:rPr>
        <w:t>2026</w:t>
      </w:r>
      <w:r>
        <w:rPr>
          <w:rFonts w:ascii="Times New Roman" w:hAnsi="Times New Roman" w:cs="Times New Roman"/>
          <w:sz w:val="22"/>
          <w:szCs w:val="22"/>
        </w:rPr>
        <w:t xml:space="preserve">, </w:t>
      </w:r>
      <w:r w:rsidRPr="00A07476">
        <w:rPr>
          <w:rFonts w:ascii="Times New Roman" w:hAnsi="Times New Roman" w:cs="Times New Roman"/>
          <w:sz w:val="22"/>
          <w:szCs w:val="22"/>
        </w:rPr>
        <w:t>p. 1237.)</w:t>
      </w:r>
    </w:p>
    <w:p w14:paraId="2B059945" w14:textId="192D3C11" w:rsidR="00647572" w:rsidRPr="00443E8E" w:rsidRDefault="00000000">
      <w:pPr>
        <w:pStyle w:val="t"/>
        <w:spacing w:before="120" w:after="120" w:line="360" w:lineRule="auto"/>
        <w:ind w:firstLine="1701"/>
        <w:rPr>
          <w:rFonts w:ascii="Times New Roman" w:hAnsi="Times New Roman" w:cs="Times New Roman"/>
          <w:i/>
          <w:sz w:val="24"/>
          <w:szCs w:val="24"/>
        </w:rPr>
      </w:pPr>
      <w:r w:rsidRPr="00443E8E">
        <w:rPr>
          <w:rFonts w:ascii="Times New Roman" w:hAnsi="Times New Roman" w:cs="Times New Roman"/>
          <w:sz w:val="24"/>
          <w:szCs w:val="24"/>
        </w:rPr>
        <w:t xml:space="preserve">Exatamente nesse sentido, seguindo as lições transcritas, julgado do Superior Tribunal de Justiça do ano de 2018 admitiu a usucapião extraordinária na relação entre herdeiros, pois um deles exercia a posse sobre a coisa em nome próprio, com </w:t>
      </w:r>
      <w:r w:rsidRPr="00443E8E">
        <w:rPr>
          <w:rFonts w:ascii="Times New Roman" w:hAnsi="Times New Roman" w:cs="Times New Roman"/>
          <w:i/>
          <w:sz w:val="24"/>
          <w:szCs w:val="24"/>
        </w:rPr>
        <w:t>animus domini</w:t>
      </w:r>
      <w:r w:rsidRPr="00443E8E">
        <w:rPr>
          <w:rFonts w:ascii="Times New Roman" w:hAnsi="Times New Roman" w:cs="Times New Roman"/>
          <w:sz w:val="24"/>
          <w:szCs w:val="24"/>
        </w:rPr>
        <w:t>. Vejamos trecho da ementa:</w:t>
      </w:r>
    </w:p>
    <w:p w14:paraId="4F736024" w14:textId="008337C6" w:rsidR="00647572" w:rsidRPr="00647572" w:rsidRDefault="00647572" w:rsidP="00647572">
      <w:pPr>
        <w:pStyle w:val="t"/>
        <w:spacing w:before="120" w:after="120" w:line="360" w:lineRule="auto"/>
        <w:ind w:left="567" w:firstLine="0"/>
        <w:rPr>
          <w:rFonts w:ascii="Times New Roman" w:hAnsi="Times New Roman" w:cs="Times New Roman"/>
          <w:sz w:val="22"/>
          <w:szCs w:val="22"/>
        </w:rPr>
      </w:pPr>
      <w:r w:rsidRPr="00647572">
        <w:rPr>
          <w:rFonts w:ascii="Times New Roman" w:hAnsi="Times New Roman" w:cs="Times New Roman"/>
          <w:sz w:val="22"/>
          <w:szCs w:val="22"/>
        </w:rPr>
        <w:t xml:space="preserve">“(...) O condômino tem legitimidade para usucapir em nome próprio, desde que exerça a posse por si mesmo, ou seja, desde que comprovados os requisitos legais atinentes à usucapião, bem como tenha sido exercida posse exclusiva com efetivo </w:t>
      </w:r>
      <w:r w:rsidRPr="00AA3F2B">
        <w:rPr>
          <w:rFonts w:ascii="Times New Roman" w:hAnsi="Times New Roman" w:cs="Times New Roman"/>
          <w:i/>
          <w:iCs/>
          <w:sz w:val="22"/>
          <w:szCs w:val="22"/>
        </w:rPr>
        <w:t>animus domini</w:t>
      </w:r>
      <w:r w:rsidRPr="00647572">
        <w:rPr>
          <w:rFonts w:ascii="Times New Roman" w:hAnsi="Times New Roman" w:cs="Times New Roman"/>
          <w:sz w:val="22"/>
          <w:szCs w:val="22"/>
        </w:rPr>
        <w:t xml:space="preserve"> pelo prazo determinado em lei, sem qualquer oposição dos demais proprietários. Sob essa ótica, tem-se, assim, que é possível à recorrente pleitear a declaração da prescrição aquisitiva em desfavor de seu irmão – o outro herdeiro/condômino –, desde que, obviamente, observados os requisitos para a configuração da usucapião extraordinária, previstos no art. 1.238 do CC/2002, quais sejam, lapso temporal de 15 (quinze) anos cumulado com a posse exclusiva, ininterrupta e sem oposição do bem. A presente ação de usucapião ajuizada pela recorrente não deveria ter sido extinta, sem resolução do mérito, devendo os autos retornar à origem a fim de que a esta seja conferida a necessária dilação probatória para a comprovação da exclusividade de sua posse, bem como dos demais requisitos da usucapião extraordinária” (STJ, REsp 1.631.859/SP, 3.ª Turma, Rel. Min. Nancy Andrighi, j. 22.05.2018, DJe 29.05.2018).</w:t>
      </w:r>
    </w:p>
    <w:p w14:paraId="183C2D88" w14:textId="7DDCD372" w:rsidR="00647572" w:rsidRDefault="00647572" w:rsidP="00647572">
      <w:pPr>
        <w:pStyle w:val="t"/>
        <w:spacing w:before="120" w:after="120"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Vale lembrar, a esse propósito e como constou do </w:t>
      </w:r>
      <w:r w:rsidRPr="00647572">
        <w:rPr>
          <w:rFonts w:ascii="Times New Roman" w:hAnsi="Times New Roman" w:cs="Times New Roman"/>
          <w:i/>
          <w:sz w:val="24"/>
          <w:szCs w:val="24"/>
        </w:rPr>
        <w:t>decisum</w:t>
      </w:r>
      <w:r>
        <w:rPr>
          <w:rFonts w:ascii="Times New Roman" w:hAnsi="Times New Roman" w:cs="Times New Roman"/>
          <w:sz w:val="24"/>
          <w:szCs w:val="24"/>
        </w:rPr>
        <w:t>, que a usucapião extraordinária dispensa os requisitos do justo título e da boa-fé, bastando a presença da posse ad usucapionem, com todos os seus requisitos, pelo prazo de quinze anos. Nos termos do</w:t>
      </w:r>
      <w:r w:rsidRPr="000C50CB">
        <w:rPr>
          <w:rFonts w:ascii="Times New Roman" w:hAnsi="Times New Roman" w:cs="Times New Roman"/>
          <w:i/>
          <w:iCs/>
          <w:sz w:val="24"/>
          <w:szCs w:val="24"/>
        </w:rPr>
        <w:t xml:space="preserve"> </w:t>
      </w:r>
      <w:r w:rsidR="000C50CB" w:rsidRPr="000C50CB">
        <w:rPr>
          <w:rFonts w:ascii="Times New Roman" w:hAnsi="Times New Roman" w:cs="Times New Roman"/>
          <w:i/>
          <w:iCs/>
          <w:sz w:val="24"/>
          <w:szCs w:val="24"/>
        </w:rPr>
        <w:t>caput</w:t>
      </w:r>
      <w:r w:rsidR="000C50CB">
        <w:rPr>
          <w:rFonts w:ascii="Times New Roman" w:hAnsi="Times New Roman" w:cs="Times New Roman"/>
          <w:sz w:val="24"/>
          <w:szCs w:val="24"/>
        </w:rPr>
        <w:t xml:space="preserve"> do </w:t>
      </w:r>
      <w:r>
        <w:rPr>
          <w:rFonts w:ascii="Times New Roman" w:hAnsi="Times New Roman" w:cs="Times New Roman"/>
          <w:sz w:val="24"/>
          <w:szCs w:val="24"/>
        </w:rPr>
        <w:t>art. 1.238 do Código Civil, "a</w:t>
      </w:r>
      <w:r w:rsidRPr="00647572">
        <w:rPr>
          <w:rFonts w:ascii="Times New Roman" w:hAnsi="Times New Roman" w:cs="Times New Roman"/>
          <w:sz w:val="24"/>
          <w:szCs w:val="24"/>
        </w:rPr>
        <w:t>quele que, por quinze anos, sem interrupção, nem oposição, possuir como seu um imóvel, adquire-lhe a propriedade, independentemente de título e boa-fé; podendo requerer ao juiz que assim o declare por sentença, a qual servirá de título para o registro no Cartório de Registro de Imóveis</w:t>
      </w:r>
      <w:r w:rsidR="000C50CB">
        <w:rPr>
          <w:rFonts w:ascii="Times New Roman" w:hAnsi="Times New Roman" w:cs="Times New Roman"/>
          <w:sz w:val="24"/>
          <w:szCs w:val="24"/>
        </w:rPr>
        <w:t xml:space="preserve">”. </w:t>
      </w:r>
    </w:p>
    <w:p w14:paraId="57AB75D3" w14:textId="3019D0BE" w:rsidR="004D6C73" w:rsidRDefault="004D6C73" w:rsidP="004D6C73">
      <w:pPr>
        <w:pStyle w:val="t"/>
        <w:spacing w:before="120" w:after="120" w:line="360" w:lineRule="auto"/>
        <w:ind w:firstLine="1701"/>
        <w:rPr>
          <w:rFonts w:ascii="Times New Roman" w:hAnsi="Times New Roman" w:cs="Times New Roman"/>
          <w:sz w:val="24"/>
          <w:szCs w:val="24"/>
        </w:rPr>
      </w:pPr>
      <w:r>
        <w:rPr>
          <w:rFonts w:ascii="Times New Roman" w:hAnsi="Times New Roman" w:cs="Times New Roman"/>
          <w:sz w:val="24"/>
          <w:szCs w:val="24"/>
        </w:rPr>
        <w:t>Seja como for</w:t>
      </w:r>
      <w:r w:rsidR="000C50CB">
        <w:rPr>
          <w:rFonts w:ascii="Times New Roman" w:hAnsi="Times New Roman" w:cs="Times New Roman"/>
          <w:sz w:val="24"/>
          <w:szCs w:val="24"/>
        </w:rPr>
        <w:t xml:space="preserve">, </w:t>
      </w:r>
      <w:r>
        <w:rPr>
          <w:rFonts w:ascii="Times New Roman" w:hAnsi="Times New Roman" w:cs="Times New Roman"/>
          <w:sz w:val="24"/>
          <w:szCs w:val="24"/>
        </w:rPr>
        <w:t xml:space="preserve">é preciso que estejam presentes os requisitos da </w:t>
      </w:r>
      <w:r w:rsidRPr="000C50CB">
        <w:rPr>
          <w:rFonts w:ascii="Times New Roman" w:hAnsi="Times New Roman" w:cs="Times New Roman"/>
          <w:i/>
          <w:iCs/>
          <w:sz w:val="24"/>
          <w:szCs w:val="24"/>
        </w:rPr>
        <w:t xml:space="preserve">posse usucapível </w:t>
      </w:r>
      <w:r>
        <w:rPr>
          <w:rFonts w:ascii="Times New Roman" w:hAnsi="Times New Roman" w:cs="Times New Roman"/>
          <w:sz w:val="24"/>
          <w:szCs w:val="24"/>
        </w:rPr>
        <w:t xml:space="preserve">ou </w:t>
      </w:r>
      <w:r w:rsidRPr="000C50CB">
        <w:rPr>
          <w:rFonts w:ascii="Times New Roman" w:hAnsi="Times New Roman" w:cs="Times New Roman"/>
          <w:i/>
          <w:iCs/>
          <w:sz w:val="24"/>
          <w:szCs w:val="24"/>
        </w:rPr>
        <w:t>ad usucapionem,</w:t>
      </w:r>
      <w:r>
        <w:rPr>
          <w:rFonts w:ascii="Times New Roman" w:hAnsi="Times New Roman" w:cs="Times New Roman"/>
          <w:sz w:val="24"/>
          <w:szCs w:val="24"/>
        </w:rPr>
        <w:t xml:space="preserve"> que são comuns a todas as modalidades dessa aquisição originária, a saber: </w:t>
      </w:r>
      <w:r w:rsidRPr="004D6C73">
        <w:rPr>
          <w:rFonts w:ascii="Times New Roman" w:hAnsi="Times New Roman" w:cs="Times New Roman"/>
          <w:i/>
          <w:sz w:val="24"/>
          <w:szCs w:val="24"/>
        </w:rPr>
        <w:t>a)</w:t>
      </w:r>
      <w:r>
        <w:rPr>
          <w:rFonts w:ascii="Times New Roman" w:hAnsi="Times New Roman" w:cs="Times New Roman"/>
          <w:sz w:val="24"/>
          <w:szCs w:val="24"/>
        </w:rPr>
        <w:t xml:space="preserve"> p</w:t>
      </w:r>
      <w:r w:rsidRPr="004D6C73">
        <w:rPr>
          <w:rFonts w:ascii="Times New Roman" w:hAnsi="Times New Roman" w:cs="Times New Roman"/>
          <w:sz w:val="24"/>
          <w:szCs w:val="24"/>
        </w:rPr>
        <w:t xml:space="preserve">osse com intenção de dono </w:t>
      </w:r>
      <w:r>
        <w:rPr>
          <w:rFonts w:ascii="Times New Roman" w:hAnsi="Times New Roman" w:cs="Times New Roman"/>
          <w:sz w:val="24"/>
          <w:szCs w:val="24"/>
        </w:rPr>
        <w:t xml:space="preserve">ou </w:t>
      </w:r>
      <w:r w:rsidRPr="00AA3F2B">
        <w:rPr>
          <w:rFonts w:ascii="Times New Roman" w:hAnsi="Times New Roman" w:cs="Times New Roman"/>
          <w:i/>
          <w:iCs/>
          <w:sz w:val="24"/>
          <w:szCs w:val="24"/>
        </w:rPr>
        <w:t>animus domini</w:t>
      </w:r>
      <w:r>
        <w:rPr>
          <w:rFonts w:ascii="Times New Roman" w:hAnsi="Times New Roman" w:cs="Times New Roman"/>
          <w:sz w:val="24"/>
          <w:szCs w:val="24"/>
        </w:rPr>
        <w:t xml:space="preserve">, pois </w:t>
      </w:r>
      <w:r w:rsidRPr="004D6C73">
        <w:rPr>
          <w:rFonts w:ascii="Times New Roman" w:hAnsi="Times New Roman" w:cs="Times New Roman"/>
          <w:sz w:val="24"/>
          <w:szCs w:val="24"/>
        </w:rPr>
        <w:t>deve ter como conteúdo a intenção psíquica do usucapiente de se transformar em dono da coisa</w:t>
      </w:r>
      <w:r>
        <w:rPr>
          <w:rFonts w:ascii="Times New Roman" w:hAnsi="Times New Roman" w:cs="Times New Roman"/>
          <w:sz w:val="24"/>
          <w:szCs w:val="24"/>
        </w:rPr>
        <w:t xml:space="preserve">, seguindo-se o conceito de posse de Savigny; </w:t>
      </w:r>
      <w:r w:rsidRPr="004D6C73">
        <w:rPr>
          <w:rFonts w:ascii="Times New Roman" w:hAnsi="Times New Roman" w:cs="Times New Roman"/>
          <w:i/>
          <w:sz w:val="24"/>
          <w:szCs w:val="24"/>
        </w:rPr>
        <w:t>b)</w:t>
      </w:r>
      <w:r>
        <w:rPr>
          <w:rFonts w:ascii="Times New Roman" w:hAnsi="Times New Roman" w:cs="Times New Roman"/>
          <w:sz w:val="24"/>
          <w:szCs w:val="24"/>
        </w:rPr>
        <w:t xml:space="preserve"> p</w:t>
      </w:r>
      <w:r w:rsidRPr="004D6C73">
        <w:rPr>
          <w:rFonts w:ascii="Times New Roman" w:hAnsi="Times New Roman" w:cs="Times New Roman"/>
          <w:sz w:val="24"/>
          <w:szCs w:val="24"/>
        </w:rPr>
        <w:t>osse mansa e pacífica</w:t>
      </w:r>
      <w:r>
        <w:rPr>
          <w:rFonts w:ascii="Times New Roman" w:hAnsi="Times New Roman" w:cs="Times New Roman"/>
          <w:sz w:val="24"/>
          <w:szCs w:val="24"/>
        </w:rPr>
        <w:t xml:space="preserve">, </w:t>
      </w:r>
      <w:r w:rsidRPr="004D6C73">
        <w:rPr>
          <w:rFonts w:ascii="Times New Roman" w:hAnsi="Times New Roman" w:cs="Times New Roman"/>
          <w:sz w:val="24"/>
          <w:szCs w:val="24"/>
        </w:rPr>
        <w:t>exercida sem qualquer manifestação em contrário de quem tenha legítimo interesse, ou seja, sem a oposição do proprietário do bem</w:t>
      </w:r>
      <w:r>
        <w:rPr>
          <w:rFonts w:ascii="Times New Roman" w:hAnsi="Times New Roman" w:cs="Times New Roman"/>
          <w:sz w:val="24"/>
          <w:szCs w:val="24"/>
        </w:rPr>
        <w:t xml:space="preserve">; </w:t>
      </w:r>
      <w:r w:rsidRPr="004D6C73">
        <w:rPr>
          <w:rFonts w:ascii="Times New Roman" w:hAnsi="Times New Roman" w:cs="Times New Roman"/>
          <w:i/>
          <w:sz w:val="24"/>
          <w:szCs w:val="24"/>
        </w:rPr>
        <w:t>c)</w:t>
      </w:r>
      <w:r>
        <w:rPr>
          <w:rFonts w:ascii="Times New Roman" w:hAnsi="Times New Roman" w:cs="Times New Roman"/>
          <w:sz w:val="24"/>
          <w:szCs w:val="24"/>
        </w:rPr>
        <w:t xml:space="preserve"> p</w:t>
      </w:r>
      <w:r w:rsidRPr="004D6C73">
        <w:rPr>
          <w:rFonts w:ascii="Times New Roman" w:hAnsi="Times New Roman" w:cs="Times New Roman"/>
          <w:sz w:val="24"/>
          <w:szCs w:val="24"/>
        </w:rPr>
        <w:t xml:space="preserve">osse contínua e duradoura, em regra, e com determinado lapso temporal </w:t>
      </w:r>
      <w:r>
        <w:rPr>
          <w:rFonts w:ascii="Times New Roman" w:hAnsi="Times New Roman" w:cs="Times New Roman"/>
          <w:sz w:val="24"/>
          <w:szCs w:val="24"/>
        </w:rPr>
        <w:t xml:space="preserve">previsto em lei; e </w:t>
      </w:r>
      <w:r w:rsidRPr="004D6C73">
        <w:rPr>
          <w:rFonts w:ascii="Times New Roman" w:hAnsi="Times New Roman" w:cs="Times New Roman"/>
          <w:i/>
          <w:sz w:val="24"/>
          <w:szCs w:val="24"/>
        </w:rPr>
        <w:t>d)</w:t>
      </w:r>
      <w:r>
        <w:rPr>
          <w:rFonts w:ascii="Times New Roman" w:hAnsi="Times New Roman" w:cs="Times New Roman"/>
          <w:sz w:val="24"/>
          <w:szCs w:val="24"/>
        </w:rPr>
        <w:t xml:space="preserve"> p</w:t>
      </w:r>
      <w:r w:rsidRPr="004D6C73">
        <w:rPr>
          <w:rFonts w:ascii="Times New Roman" w:hAnsi="Times New Roman" w:cs="Times New Roman"/>
          <w:sz w:val="24"/>
          <w:szCs w:val="24"/>
        </w:rPr>
        <w:t>osse justa</w:t>
      </w:r>
      <w:r>
        <w:rPr>
          <w:rFonts w:ascii="Times New Roman" w:hAnsi="Times New Roman" w:cs="Times New Roman"/>
          <w:sz w:val="24"/>
          <w:szCs w:val="24"/>
        </w:rPr>
        <w:t xml:space="preserve">, </w:t>
      </w:r>
      <w:r w:rsidR="000C50CB">
        <w:rPr>
          <w:rFonts w:ascii="Times New Roman" w:hAnsi="Times New Roman" w:cs="Times New Roman"/>
          <w:sz w:val="24"/>
          <w:szCs w:val="24"/>
        </w:rPr>
        <w:t xml:space="preserve">que se </w:t>
      </w:r>
      <w:r w:rsidRPr="004D6C73">
        <w:rPr>
          <w:rFonts w:ascii="Times New Roman" w:hAnsi="Times New Roman" w:cs="Times New Roman"/>
          <w:sz w:val="24"/>
          <w:szCs w:val="24"/>
        </w:rPr>
        <w:t>apresenta sem os vícios objetivos, ou seja, sem a violência, a clandestinidade ou a precariedade</w:t>
      </w:r>
      <w:r>
        <w:rPr>
          <w:rFonts w:ascii="Times New Roman" w:hAnsi="Times New Roman" w:cs="Times New Roman"/>
          <w:sz w:val="24"/>
          <w:szCs w:val="24"/>
        </w:rPr>
        <w:t xml:space="preserve">, nos termos do art. 1.200 do Código Civil. </w:t>
      </w:r>
    </w:p>
    <w:p w14:paraId="4A5385BB" w14:textId="758D1AC3" w:rsidR="00647572" w:rsidRPr="00647572" w:rsidRDefault="004D6C73" w:rsidP="00647572">
      <w:pPr>
        <w:pStyle w:val="t"/>
        <w:spacing w:before="120" w:after="120" w:line="360" w:lineRule="auto"/>
        <w:ind w:firstLine="1701"/>
        <w:rPr>
          <w:rFonts w:ascii="Times New Roman" w:hAnsi="Times New Roman" w:cs="Times New Roman"/>
          <w:sz w:val="24"/>
          <w:szCs w:val="24"/>
        </w:rPr>
      </w:pPr>
      <w:r>
        <w:rPr>
          <w:rFonts w:ascii="Times New Roman" w:hAnsi="Times New Roman" w:cs="Times New Roman"/>
          <w:sz w:val="24"/>
          <w:szCs w:val="24"/>
        </w:rPr>
        <w:t xml:space="preserve">Pois bem, </w:t>
      </w:r>
      <w:r w:rsidR="000C50CB">
        <w:rPr>
          <w:rFonts w:ascii="Times New Roman" w:hAnsi="Times New Roman" w:cs="Times New Roman"/>
          <w:sz w:val="24"/>
          <w:szCs w:val="24"/>
        </w:rPr>
        <w:t>em</w:t>
      </w:r>
      <w:r w:rsidR="00647572" w:rsidRPr="00647572">
        <w:rPr>
          <w:rFonts w:ascii="Times New Roman" w:hAnsi="Times New Roman" w:cs="Times New Roman"/>
          <w:sz w:val="24"/>
          <w:szCs w:val="24"/>
        </w:rPr>
        <w:t xml:space="preserve"> 2024,</w:t>
      </w:r>
      <w:r w:rsidR="00647572">
        <w:rPr>
          <w:rFonts w:ascii="Times New Roman" w:hAnsi="Times New Roman" w:cs="Times New Roman"/>
          <w:sz w:val="24"/>
          <w:szCs w:val="24"/>
        </w:rPr>
        <w:t xml:space="preserve"> </w:t>
      </w:r>
      <w:r>
        <w:rPr>
          <w:rFonts w:ascii="Times New Roman" w:hAnsi="Times New Roman" w:cs="Times New Roman"/>
          <w:sz w:val="24"/>
          <w:szCs w:val="24"/>
        </w:rPr>
        <w:t>a</w:t>
      </w:r>
      <w:r w:rsidR="00647572" w:rsidRPr="00647572">
        <w:rPr>
          <w:rFonts w:ascii="Times New Roman" w:hAnsi="Times New Roman" w:cs="Times New Roman"/>
          <w:sz w:val="24"/>
          <w:szCs w:val="24"/>
        </w:rPr>
        <w:t xml:space="preserve"> afirmação</w:t>
      </w:r>
      <w:r w:rsidR="00647572">
        <w:rPr>
          <w:rFonts w:ascii="Times New Roman" w:hAnsi="Times New Roman" w:cs="Times New Roman"/>
          <w:sz w:val="24"/>
          <w:szCs w:val="24"/>
        </w:rPr>
        <w:t xml:space="preserve"> </w:t>
      </w:r>
      <w:r w:rsidR="000C50CB">
        <w:rPr>
          <w:rFonts w:ascii="Times New Roman" w:hAnsi="Times New Roman" w:cs="Times New Roman"/>
          <w:sz w:val="24"/>
          <w:szCs w:val="24"/>
        </w:rPr>
        <w:t xml:space="preserve">da </w:t>
      </w:r>
      <w:r w:rsidR="00647572">
        <w:rPr>
          <w:rFonts w:ascii="Times New Roman" w:hAnsi="Times New Roman" w:cs="Times New Roman"/>
          <w:sz w:val="24"/>
          <w:szCs w:val="24"/>
        </w:rPr>
        <w:t>possibilidade de usucapião entre herdeiros</w:t>
      </w:r>
      <w:r w:rsidR="00647572" w:rsidRPr="00647572">
        <w:rPr>
          <w:rFonts w:ascii="Times New Roman" w:hAnsi="Times New Roman" w:cs="Times New Roman"/>
          <w:sz w:val="24"/>
          <w:szCs w:val="24"/>
        </w:rPr>
        <w:t xml:space="preserve"> foi repetida na Quarta Turma do S</w:t>
      </w:r>
      <w:r w:rsidR="00A334EE">
        <w:rPr>
          <w:rFonts w:ascii="Times New Roman" w:hAnsi="Times New Roman" w:cs="Times New Roman"/>
          <w:sz w:val="24"/>
          <w:szCs w:val="24"/>
        </w:rPr>
        <w:t>uperior Tribunal de Justiça</w:t>
      </w:r>
      <w:r w:rsidR="00647572" w:rsidRPr="00647572">
        <w:rPr>
          <w:rFonts w:ascii="Times New Roman" w:hAnsi="Times New Roman" w:cs="Times New Roman"/>
          <w:sz w:val="24"/>
          <w:szCs w:val="24"/>
        </w:rPr>
        <w:t>, asseverando-se que “a jurisprudência desta Corte se firmou no sentido de que há possibilidade da usucapião de imóvel objeto de herança pelo herdeiro que tem sua posse exclusiva, ou seja, há legitimidade e interesse de o condômino usucapir em nome próprio, desde que exerça a posse por si mesmo, ou seja, desde que comprovados os requisitos legais atinentes à usucapião extraordinária. Precedentes” (STJ, Ag. Int</w:t>
      </w:r>
      <w:r w:rsidR="00647572">
        <w:rPr>
          <w:rFonts w:ascii="Times New Roman" w:hAnsi="Times New Roman" w:cs="Times New Roman"/>
          <w:sz w:val="24"/>
          <w:szCs w:val="24"/>
        </w:rPr>
        <w:t>.</w:t>
      </w:r>
      <w:r w:rsidR="00647572" w:rsidRPr="00647572">
        <w:rPr>
          <w:rFonts w:ascii="Times New Roman" w:hAnsi="Times New Roman" w:cs="Times New Roman"/>
          <w:sz w:val="24"/>
          <w:szCs w:val="24"/>
        </w:rPr>
        <w:t xml:space="preserve"> no AREsp 2.355.307/SP, 4.ª Turma, Rel. Min. Raul Araújo, j. 17.06.2024, DJe 27.06.2024). </w:t>
      </w:r>
      <w:r w:rsidR="00647572">
        <w:rPr>
          <w:rFonts w:ascii="Times New Roman" w:hAnsi="Times New Roman" w:cs="Times New Roman"/>
          <w:sz w:val="24"/>
          <w:szCs w:val="24"/>
        </w:rPr>
        <w:t xml:space="preserve">Mais uma vez afirmou-se que a usucapião entre herdeiros é possível, desde que preenchidos os requisitos da posse ad usucapionem, sobretudo o </w:t>
      </w:r>
      <w:r w:rsidR="00647572" w:rsidRPr="00AA3F2B">
        <w:rPr>
          <w:rFonts w:ascii="Times New Roman" w:hAnsi="Times New Roman" w:cs="Times New Roman"/>
          <w:i/>
          <w:iCs/>
          <w:sz w:val="24"/>
          <w:szCs w:val="24"/>
        </w:rPr>
        <w:t>animus domini</w:t>
      </w:r>
      <w:r w:rsidR="00647572">
        <w:rPr>
          <w:rFonts w:ascii="Times New Roman" w:hAnsi="Times New Roman" w:cs="Times New Roman"/>
          <w:sz w:val="24"/>
          <w:szCs w:val="24"/>
        </w:rPr>
        <w:t xml:space="preserve">. </w:t>
      </w:r>
    </w:p>
    <w:p w14:paraId="2249FEC7" w14:textId="77777777" w:rsidR="00647572" w:rsidRPr="00443E8E" w:rsidRDefault="00000000">
      <w:pPr>
        <w:pStyle w:val="t"/>
        <w:spacing w:before="120" w:after="120" w:line="360" w:lineRule="auto"/>
        <w:ind w:firstLine="1701"/>
        <w:rPr>
          <w:rFonts w:ascii="Times New Roman" w:hAnsi="Times New Roman" w:cs="Times New Roman"/>
          <w:i/>
          <w:sz w:val="24"/>
          <w:szCs w:val="24"/>
        </w:rPr>
      </w:pPr>
      <w:r w:rsidRPr="00443E8E">
        <w:rPr>
          <w:rFonts w:ascii="Times New Roman" w:hAnsi="Times New Roman" w:cs="Times New Roman"/>
          <w:sz w:val="24"/>
          <w:szCs w:val="24"/>
        </w:rPr>
        <w:t>Porém, neste ano de 2026, a mesma turma julgadora afastou a usucapião entre herdeiros</w:t>
      </w:r>
      <w:r w:rsidR="00B9325A" w:rsidRPr="00443E8E">
        <w:rPr>
          <w:rFonts w:ascii="Times New Roman" w:hAnsi="Times New Roman" w:cs="Times New Roman"/>
          <w:sz w:val="24"/>
          <w:szCs w:val="24"/>
        </w:rPr>
        <w:t>,</w:t>
      </w:r>
      <w:r w:rsidRPr="00443E8E">
        <w:rPr>
          <w:rFonts w:ascii="Times New Roman" w:hAnsi="Times New Roman" w:cs="Times New Roman"/>
          <w:sz w:val="24"/>
          <w:szCs w:val="24"/>
        </w:rPr>
        <w:t xml:space="preserve"> pois o descendente ocupava o imóvel de ascendente, integrante de acervo hereditário ainda indiviso, em mero contexto de administração familiar. Vejamos trecho do que constou do voto do Ministro Relator:</w:t>
      </w:r>
    </w:p>
    <w:p w14:paraId="48581F52" w14:textId="77777777" w:rsidR="00647572" w:rsidRPr="004D6C73" w:rsidRDefault="00647572" w:rsidP="004D6C73">
      <w:pPr>
        <w:pStyle w:val="t"/>
        <w:spacing w:before="120" w:after="120" w:line="360" w:lineRule="auto"/>
        <w:ind w:left="567" w:firstLine="0"/>
        <w:rPr>
          <w:rFonts w:ascii="Times New Roman" w:hAnsi="Times New Roman" w:cs="Times New Roman"/>
          <w:sz w:val="22"/>
          <w:szCs w:val="22"/>
        </w:rPr>
      </w:pPr>
      <w:r w:rsidRPr="004D6C73">
        <w:rPr>
          <w:rFonts w:ascii="Times New Roman" w:hAnsi="Times New Roman" w:cs="Times New Roman"/>
          <w:sz w:val="22"/>
          <w:szCs w:val="22"/>
        </w:rPr>
        <w:t>"</w:t>
      </w:r>
      <w:r w:rsidR="004D6C73">
        <w:rPr>
          <w:rFonts w:ascii="Times New Roman" w:hAnsi="Times New Roman" w:cs="Times New Roman"/>
          <w:sz w:val="22"/>
          <w:szCs w:val="22"/>
        </w:rPr>
        <w:t xml:space="preserve">(...). </w:t>
      </w:r>
      <w:r w:rsidR="004D6C73" w:rsidRPr="004D6C73">
        <w:rPr>
          <w:rFonts w:ascii="Times New Roman" w:hAnsi="Times New Roman" w:cs="Times New Roman"/>
          <w:sz w:val="22"/>
          <w:szCs w:val="22"/>
        </w:rPr>
        <w:t>A</w:t>
      </w:r>
      <w:r w:rsidRPr="004D6C73">
        <w:rPr>
          <w:rFonts w:ascii="Times New Roman" w:hAnsi="Times New Roman" w:cs="Times New Roman"/>
          <w:sz w:val="22"/>
          <w:szCs w:val="22"/>
        </w:rPr>
        <w:t xml:space="preserve"> usucapião extraordinária, que pressupõe ato inequívoco de assunção da condição de dono pelo possuidor, não pode se apoiar em condutas que, no seio familiar, são naturais e merecedoras de estímulo como manifestações de afeto, solidariedade, auxílio e liberalidade entre parentes ou mesmo expressão de conveniência doméstica, não se caracterizando como exteriorização de domínio. Admitir-se, em tais hipóteses, a possibilidade da usucapião extraordinária seria laborar contra os bons sentimentos que devem prevalecer nas relações familiares. Ademais, permitir-se-ia que a transferência patrimonial entre ascendentes e descendentes ocorresse por via oblíqua, à margem dos controles que o ordenamento jurídico estabelece para proteger a legítima e assegurar equilíbrio entre os herdeiros" (STJ, AREsp 2.983.084-AL, Rel. Ministro Raul Araújo, Quarta Turma, por unanimidade, julgado em 9/6/2026).</w:t>
      </w:r>
    </w:p>
    <w:p w14:paraId="77B65B50" w14:textId="278FCF8F" w:rsidR="004D6C73" w:rsidRDefault="00647572" w:rsidP="00647572">
      <w:pPr>
        <w:pStyle w:val="t"/>
        <w:spacing w:before="120" w:after="120" w:line="360" w:lineRule="auto"/>
        <w:ind w:firstLine="1701"/>
        <w:rPr>
          <w:rFonts w:ascii="Times New Roman" w:hAnsi="Times New Roman" w:cs="Times New Roman"/>
          <w:sz w:val="24"/>
          <w:szCs w:val="24"/>
        </w:rPr>
      </w:pPr>
      <w:r>
        <w:rPr>
          <w:rFonts w:ascii="Times New Roman" w:hAnsi="Times New Roman" w:cs="Times New Roman"/>
          <w:sz w:val="24"/>
          <w:szCs w:val="24"/>
        </w:rPr>
        <w:t>Esse último acórdão é importante por afastar a usucapião entre herdeiros quando um deles administra o imóvel no interesse de todos, praticando atos de solidariedade baseados na afetividade</w:t>
      </w:r>
      <w:r w:rsidR="004D6C73">
        <w:rPr>
          <w:rFonts w:ascii="Times New Roman" w:hAnsi="Times New Roman" w:cs="Times New Roman"/>
          <w:sz w:val="24"/>
          <w:szCs w:val="24"/>
        </w:rPr>
        <w:t xml:space="preserve"> e na afeição</w:t>
      </w:r>
      <w:r>
        <w:rPr>
          <w:rFonts w:ascii="Times New Roman" w:hAnsi="Times New Roman" w:cs="Times New Roman"/>
          <w:sz w:val="24"/>
          <w:szCs w:val="24"/>
        </w:rPr>
        <w:t xml:space="preserve"> familiar, com a boa-fé, concordância e tolerância dos demais. </w:t>
      </w:r>
      <w:r w:rsidR="004477AE">
        <w:rPr>
          <w:rFonts w:ascii="Times New Roman" w:hAnsi="Times New Roman" w:cs="Times New Roman"/>
          <w:sz w:val="24"/>
          <w:szCs w:val="24"/>
        </w:rPr>
        <w:t xml:space="preserve">O julgado também coloca elementos contemporâneos do Direito de Família em um debate que tradicionalmente apenas envolvia o Direito das Coisas e o Direito das Sucessões. </w:t>
      </w:r>
    </w:p>
    <w:p w14:paraId="7AB78E10" w14:textId="77777777" w:rsidR="00647572" w:rsidRPr="00443E8E" w:rsidRDefault="00000000">
      <w:pPr>
        <w:pStyle w:val="t"/>
        <w:spacing w:before="120" w:after="120" w:line="360" w:lineRule="auto"/>
        <w:ind w:firstLine="1701"/>
        <w:rPr>
          <w:rFonts w:ascii="Times New Roman" w:hAnsi="Times New Roman" w:cs="Times New Roman"/>
          <w:i/>
          <w:sz w:val="24"/>
          <w:szCs w:val="24"/>
        </w:rPr>
      </w:pPr>
      <w:r w:rsidRPr="00443E8E">
        <w:rPr>
          <w:rFonts w:ascii="Times New Roman" w:hAnsi="Times New Roman" w:cs="Times New Roman"/>
          <w:sz w:val="24"/>
          <w:szCs w:val="24"/>
        </w:rPr>
        <w:t>E, como se sabe, os atos de mera tolerância não podem induzir a usucapião, pois sequer induzem a posse, como se retira da primeira parte do art. 1.208 do Código Civil: "não induzem posse os atos de mera permissão ou tolerância</w:t>
      </w:r>
      <w:r w:rsidR="00443E8E" w:rsidRPr="00443E8E">
        <w:rPr>
          <w:rFonts w:ascii="Times New Roman" w:hAnsi="Times New Roman" w:cs="Times New Roman"/>
          <w:sz w:val="24"/>
          <w:szCs w:val="24"/>
        </w:rPr>
        <w:t>,</w:t>
      </w:r>
      <w:r w:rsidRPr="00443E8E">
        <w:rPr>
          <w:rFonts w:ascii="Times New Roman" w:hAnsi="Times New Roman" w:cs="Times New Roman"/>
          <w:sz w:val="24"/>
          <w:szCs w:val="24"/>
        </w:rPr>
        <w:t xml:space="preserve"> assim como não autorizam a sua aquisição os atos violentos ou clandestinos, senão depois de cessar a violência ou a clandestinidade". Não se pode falar, portanto, </w:t>
      </w:r>
      <w:r w:rsidR="00443E8E" w:rsidRPr="00443E8E">
        <w:rPr>
          <w:rFonts w:ascii="Times New Roman" w:hAnsi="Times New Roman" w:cs="Times New Roman"/>
          <w:sz w:val="24"/>
          <w:szCs w:val="24"/>
        </w:rPr>
        <w:t>em</w:t>
      </w:r>
      <w:r w:rsidRPr="00443E8E">
        <w:rPr>
          <w:rFonts w:ascii="Times New Roman" w:hAnsi="Times New Roman" w:cs="Times New Roman"/>
          <w:sz w:val="24"/>
          <w:szCs w:val="24"/>
        </w:rPr>
        <w:t xml:space="preserve"> requisito mínimo para a configuração da posse </w:t>
      </w:r>
      <w:r w:rsidRPr="00443E8E">
        <w:rPr>
          <w:rFonts w:ascii="Times New Roman" w:hAnsi="Times New Roman" w:cs="Times New Roman"/>
          <w:i/>
          <w:sz w:val="24"/>
          <w:szCs w:val="24"/>
        </w:rPr>
        <w:t>ad usucapionem.</w:t>
      </w:r>
    </w:p>
    <w:p w14:paraId="2B1E5502" w14:textId="0CDBE8A6" w:rsidR="00647572" w:rsidRDefault="00647572" w:rsidP="000C50CB">
      <w:pPr>
        <w:pStyle w:val="t"/>
        <w:spacing w:before="120" w:after="120" w:line="360" w:lineRule="auto"/>
        <w:ind w:firstLine="1701"/>
        <w:rPr>
          <w:rFonts w:ascii="Times New Roman" w:hAnsi="Times New Roman" w:cs="Times New Roman"/>
          <w:sz w:val="24"/>
          <w:szCs w:val="24"/>
        </w:rPr>
      </w:pPr>
      <w:r>
        <w:rPr>
          <w:rFonts w:ascii="Times New Roman" w:hAnsi="Times New Roman" w:cs="Times New Roman"/>
          <w:sz w:val="24"/>
          <w:szCs w:val="24"/>
        </w:rPr>
        <w:t>Novamente</w:t>
      </w:r>
      <w:r w:rsidR="000C50CB">
        <w:rPr>
          <w:rFonts w:ascii="Times New Roman" w:hAnsi="Times New Roman" w:cs="Times New Roman"/>
          <w:sz w:val="24"/>
          <w:szCs w:val="24"/>
        </w:rPr>
        <w:t xml:space="preserve">, </w:t>
      </w:r>
      <w:r>
        <w:rPr>
          <w:rFonts w:ascii="Times New Roman" w:hAnsi="Times New Roman" w:cs="Times New Roman"/>
          <w:sz w:val="24"/>
          <w:szCs w:val="24"/>
        </w:rPr>
        <w:t xml:space="preserve">como ensina Maria Helena Diniz, </w:t>
      </w:r>
      <w:r w:rsidR="004D6C73">
        <w:rPr>
          <w:rFonts w:ascii="Times New Roman" w:hAnsi="Times New Roman" w:cs="Times New Roman"/>
          <w:sz w:val="24"/>
          <w:szCs w:val="24"/>
        </w:rPr>
        <w:t>"o</w:t>
      </w:r>
      <w:r w:rsidR="004D6C73" w:rsidRPr="004D6C73">
        <w:rPr>
          <w:rFonts w:ascii="Times New Roman" w:hAnsi="Times New Roman" w:cs="Times New Roman"/>
          <w:sz w:val="24"/>
          <w:szCs w:val="24"/>
        </w:rPr>
        <w:t>s atos de mera tolerância representam uma indulgência pela prática do ato que, na realidade, não cede direito algum, mas, tão somente, retira a ilicitude do ato de terceiro, sem o consenso prévio do possuidor, que, sem renunciar sua posse, mantém, ante aquela atividade, um comportamento omisso, consciente ou não. Por outras palavras, consistem nas relações de boa vizinhança ou familiaridade que, tacitamente, permitem que terceiros façam na propriedade alheia aquilo que não teriam direito de fazer, como passar pelo jardim de uma casa ou pelos atalhos de uma fazenda.</w:t>
      </w:r>
      <w:r w:rsidR="004D6C73">
        <w:rPr>
          <w:rFonts w:ascii="Times New Roman" w:hAnsi="Times New Roman" w:cs="Times New Roman"/>
          <w:sz w:val="24"/>
          <w:szCs w:val="24"/>
        </w:rPr>
        <w:t xml:space="preserve"> </w:t>
      </w:r>
      <w:r w:rsidR="004D6C73" w:rsidRPr="004D6C73">
        <w:rPr>
          <w:rFonts w:ascii="Times New Roman" w:hAnsi="Times New Roman" w:cs="Times New Roman"/>
          <w:sz w:val="24"/>
          <w:szCs w:val="24"/>
        </w:rPr>
        <w:t>Estes atos tolerados ou meramente permitidos constituem uma das formas, no sentido romano, de concessão benévola e revogável, não induzindo, portanto, p</w:t>
      </w:r>
      <w:r w:rsidR="004D6C73">
        <w:rPr>
          <w:rFonts w:ascii="Times New Roman" w:hAnsi="Times New Roman" w:cs="Times New Roman"/>
          <w:sz w:val="24"/>
          <w:szCs w:val="24"/>
        </w:rPr>
        <w:t>osse" (</w:t>
      </w:r>
      <w:r w:rsidR="004D6C73" w:rsidRPr="004D6C73">
        <w:rPr>
          <w:rFonts w:ascii="Times New Roman" w:hAnsi="Times New Roman" w:cs="Times New Roman"/>
          <w:sz w:val="24"/>
          <w:szCs w:val="24"/>
        </w:rPr>
        <w:t xml:space="preserve">DINIZ, Maria Helena. </w:t>
      </w:r>
      <w:r w:rsidR="004D6C73" w:rsidRPr="00D76A8C">
        <w:rPr>
          <w:rFonts w:ascii="Times New Roman" w:hAnsi="Times New Roman" w:cs="Times New Roman"/>
          <w:i/>
          <w:sz w:val="24"/>
          <w:szCs w:val="24"/>
        </w:rPr>
        <w:t>Curso de Direito Civil Brasileiro</w:t>
      </w:r>
      <w:r w:rsidR="004D6C73" w:rsidRPr="004D6C73">
        <w:rPr>
          <w:rFonts w:ascii="Times New Roman" w:hAnsi="Times New Roman" w:cs="Times New Roman"/>
          <w:sz w:val="24"/>
          <w:szCs w:val="24"/>
        </w:rPr>
        <w:t xml:space="preserve">. Volume 4. Direito das Coisas. São Paulo: Saraiva, 40ª Edição, 2026, p. </w:t>
      </w:r>
      <w:r w:rsidR="004D6C73">
        <w:rPr>
          <w:rFonts w:ascii="Times New Roman" w:hAnsi="Times New Roman" w:cs="Times New Roman"/>
          <w:sz w:val="24"/>
          <w:szCs w:val="24"/>
        </w:rPr>
        <w:t xml:space="preserve">35). </w:t>
      </w:r>
      <w:r w:rsidR="00D76A8C">
        <w:rPr>
          <w:rFonts w:ascii="Times New Roman" w:hAnsi="Times New Roman" w:cs="Times New Roman"/>
          <w:sz w:val="24"/>
          <w:szCs w:val="24"/>
        </w:rPr>
        <w:t xml:space="preserve">No contexto dessa indulgência, de benevolência dos demais herdeiros, é que não se pode admitir a usucapião. </w:t>
      </w:r>
    </w:p>
    <w:p w14:paraId="2EDA1412" w14:textId="77777777" w:rsidR="00A334EE" w:rsidRDefault="00647572" w:rsidP="00647572">
      <w:pPr>
        <w:pStyle w:val="t"/>
        <w:spacing w:before="120" w:after="120" w:line="360" w:lineRule="auto"/>
        <w:ind w:firstLine="1701"/>
        <w:rPr>
          <w:rFonts w:ascii="Times New Roman" w:hAnsi="Times New Roman" w:cs="Times New Roman"/>
          <w:sz w:val="24"/>
          <w:szCs w:val="24"/>
        </w:rPr>
      </w:pPr>
      <w:r w:rsidRPr="00647572">
        <w:rPr>
          <w:rFonts w:ascii="Times New Roman" w:hAnsi="Times New Roman" w:cs="Times New Roman"/>
          <w:sz w:val="24"/>
          <w:szCs w:val="24"/>
        </w:rPr>
        <w:t>Assim, o entendimento hoje considerado como majoritário na jurisprudência superior em matéria de Direito Privado</w:t>
      </w:r>
      <w:r w:rsidR="00D76A8C">
        <w:rPr>
          <w:rFonts w:ascii="Times New Roman" w:hAnsi="Times New Roman" w:cs="Times New Roman"/>
          <w:sz w:val="24"/>
          <w:szCs w:val="24"/>
        </w:rPr>
        <w:t xml:space="preserve">, a ser considerado para os devidos fins práticos, </w:t>
      </w:r>
      <w:r w:rsidRPr="00647572">
        <w:rPr>
          <w:rFonts w:ascii="Times New Roman" w:hAnsi="Times New Roman" w:cs="Times New Roman"/>
          <w:sz w:val="24"/>
          <w:szCs w:val="24"/>
        </w:rPr>
        <w:t xml:space="preserve">admite a usucapião entre herdeiros como exceção e não como regra, devendo estar claro o </w:t>
      </w:r>
      <w:r w:rsidRPr="004D6C73">
        <w:rPr>
          <w:rFonts w:ascii="Times New Roman" w:hAnsi="Times New Roman" w:cs="Times New Roman"/>
          <w:i/>
          <w:sz w:val="24"/>
          <w:szCs w:val="24"/>
        </w:rPr>
        <w:t>animus domini</w:t>
      </w:r>
      <w:r w:rsidRPr="00647572">
        <w:rPr>
          <w:rFonts w:ascii="Times New Roman" w:hAnsi="Times New Roman" w:cs="Times New Roman"/>
          <w:sz w:val="24"/>
          <w:szCs w:val="24"/>
        </w:rPr>
        <w:t xml:space="preserve">, ou seja, a posse com intenção de dono pelo herdeiro, frente aos demais. </w:t>
      </w:r>
    </w:p>
    <w:p w14:paraId="45AFFF66" w14:textId="3177D501" w:rsidR="00647572" w:rsidRPr="004D6C73" w:rsidRDefault="004D6C73" w:rsidP="00647572">
      <w:pPr>
        <w:pStyle w:val="t"/>
        <w:spacing w:before="120" w:after="120" w:line="360" w:lineRule="auto"/>
        <w:ind w:firstLine="1701"/>
        <w:rPr>
          <w:rFonts w:ascii="Times New Roman" w:hAnsi="Times New Roman" w:cs="Times New Roman"/>
          <w:i/>
          <w:sz w:val="24"/>
          <w:szCs w:val="24"/>
        </w:rPr>
      </w:pPr>
      <w:r>
        <w:rPr>
          <w:rFonts w:ascii="Times New Roman" w:hAnsi="Times New Roman" w:cs="Times New Roman"/>
          <w:sz w:val="24"/>
          <w:szCs w:val="24"/>
        </w:rPr>
        <w:t xml:space="preserve">Como premissa geral, </w:t>
      </w:r>
      <w:r w:rsidR="00A334EE">
        <w:rPr>
          <w:rFonts w:ascii="Times New Roman" w:hAnsi="Times New Roman" w:cs="Times New Roman"/>
          <w:sz w:val="24"/>
          <w:szCs w:val="24"/>
        </w:rPr>
        <w:t xml:space="preserve">sem dúvida, os </w:t>
      </w:r>
      <w:r>
        <w:rPr>
          <w:rFonts w:ascii="Times New Roman" w:hAnsi="Times New Roman" w:cs="Times New Roman"/>
          <w:sz w:val="24"/>
          <w:szCs w:val="24"/>
        </w:rPr>
        <w:t xml:space="preserve">atos de mera permissão dos herdeiros frente a um condômino </w:t>
      </w:r>
      <w:r w:rsidR="000C50CB">
        <w:rPr>
          <w:rFonts w:ascii="Times New Roman" w:hAnsi="Times New Roman" w:cs="Times New Roman"/>
          <w:sz w:val="24"/>
          <w:szCs w:val="24"/>
        </w:rPr>
        <w:t xml:space="preserve">que compõe o mesmo núcleo familiar, e </w:t>
      </w:r>
      <w:r>
        <w:rPr>
          <w:rFonts w:ascii="Times New Roman" w:hAnsi="Times New Roman" w:cs="Times New Roman"/>
          <w:sz w:val="24"/>
          <w:szCs w:val="24"/>
        </w:rPr>
        <w:t>que é mero administrador do bem em discussão</w:t>
      </w:r>
      <w:r w:rsidR="000C50CB">
        <w:rPr>
          <w:rFonts w:ascii="Times New Roman" w:hAnsi="Times New Roman" w:cs="Times New Roman"/>
          <w:sz w:val="24"/>
          <w:szCs w:val="24"/>
        </w:rPr>
        <w:t>,</w:t>
      </w:r>
      <w:r>
        <w:rPr>
          <w:rFonts w:ascii="Times New Roman" w:hAnsi="Times New Roman" w:cs="Times New Roman"/>
          <w:sz w:val="24"/>
          <w:szCs w:val="24"/>
        </w:rPr>
        <w:t xml:space="preserve"> não pode</w:t>
      </w:r>
      <w:r w:rsidR="000C50CB">
        <w:rPr>
          <w:rFonts w:ascii="Times New Roman" w:hAnsi="Times New Roman" w:cs="Times New Roman"/>
          <w:sz w:val="24"/>
          <w:szCs w:val="24"/>
        </w:rPr>
        <w:t>m</w:t>
      </w:r>
      <w:r>
        <w:rPr>
          <w:rFonts w:ascii="Times New Roman" w:hAnsi="Times New Roman" w:cs="Times New Roman"/>
          <w:sz w:val="24"/>
          <w:szCs w:val="24"/>
        </w:rPr>
        <w:t xml:space="preserve"> gerar a </w:t>
      </w:r>
      <w:r w:rsidRPr="000C50CB">
        <w:rPr>
          <w:rFonts w:ascii="Times New Roman" w:hAnsi="Times New Roman" w:cs="Times New Roman"/>
          <w:i/>
          <w:iCs/>
          <w:sz w:val="24"/>
          <w:szCs w:val="24"/>
        </w:rPr>
        <w:t>poss</w:t>
      </w:r>
      <w:r w:rsidR="000C50CB" w:rsidRPr="000C50CB">
        <w:rPr>
          <w:rFonts w:ascii="Times New Roman" w:hAnsi="Times New Roman" w:cs="Times New Roman"/>
          <w:i/>
          <w:iCs/>
          <w:sz w:val="24"/>
          <w:szCs w:val="24"/>
        </w:rPr>
        <w:t>e</w:t>
      </w:r>
      <w:r w:rsidRPr="000C50CB">
        <w:rPr>
          <w:rFonts w:ascii="Times New Roman" w:hAnsi="Times New Roman" w:cs="Times New Roman"/>
          <w:i/>
          <w:iCs/>
          <w:sz w:val="24"/>
          <w:szCs w:val="24"/>
        </w:rPr>
        <w:t xml:space="preserve"> usucapível</w:t>
      </w:r>
      <w:r>
        <w:rPr>
          <w:rFonts w:ascii="Times New Roman" w:hAnsi="Times New Roman" w:cs="Times New Roman"/>
          <w:sz w:val="24"/>
          <w:szCs w:val="24"/>
        </w:rPr>
        <w:t xml:space="preserve"> ou </w:t>
      </w:r>
      <w:r w:rsidRPr="004D6C73">
        <w:rPr>
          <w:rFonts w:ascii="Times New Roman" w:hAnsi="Times New Roman" w:cs="Times New Roman"/>
          <w:i/>
          <w:sz w:val="24"/>
          <w:szCs w:val="24"/>
        </w:rPr>
        <w:t>ad usucapionem</w:t>
      </w:r>
      <w:r w:rsidR="00D76A8C" w:rsidRPr="00D76A8C">
        <w:rPr>
          <w:rFonts w:ascii="Times New Roman" w:hAnsi="Times New Roman" w:cs="Times New Roman"/>
          <w:sz w:val="24"/>
          <w:szCs w:val="24"/>
        </w:rPr>
        <w:t>, até porque não se pode punir o herdeiro que está de boa-fé, permitindo a administração do bem comum por um deles.</w:t>
      </w:r>
      <w:r w:rsidR="00D76A8C">
        <w:rPr>
          <w:rFonts w:ascii="Times New Roman" w:hAnsi="Times New Roman" w:cs="Times New Roman"/>
          <w:i/>
          <w:sz w:val="24"/>
          <w:szCs w:val="24"/>
        </w:rPr>
        <w:t xml:space="preserve"> </w:t>
      </w:r>
      <w:r w:rsidRPr="004D6C73">
        <w:rPr>
          <w:rFonts w:ascii="Times New Roman" w:hAnsi="Times New Roman" w:cs="Times New Roman"/>
          <w:i/>
          <w:sz w:val="24"/>
          <w:szCs w:val="24"/>
        </w:rPr>
        <w:t xml:space="preserve"> </w:t>
      </w:r>
      <w:r w:rsidR="00647572" w:rsidRPr="004D6C73">
        <w:rPr>
          <w:rFonts w:ascii="Times New Roman" w:hAnsi="Times New Roman" w:cs="Times New Roman"/>
          <w:i/>
          <w:sz w:val="24"/>
          <w:szCs w:val="24"/>
        </w:rPr>
        <w:t xml:space="preserve"> </w:t>
      </w:r>
    </w:p>
    <w:sectPr w:rsidR="00647572" w:rsidRPr="004D6C73" w:rsidSect="007F14FB">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2D095" w14:textId="77777777" w:rsidR="00A94BAE" w:rsidRPr="00506A24" w:rsidRDefault="00A94BAE" w:rsidP="00B15AD0">
      <w:pPr>
        <w:spacing w:after="0" w:line="240" w:lineRule="auto"/>
      </w:pPr>
      <w:r w:rsidRPr="00506A24">
        <w:separator/>
      </w:r>
    </w:p>
  </w:endnote>
  <w:endnote w:type="continuationSeparator" w:id="0">
    <w:p w14:paraId="703EA0AE" w14:textId="77777777" w:rsidR="00A94BAE" w:rsidRPr="00506A24" w:rsidRDefault="00A94BAE" w:rsidP="00B15AD0">
      <w:pPr>
        <w:spacing w:after="0" w:line="240" w:lineRule="auto"/>
      </w:pPr>
      <w:r w:rsidRPr="00506A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00"/>
    <w:family w:val="auto"/>
    <w:pitch w:val="default"/>
    <w:sig w:usb0="00000003" w:usb1="00000000" w:usb2="00000000" w:usb3="00000000" w:csb0="00000001" w:csb1="00000000"/>
  </w:font>
  <w:font w:name="MyriadPro-Regular">
    <w:altName w:val="Calibri"/>
    <w:charset w:val="00"/>
    <w:family w:val="auto"/>
    <w:pitch w:val="default"/>
    <w:sig w:usb0="00000003" w:usb1="00000000" w:usb2="0000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30BF" w14:textId="77777777" w:rsidR="00647572" w:rsidRDefault="0064757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919016"/>
      <w:docPartObj>
        <w:docPartGallery w:val="Page Numbers (Bottom of Page)"/>
        <w:docPartUnique/>
      </w:docPartObj>
    </w:sdtPr>
    <w:sdtContent>
      <w:p w14:paraId="57B05755" w14:textId="77777777" w:rsidR="00647572" w:rsidRPr="00506A24" w:rsidRDefault="00D76A8C">
        <w:pPr>
          <w:pStyle w:val="Rodap"/>
          <w:jc w:val="right"/>
        </w:pPr>
        <w:r>
          <w:fldChar w:fldCharType="begin"/>
        </w:r>
        <w:r>
          <w:instrText xml:space="preserve"> PAGE   \* MERGEFORMAT </w:instrText>
        </w:r>
        <w:r>
          <w:fldChar w:fldCharType="separate"/>
        </w:r>
        <w:r>
          <w:rPr>
            <w:noProof/>
          </w:rPr>
          <w:t>1</w:t>
        </w:r>
        <w:r>
          <w:rPr>
            <w:noProof/>
          </w:rPr>
          <w:fldChar w:fldCharType="end"/>
        </w:r>
      </w:p>
    </w:sdtContent>
  </w:sdt>
  <w:p w14:paraId="231345A7" w14:textId="77777777" w:rsidR="00647572" w:rsidRPr="00506A24" w:rsidRDefault="0064757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0B612" w14:textId="77777777" w:rsidR="00647572" w:rsidRDefault="0064757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23EF5" w14:textId="77777777" w:rsidR="00A94BAE" w:rsidRPr="00506A24" w:rsidRDefault="00A94BAE" w:rsidP="00B15AD0">
      <w:pPr>
        <w:spacing w:after="0" w:line="240" w:lineRule="auto"/>
      </w:pPr>
      <w:r w:rsidRPr="00506A24">
        <w:separator/>
      </w:r>
    </w:p>
  </w:footnote>
  <w:footnote w:type="continuationSeparator" w:id="0">
    <w:p w14:paraId="77F6BE10" w14:textId="77777777" w:rsidR="00A94BAE" w:rsidRPr="00506A24" w:rsidRDefault="00A94BAE" w:rsidP="00B15AD0">
      <w:pPr>
        <w:spacing w:after="0" w:line="240" w:lineRule="auto"/>
      </w:pPr>
      <w:r w:rsidRPr="00506A24">
        <w:continuationSeparator/>
      </w:r>
    </w:p>
  </w:footnote>
  <w:footnote w:id="1">
    <w:p w14:paraId="7924B70B" w14:textId="77777777" w:rsidR="00647572" w:rsidRPr="00197971" w:rsidRDefault="00647572" w:rsidP="00B15AD0">
      <w:pPr>
        <w:pStyle w:val="Textodenotaderodap"/>
        <w:jc w:val="both"/>
      </w:pPr>
      <w:r w:rsidRPr="00506A24">
        <w:rPr>
          <w:rStyle w:val="Refdenotaderodap"/>
        </w:rPr>
        <w:footnoteRef/>
      </w:r>
      <w:r w:rsidRPr="00506A24">
        <w:t xml:space="preserve"> Pós-Doutor e Doutor em Direito Civil pela USP. Mestre em Direito Civil Comparado pela PUCSP. Professor Titular permanente e coordenador do mestrado da Escola Paulista de Direito (EPD). Professor e coordenador dos cursos de pós-graduação </w:t>
      </w:r>
      <w:r w:rsidRPr="00506A24">
        <w:rPr>
          <w:i/>
        </w:rPr>
        <w:t>lato sensu</w:t>
      </w:r>
      <w:r w:rsidRPr="00506A24">
        <w:t xml:space="preserve"> em Direito Privado da EPD. Relator do Projeto de Reforma do Código Civil. Primeiro Presidente e Fundador do Instituto Brasileiro de Direito Contratual (IBDCONT). Conselheiro Federal da OAB, pela OABSP. Advogado em São Paulo, parecerista, árbitro e consultor jurídico.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5E261" w14:textId="77777777" w:rsidR="00647572" w:rsidRDefault="0064757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5507" w14:textId="77777777" w:rsidR="00647572" w:rsidRDefault="00647572">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D7542" w14:textId="77777777" w:rsidR="00647572" w:rsidRDefault="0064757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66753"/>
    <w:multiLevelType w:val="hybridMultilevel"/>
    <w:tmpl w:val="54162384"/>
    <w:lvl w:ilvl="0" w:tplc="F97CC47C">
      <w:start w:val="1"/>
      <w:numFmt w:val="decimal"/>
      <w:lvlText w:val="%1)"/>
      <w:lvlJc w:val="left"/>
      <w:pPr>
        <w:ind w:left="1020" w:hanging="360"/>
      </w:pPr>
    </w:lvl>
    <w:lvl w:ilvl="1" w:tplc="4D3C6446">
      <w:start w:val="1"/>
      <w:numFmt w:val="decimal"/>
      <w:lvlText w:val="%2)"/>
      <w:lvlJc w:val="left"/>
      <w:pPr>
        <w:ind w:left="1020" w:hanging="360"/>
      </w:pPr>
    </w:lvl>
    <w:lvl w:ilvl="2" w:tplc="579EAB1A">
      <w:start w:val="1"/>
      <w:numFmt w:val="decimal"/>
      <w:lvlText w:val="%3)"/>
      <w:lvlJc w:val="left"/>
      <w:pPr>
        <w:ind w:left="1020" w:hanging="360"/>
      </w:pPr>
    </w:lvl>
    <w:lvl w:ilvl="3" w:tplc="952E9B12">
      <w:start w:val="1"/>
      <w:numFmt w:val="decimal"/>
      <w:lvlText w:val="%4)"/>
      <w:lvlJc w:val="left"/>
      <w:pPr>
        <w:ind w:left="1020" w:hanging="360"/>
      </w:pPr>
    </w:lvl>
    <w:lvl w:ilvl="4" w:tplc="6D360AEA">
      <w:start w:val="1"/>
      <w:numFmt w:val="decimal"/>
      <w:lvlText w:val="%5)"/>
      <w:lvlJc w:val="left"/>
      <w:pPr>
        <w:ind w:left="1020" w:hanging="360"/>
      </w:pPr>
    </w:lvl>
    <w:lvl w:ilvl="5" w:tplc="2E0E23EA">
      <w:start w:val="1"/>
      <w:numFmt w:val="decimal"/>
      <w:lvlText w:val="%6)"/>
      <w:lvlJc w:val="left"/>
      <w:pPr>
        <w:ind w:left="1020" w:hanging="360"/>
      </w:pPr>
    </w:lvl>
    <w:lvl w:ilvl="6" w:tplc="4BD0F8E6">
      <w:start w:val="1"/>
      <w:numFmt w:val="decimal"/>
      <w:lvlText w:val="%7)"/>
      <w:lvlJc w:val="left"/>
      <w:pPr>
        <w:ind w:left="1020" w:hanging="360"/>
      </w:pPr>
    </w:lvl>
    <w:lvl w:ilvl="7" w:tplc="4296E6EA">
      <w:start w:val="1"/>
      <w:numFmt w:val="decimal"/>
      <w:lvlText w:val="%8)"/>
      <w:lvlJc w:val="left"/>
      <w:pPr>
        <w:ind w:left="1020" w:hanging="360"/>
      </w:pPr>
    </w:lvl>
    <w:lvl w:ilvl="8" w:tplc="3DD4651E">
      <w:start w:val="1"/>
      <w:numFmt w:val="decimal"/>
      <w:lvlText w:val="%9)"/>
      <w:lvlJc w:val="left"/>
      <w:pPr>
        <w:ind w:left="1020" w:hanging="360"/>
      </w:pPr>
    </w:lvl>
  </w:abstractNum>
  <w:abstractNum w:abstractNumId="1" w15:restartNumberingAfterBreak="0">
    <w:nsid w:val="6C6E78FF"/>
    <w:multiLevelType w:val="hybridMultilevel"/>
    <w:tmpl w:val="3A94B62E"/>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25570073">
    <w:abstractNumId w:val="1"/>
  </w:num>
  <w:num w:numId="2" w16cid:durableId="47737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684D"/>
    <w:rsid w:val="00002059"/>
    <w:rsid w:val="00004278"/>
    <w:rsid w:val="00010B62"/>
    <w:rsid w:val="00012D24"/>
    <w:rsid w:val="00013106"/>
    <w:rsid w:val="00014A13"/>
    <w:rsid w:val="000163F9"/>
    <w:rsid w:val="000165B6"/>
    <w:rsid w:val="0002246D"/>
    <w:rsid w:val="000272D3"/>
    <w:rsid w:val="00042DD9"/>
    <w:rsid w:val="0006022B"/>
    <w:rsid w:val="000618D8"/>
    <w:rsid w:val="00061D0E"/>
    <w:rsid w:val="00061D24"/>
    <w:rsid w:val="00061D89"/>
    <w:rsid w:val="00065809"/>
    <w:rsid w:val="0006615C"/>
    <w:rsid w:val="00071A54"/>
    <w:rsid w:val="00081B5A"/>
    <w:rsid w:val="00081F89"/>
    <w:rsid w:val="00084038"/>
    <w:rsid w:val="00090984"/>
    <w:rsid w:val="00091C4D"/>
    <w:rsid w:val="00092468"/>
    <w:rsid w:val="000967F8"/>
    <w:rsid w:val="000A0500"/>
    <w:rsid w:val="000A1BE1"/>
    <w:rsid w:val="000A1DAE"/>
    <w:rsid w:val="000A20A3"/>
    <w:rsid w:val="000A4AFE"/>
    <w:rsid w:val="000A6A8E"/>
    <w:rsid w:val="000B00D7"/>
    <w:rsid w:val="000B0D00"/>
    <w:rsid w:val="000B139C"/>
    <w:rsid w:val="000B199E"/>
    <w:rsid w:val="000B3C12"/>
    <w:rsid w:val="000B4F9A"/>
    <w:rsid w:val="000B6EDD"/>
    <w:rsid w:val="000C0579"/>
    <w:rsid w:val="000C50CB"/>
    <w:rsid w:val="000C5F8E"/>
    <w:rsid w:val="000D35EB"/>
    <w:rsid w:val="000D4EB5"/>
    <w:rsid w:val="000D5EE0"/>
    <w:rsid w:val="000D6AB7"/>
    <w:rsid w:val="000D7B84"/>
    <w:rsid w:val="000E339F"/>
    <w:rsid w:val="000E69A0"/>
    <w:rsid w:val="000E76DF"/>
    <w:rsid w:val="000E7C7A"/>
    <w:rsid w:val="000F397F"/>
    <w:rsid w:val="00101681"/>
    <w:rsid w:val="00103B8D"/>
    <w:rsid w:val="001115BE"/>
    <w:rsid w:val="001164E8"/>
    <w:rsid w:val="00121038"/>
    <w:rsid w:val="001257FC"/>
    <w:rsid w:val="00127619"/>
    <w:rsid w:val="00130044"/>
    <w:rsid w:val="0013242A"/>
    <w:rsid w:val="001348B6"/>
    <w:rsid w:val="00140F1A"/>
    <w:rsid w:val="001431C6"/>
    <w:rsid w:val="0014589B"/>
    <w:rsid w:val="00147FD2"/>
    <w:rsid w:val="0015250A"/>
    <w:rsid w:val="001525EA"/>
    <w:rsid w:val="00154A54"/>
    <w:rsid w:val="00154E75"/>
    <w:rsid w:val="00155778"/>
    <w:rsid w:val="00155FF7"/>
    <w:rsid w:val="0015785B"/>
    <w:rsid w:val="001604A2"/>
    <w:rsid w:val="00162445"/>
    <w:rsid w:val="00163219"/>
    <w:rsid w:val="001636BE"/>
    <w:rsid w:val="0017096B"/>
    <w:rsid w:val="00174761"/>
    <w:rsid w:val="00175D02"/>
    <w:rsid w:val="00176E7D"/>
    <w:rsid w:val="001807F4"/>
    <w:rsid w:val="00195946"/>
    <w:rsid w:val="001A1246"/>
    <w:rsid w:val="001A33D9"/>
    <w:rsid w:val="001A3BB7"/>
    <w:rsid w:val="001A3C52"/>
    <w:rsid w:val="001B0CD7"/>
    <w:rsid w:val="001B36E1"/>
    <w:rsid w:val="001B45D7"/>
    <w:rsid w:val="001B648E"/>
    <w:rsid w:val="001C0743"/>
    <w:rsid w:val="001C0BF5"/>
    <w:rsid w:val="001C20B6"/>
    <w:rsid w:val="001C3F9C"/>
    <w:rsid w:val="001D10F0"/>
    <w:rsid w:val="001D23C5"/>
    <w:rsid w:val="001D248B"/>
    <w:rsid w:val="001D26B5"/>
    <w:rsid w:val="001D2D3A"/>
    <w:rsid w:val="001D2FCE"/>
    <w:rsid w:val="001D4C59"/>
    <w:rsid w:val="001E3A72"/>
    <w:rsid w:val="001E5FD0"/>
    <w:rsid w:val="001F0B30"/>
    <w:rsid w:val="001F7416"/>
    <w:rsid w:val="0020197F"/>
    <w:rsid w:val="00204797"/>
    <w:rsid w:val="00205620"/>
    <w:rsid w:val="002057D0"/>
    <w:rsid w:val="00207B9F"/>
    <w:rsid w:val="00216738"/>
    <w:rsid w:val="00216BE4"/>
    <w:rsid w:val="002173DE"/>
    <w:rsid w:val="00223883"/>
    <w:rsid w:val="00226F9E"/>
    <w:rsid w:val="00227988"/>
    <w:rsid w:val="00231DBA"/>
    <w:rsid w:val="00231DCF"/>
    <w:rsid w:val="00234405"/>
    <w:rsid w:val="00240103"/>
    <w:rsid w:val="00240B32"/>
    <w:rsid w:val="002628DD"/>
    <w:rsid w:val="0027030E"/>
    <w:rsid w:val="00270AAC"/>
    <w:rsid w:val="00275DC5"/>
    <w:rsid w:val="0027678B"/>
    <w:rsid w:val="00276D6A"/>
    <w:rsid w:val="0027700F"/>
    <w:rsid w:val="002809A2"/>
    <w:rsid w:val="00283304"/>
    <w:rsid w:val="00283C6E"/>
    <w:rsid w:val="0028639A"/>
    <w:rsid w:val="002876ED"/>
    <w:rsid w:val="00295705"/>
    <w:rsid w:val="00295C84"/>
    <w:rsid w:val="00296B3B"/>
    <w:rsid w:val="00297F8D"/>
    <w:rsid w:val="002A1A09"/>
    <w:rsid w:val="002A471D"/>
    <w:rsid w:val="002A4A94"/>
    <w:rsid w:val="002A60FF"/>
    <w:rsid w:val="002B12EB"/>
    <w:rsid w:val="002B7539"/>
    <w:rsid w:val="002B77B1"/>
    <w:rsid w:val="002B7E62"/>
    <w:rsid w:val="002C0424"/>
    <w:rsid w:val="002C07CA"/>
    <w:rsid w:val="002C20BD"/>
    <w:rsid w:val="002C5F94"/>
    <w:rsid w:val="002D2CA8"/>
    <w:rsid w:val="002D7126"/>
    <w:rsid w:val="002D75F5"/>
    <w:rsid w:val="002E06BF"/>
    <w:rsid w:val="002E0A51"/>
    <w:rsid w:val="002E174E"/>
    <w:rsid w:val="002E1E6F"/>
    <w:rsid w:val="002E2013"/>
    <w:rsid w:val="002F013F"/>
    <w:rsid w:val="002F1032"/>
    <w:rsid w:val="002F1121"/>
    <w:rsid w:val="002F1277"/>
    <w:rsid w:val="002F13D3"/>
    <w:rsid w:val="002F6BCE"/>
    <w:rsid w:val="003045A4"/>
    <w:rsid w:val="00306594"/>
    <w:rsid w:val="003079E0"/>
    <w:rsid w:val="00310780"/>
    <w:rsid w:val="00311DC8"/>
    <w:rsid w:val="00313722"/>
    <w:rsid w:val="003156EB"/>
    <w:rsid w:val="00316B68"/>
    <w:rsid w:val="00325274"/>
    <w:rsid w:val="0032631E"/>
    <w:rsid w:val="00331477"/>
    <w:rsid w:val="003358E3"/>
    <w:rsid w:val="00341469"/>
    <w:rsid w:val="00341F09"/>
    <w:rsid w:val="003509A8"/>
    <w:rsid w:val="00351820"/>
    <w:rsid w:val="00353FDF"/>
    <w:rsid w:val="00354174"/>
    <w:rsid w:val="00356BC1"/>
    <w:rsid w:val="00357109"/>
    <w:rsid w:val="00360739"/>
    <w:rsid w:val="0037094A"/>
    <w:rsid w:val="00376D27"/>
    <w:rsid w:val="0038223F"/>
    <w:rsid w:val="003869F0"/>
    <w:rsid w:val="00394C9F"/>
    <w:rsid w:val="00395C20"/>
    <w:rsid w:val="003964F7"/>
    <w:rsid w:val="00396C5B"/>
    <w:rsid w:val="003A2D67"/>
    <w:rsid w:val="003B0F36"/>
    <w:rsid w:val="003C0ADC"/>
    <w:rsid w:val="003D1130"/>
    <w:rsid w:val="003D758C"/>
    <w:rsid w:val="003E6BFA"/>
    <w:rsid w:val="003F45B3"/>
    <w:rsid w:val="003F660D"/>
    <w:rsid w:val="00401CF1"/>
    <w:rsid w:val="00412ABA"/>
    <w:rsid w:val="00416565"/>
    <w:rsid w:val="00416BAE"/>
    <w:rsid w:val="00420F7D"/>
    <w:rsid w:val="00421AAD"/>
    <w:rsid w:val="004231D8"/>
    <w:rsid w:val="0042566E"/>
    <w:rsid w:val="004263CC"/>
    <w:rsid w:val="00440E97"/>
    <w:rsid w:val="0044129B"/>
    <w:rsid w:val="004420C9"/>
    <w:rsid w:val="00443E8E"/>
    <w:rsid w:val="004459BC"/>
    <w:rsid w:val="004477AE"/>
    <w:rsid w:val="00447D60"/>
    <w:rsid w:val="00451CC8"/>
    <w:rsid w:val="0045302D"/>
    <w:rsid w:val="00461BBB"/>
    <w:rsid w:val="00463CAE"/>
    <w:rsid w:val="0046464F"/>
    <w:rsid w:val="00465B35"/>
    <w:rsid w:val="004702C9"/>
    <w:rsid w:val="00473561"/>
    <w:rsid w:val="00475A7F"/>
    <w:rsid w:val="00486631"/>
    <w:rsid w:val="004868E9"/>
    <w:rsid w:val="00494160"/>
    <w:rsid w:val="004945A7"/>
    <w:rsid w:val="004B0CC8"/>
    <w:rsid w:val="004B1ABA"/>
    <w:rsid w:val="004C28CC"/>
    <w:rsid w:val="004C2B01"/>
    <w:rsid w:val="004C50B9"/>
    <w:rsid w:val="004C6716"/>
    <w:rsid w:val="004C6CAD"/>
    <w:rsid w:val="004D192A"/>
    <w:rsid w:val="004D3C8B"/>
    <w:rsid w:val="004D6C73"/>
    <w:rsid w:val="004E63A3"/>
    <w:rsid w:val="004E68BF"/>
    <w:rsid w:val="004F108D"/>
    <w:rsid w:val="004F5A0C"/>
    <w:rsid w:val="005019A9"/>
    <w:rsid w:val="00505C0B"/>
    <w:rsid w:val="00505F81"/>
    <w:rsid w:val="00506A24"/>
    <w:rsid w:val="00507514"/>
    <w:rsid w:val="00510D5E"/>
    <w:rsid w:val="0051186F"/>
    <w:rsid w:val="00513172"/>
    <w:rsid w:val="00520F3F"/>
    <w:rsid w:val="00521AD5"/>
    <w:rsid w:val="00525923"/>
    <w:rsid w:val="005264F9"/>
    <w:rsid w:val="00530D2E"/>
    <w:rsid w:val="00537B7E"/>
    <w:rsid w:val="00540A1C"/>
    <w:rsid w:val="00550067"/>
    <w:rsid w:val="00551126"/>
    <w:rsid w:val="00552DBC"/>
    <w:rsid w:val="00554A9A"/>
    <w:rsid w:val="00555174"/>
    <w:rsid w:val="00560AB1"/>
    <w:rsid w:val="00565371"/>
    <w:rsid w:val="005662A2"/>
    <w:rsid w:val="00572FB3"/>
    <w:rsid w:val="005803EC"/>
    <w:rsid w:val="00581D80"/>
    <w:rsid w:val="00582E0D"/>
    <w:rsid w:val="0058340B"/>
    <w:rsid w:val="005937B9"/>
    <w:rsid w:val="00594F57"/>
    <w:rsid w:val="005A0224"/>
    <w:rsid w:val="005A1CA7"/>
    <w:rsid w:val="005A4F89"/>
    <w:rsid w:val="005A5520"/>
    <w:rsid w:val="005A5D67"/>
    <w:rsid w:val="005A6CC3"/>
    <w:rsid w:val="005B6FDC"/>
    <w:rsid w:val="005C2B81"/>
    <w:rsid w:val="005C3438"/>
    <w:rsid w:val="005C3619"/>
    <w:rsid w:val="005C4502"/>
    <w:rsid w:val="005D3299"/>
    <w:rsid w:val="005D6822"/>
    <w:rsid w:val="005E4456"/>
    <w:rsid w:val="005E4E1C"/>
    <w:rsid w:val="005E57AA"/>
    <w:rsid w:val="005E5BC0"/>
    <w:rsid w:val="005F0E14"/>
    <w:rsid w:val="005F164A"/>
    <w:rsid w:val="005F1820"/>
    <w:rsid w:val="005F2571"/>
    <w:rsid w:val="005F25C9"/>
    <w:rsid w:val="005F41FE"/>
    <w:rsid w:val="005F6BE4"/>
    <w:rsid w:val="005F7883"/>
    <w:rsid w:val="006067E7"/>
    <w:rsid w:val="00606C96"/>
    <w:rsid w:val="00610691"/>
    <w:rsid w:val="00613516"/>
    <w:rsid w:val="00614366"/>
    <w:rsid w:val="006169A5"/>
    <w:rsid w:val="00620620"/>
    <w:rsid w:val="00623FF3"/>
    <w:rsid w:val="00632D73"/>
    <w:rsid w:val="0063474C"/>
    <w:rsid w:val="00635A77"/>
    <w:rsid w:val="0063631C"/>
    <w:rsid w:val="00637D4E"/>
    <w:rsid w:val="00643929"/>
    <w:rsid w:val="0064646B"/>
    <w:rsid w:val="00647572"/>
    <w:rsid w:val="006503ED"/>
    <w:rsid w:val="0065126D"/>
    <w:rsid w:val="0065327B"/>
    <w:rsid w:val="00653C19"/>
    <w:rsid w:val="00653FEF"/>
    <w:rsid w:val="006551BA"/>
    <w:rsid w:val="0065579F"/>
    <w:rsid w:val="00664651"/>
    <w:rsid w:val="00666DBB"/>
    <w:rsid w:val="00667AAB"/>
    <w:rsid w:val="00674CF0"/>
    <w:rsid w:val="006815B4"/>
    <w:rsid w:val="00682647"/>
    <w:rsid w:val="00684049"/>
    <w:rsid w:val="00684EAE"/>
    <w:rsid w:val="00687D4D"/>
    <w:rsid w:val="00687F6F"/>
    <w:rsid w:val="00692442"/>
    <w:rsid w:val="006931D3"/>
    <w:rsid w:val="00693231"/>
    <w:rsid w:val="0069517F"/>
    <w:rsid w:val="00696537"/>
    <w:rsid w:val="00696E45"/>
    <w:rsid w:val="006A1DE3"/>
    <w:rsid w:val="006A20BD"/>
    <w:rsid w:val="006A24C2"/>
    <w:rsid w:val="006A2729"/>
    <w:rsid w:val="006A3397"/>
    <w:rsid w:val="006A3977"/>
    <w:rsid w:val="006A4626"/>
    <w:rsid w:val="006A67A7"/>
    <w:rsid w:val="006B0194"/>
    <w:rsid w:val="006B1CDC"/>
    <w:rsid w:val="006B4DC9"/>
    <w:rsid w:val="006B64C9"/>
    <w:rsid w:val="006C6CD1"/>
    <w:rsid w:val="006D2259"/>
    <w:rsid w:val="006D389F"/>
    <w:rsid w:val="006D568E"/>
    <w:rsid w:val="006D7C66"/>
    <w:rsid w:val="006E0C8C"/>
    <w:rsid w:val="006E1F16"/>
    <w:rsid w:val="006E434B"/>
    <w:rsid w:val="006F37FB"/>
    <w:rsid w:val="006F666B"/>
    <w:rsid w:val="006F7018"/>
    <w:rsid w:val="0070123D"/>
    <w:rsid w:val="007018A3"/>
    <w:rsid w:val="0070682D"/>
    <w:rsid w:val="00711BF6"/>
    <w:rsid w:val="0071408C"/>
    <w:rsid w:val="007154AD"/>
    <w:rsid w:val="007161E4"/>
    <w:rsid w:val="00722CAC"/>
    <w:rsid w:val="007318C7"/>
    <w:rsid w:val="007406B8"/>
    <w:rsid w:val="00741F35"/>
    <w:rsid w:val="00747200"/>
    <w:rsid w:val="0075158E"/>
    <w:rsid w:val="007522CF"/>
    <w:rsid w:val="00752FEE"/>
    <w:rsid w:val="007662FB"/>
    <w:rsid w:val="00771074"/>
    <w:rsid w:val="007713AD"/>
    <w:rsid w:val="0077147A"/>
    <w:rsid w:val="007745E9"/>
    <w:rsid w:val="00774964"/>
    <w:rsid w:val="00777567"/>
    <w:rsid w:val="00777A2F"/>
    <w:rsid w:val="0078277B"/>
    <w:rsid w:val="00783334"/>
    <w:rsid w:val="00784107"/>
    <w:rsid w:val="00786CE4"/>
    <w:rsid w:val="007914E9"/>
    <w:rsid w:val="0079684D"/>
    <w:rsid w:val="007A0FB1"/>
    <w:rsid w:val="007A1060"/>
    <w:rsid w:val="007A12F1"/>
    <w:rsid w:val="007A54E4"/>
    <w:rsid w:val="007A6C76"/>
    <w:rsid w:val="007B113F"/>
    <w:rsid w:val="007B2E42"/>
    <w:rsid w:val="007B30A7"/>
    <w:rsid w:val="007B3258"/>
    <w:rsid w:val="007B355F"/>
    <w:rsid w:val="007B5E1B"/>
    <w:rsid w:val="007C17F4"/>
    <w:rsid w:val="007C1C26"/>
    <w:rsid w:val="007C3B6E"/>
    <w:rsid w:val="007C517C"/>
    <w:rsid w:val="007D079B"/>
    <w:rsid w:val="007D0849"/>
    <w:rsid w:val="007D7E1C"/>
    <w:rsid w:val="007E25B9"/>
    <w:rsid w:val="007E6471"/>
    <w:rsid w:val="007F0B9D"/>
    <w:rsid w:val="007F14FB"/>
    <w:rsid w:val="00801384"/>
    <w:rsid w:val="00802F39"/>
    <w:rsid w:val="00805969"/>
    <w:rsid w:val="0080683F"/>
    <w:rsid w:val="00806EDD"/>
    <w:rsid w:val="0082431E"/>
    <w:rsid w:val="00824E4B"/>
    <w:rsid w:val="00826A0C"/>
    <w:rsid w:val="00830464"/>
    <w:rsid w:val="00831927"/>
    <w:rsid w:val="00832AE4"/>
    <w:rsid w:val="008354AD"/>
    <w:rsid w:val="00851514"/>
    <w:rsid w:val="00851601"/>
    <w:rsid w:val="00852A04"/>
    <w:rsid w:val="00852DEB"/>
    <w:rsid w:val="00855774"/>
    <w:rsid w:val="00857672"/>
    <w:rsid w:val="008674E3"/>
    <w:rsid w:val="00867E84"/>
    <w:rsid w:val="00873645"/>
    <w:rsid w:val="00880709"/>
    <w:rsid w:val="00880ACE"/>
    <w:rsid w:val="00880B27"/>
    <w:rsid w:val="00885120"/>
    <w:rsid w:val="00885627"/>
    <w:rsid w:val="00895E9B"/>
    <w:rsid w:val="00897CB0"/>
    <w:rsid w:val="008A40A3"/>
    <w:rsid w:val="008A46FF"/>
    <w:rsid w:val="008A6200"/>
    <w:rsid w:val="008A66AC"/>
    <w:rsid w:val="008B65F8"/>
    <w:rsid w:val="008C19E7"/>
    <w:rsid w:val="008D1456"/>
    <w:rsid w:val="008D1E6F"/>
    <w:rsid w:val="008E513D"/>
    <w:rsid w:val="008F2C5D"/>
    <w:rsid w:val="008F63CA"/>
    <w:rsid w:val="0090223A"/>
    <w:rsid w:val="00902BB5"/>
    <w:rsid w:val="00903F91"/>
    <w:rsid w:val="00906135"/>
    <w:rsid w:val="00907993"/>
    <w:rsid w:val="0091232E"/>
    <w:rsid w:val="00920A9B"/>
    <w:rsid w:val="00920C6E"/>
    <w:rsid w:val="009253D9"/>
    <w:rsid w:val="0092561C"/>
    <w:rsid w:val="00925730"/>
    <w:rsid w:val="00932490"/>
    <w:rsid w:val="00932B41"/>
    <w:rsid w:val="009368C3"/>
    <w:rsid w:val="0094649F"/>
    <w:rsid w:val="009464A7"/>
    <w:rsid w:val="00946888"/>
    <w:rsid w:val="00952AB1"/>
    <w:rsid w:val="00953982"/>
    <w:rsid w:val="00954C6F"/>
    <w:rsid w:val="00955726"/>
    <w:rsid w:val="00956D2B"/>
    <w:rsid w:val="00960F98"/>
    <w:rsid w:val="00961295"/>
    <w:rsid w:val="00964A37"/>
    <w:rsid w:val="00965DB6"/>
    <w:rsid w:val="00965F7E"/>
    <w:rsid w:val="009661A3"/>
    <w:rsid w:val="009667C7"/>
    <w:rsid w:val="00971484"/>
    <w:rsid w:val="009715B4"/>
    <w:rsid w:val="00975C0F"/>
    <w:rsid w:val="0097659D"/>
    <w:rsid w:val="00977772"/>
    <w:rsid w:val="00982689"/>
    <w:rsid w:val="00982AAD"/>
    <w:rsid w:val="0098731E"/>
    <w:rsid w:val="00991F63"/>
    <w:rsid w:val="009926B6"/>
    <w:rsid w:val="00993632"/>
    <w:rsid w:val="009937E0"/>
    <w:rsid w:val="009A338E"/>
    <w:rsid w:val="009B1CDE"/>
    <w:rsid w:val="009B666C"/>
    <w:rsid w:val="009B75BF"/>
    <w:rsid w:val="009C00DA"/>
    <w:rsid w:val="009C3361"/>
    <w:rsid w:val="009C4399"/>
    <w:rsid w:val="009C5018"/>
    <w:rsid w:val="009C7465"/>
    <w:rsid w:val="009D12E8"/>
    <w:rsid w:val="009D17EF"/>
    <w:rsid w:val="009D6C03"/>
    <w:rsid w:val="009E1D79"/>
    <w:rsid w:val="009E65DC"/>
    <w:rsid w:val="009F1929"/>
    <w:rsid w:val="009F594A"/>
    <w:rsid w:val="009F5F3F"/>
    <w:rsid w:val="009F6476"/>
    <w:rsid w:val="00A01D37"/>
    <w:rsid w:val="00A02347"/>
    <w:rsid w:val="00A06093"/>
    <w:rsid w:val="00A07476"/>
    <w:rsid w:val="00A07A6F"/>
    <w:rsid w:val="00A1091B"/>
    <w:rsid w:val="00A109C6"/>
    <w:rsid w:val="00A10A11"/>
    <w:rsid w:val="00A1578D"/>
    <w:rsid w:val="00A15C1C"/>
    <w:rsid w:val="00A17286"/>
    <w:rsid w:val="00A20C07"/>
    <w:rsid w:val="00A21CE5"/>
    <w:rsid w:val="00A2489D"/>
    <w:rsid w:val="00A327F6"/>
    <w:rsid w:val="00A334EE"/>
    <w:rsid w:val="00A37162"/>
    <w:rsid w:val="00A43AFD"/>
    <w:rsid w:val="00A44132"/>
    <w:rsid w:val="00A442CF"/>
    <w:rsid w:val="00A44ECC"/>
    <w:rsid w:val="00A51146"/>
    <w:rsid w:val="00A57D4B"/>
    <w:rsid w:val="00A62ABF"/>
    <w:rsid w:val="00A7019E"/>
    <w:rsid w:val="00A73016"/>
    <w:rsid w:val="00A76A82"/>
    <w:rsid w:val="00A76C5C"/>
    <w:rsid w:val="00A80308"/>
    <w:rsid w:val="00A81FFC"/>
    <w:rsid w:val="00A82E3B"/>
    <w:rsid w:val="00A84FDB"/>
    <w:rsid w:val="00A86B2F"/>
    <w:rsid w:val="00A8793F"/>
    <w:rsid w:val="00A90F25"/>
    <w:rsid w:val="00A94BAE"/>
    <w:rsid w:val="00A97842"/>
    <w:rsid w:val="00AA00C0"/>
    <w:rsid w:val="00AA1666"/>
    <w:rsid w:val="00AA3D1E"/>
    <w:rsid w:val="00AA3F2B"/>
    <w:rsid w:val="00AA56AC"/>
    <w:rsid w:val="00AB0E85"/>
    <w:rsid w:val="00AB462C"/>
    <w:rsid w:val="00AB7223"/>
    <w:rsid w:val="00AC193D"/>
    <w:rsid w:val="00AC7940"/>
    <w:rsid w:val="00AD19E0"/>
    <w:rsid w:val="00AD365A"/>
    <w:rsid w:val="00AD4060"/>
    <w:rsid w:val="00AD4158"/>
    <w:rsid w:val="00AD4464"/>
    <w:rsid w:val="00AE2D47"/>
    <w:rsid w:val="00AE43D6"/>
    <w:rsid w:val="00AE6358"/>
    <w:rsid w:val="00AE6736"/>
    <w:rsid w:val="00AF079D"/>
    <w:rsid w:val="00AF3E95"/>
    <w:rsid w:val="00AF41E1"/>
    <w:rsid w:val="00AF5CA9"/>
    <w:rsid w:val="00B005B5"/>
    <w:rsid w:val="00B01459"/>
    <w:rsid w:val="00B02847"/>
    <w:rsid w:val="00B06309"/>
    <w:rsid w:val="00B11339"/>
    <w:rsid w:val="00B15AD0"/>
    <w:rsid w:val="00B15BDA"/>
    <w:rsid w:val="00B15C5A"/>
    <w:rsid w:val="00B169A0"/>
    <w:rsid w:val="00B23807"/>
    <w:rsid w:val="00B24B08"/>
    <w:rsid w:val="00B254FF"/>
    <w:rsid w:val="00B25CA7"/>
    <w:rsid w:val="00B26B79"/>
    <w:rsid w:val="00B30B9D"/>
    <w:rsid w:val="00B3241B"/>
    <w:rsid w:val="00B331DE"/>
    <w:rsid w:val="00B35B11"/>
    <w:rsid w:val="00B36E19"/>
    <w:rsid w:val="00B40CF5"/>
    <w:rsid w:val="00B41824"/>
    <w:rsid w:val="00B46C1C"/>
    <w:rsid w:val="00B47D6E"/>
    <w:rsid w:val="00B50585"/>
    <w:rsid w:val="00B5085B"/>
    <w:rsid w:val="00B5467F"/>
    <w:rsid w:val="00B57D95"/>
    <w:rsid w:val="00B61C0C"/>
    <w:rsid w:val="00B62174"/>
    <w:rsid w:val="00B65451"/>
    <w:rsid w:val="00B70649"/>
    <w:rsid w:val="00B70904"/>
    <w:rsid w:val="00B7779D"/>
    <w:rsid w:val="00B80F6E"/>
    <w:rsid w:val="00B82C9B"/>
    <w:rsid w:val="00B83A19"/>
    <w:rsid w:val="00B87B12"/>
    <w:rsid w:val="00B92183"/>
    <w:rsid w:val="00B92548"/>
    <w:rsid w:val="00B92F1F"/>
    <w:rsid w:val="00B9325A"/>
    <w:rsid w:val="00B96C3E"/>
    <w:rsid w:val="00B96D42"/>
    <w:rsid w:val="00B975F2"/>
    <w:rsid w:val="00BA23C3"/>
    <w:rsid w:val="00BA5F05"/>
    <w:rsid w:val="00BB1251"/>
    <w:rsid w:val="00BB144D"/>
    <w:rsid w:val="00BB541E"/>
    <w:rsid w:val="00BB60D6"/>
    <w:rsid w:val="00BB7705"/>
    <w:rsid w:val="00BC1801"/>
    <w:rsid w:val="00BC23E3"/>
    <w:rsid w:val="00BC3E67"/>
    <w:rsid w:val="00BD0315"/>
    <w:rsid w:val="00BD35D8"/>
    <w:rsid w:val="00BD40C8"/>
    <w:rsid w:val="00BD437B"/>
    <w:rsid w:val="00BE1CB2"/>
    <w:rsid w:val="00BE49BF"/>
    <w:rsid w:val="00BE77F7"/>
    <w:rsid w:val="00BE7A99"/>
    <w:rsid w:val="00BF00AE"/>
    <w:rsid w:val="00BF18DC"/>
    <w:rsid w:val="00BF45D8"/>
    <w:rsid w:val="00BF7D04"/>
    <w:rsid w:val="00C002DB"/>
    <w:rsid w:val="00C06F0A"/>
    <w:rsid w:val="00C103AD"/>
    <w:rsid w:val="00C11874"/>
    <w:rsid w:val="00C26650"/>
    <w:rsid w:val="00C31189"/>
    <w:rsid w:val="00C404EB"/>
    <w:rsid w:val="00C45AC9"/>
    <w:rsid w:val="00C53FB9"/>
    <w:rsid w:val="00C55C23"/>
    <w:rsid w:val="00C55F21"/>
    <w:rsid w:val="00C5797D"/>
    <w:rsid w:val="00C613CE"/>
    <w:rsid w:val="00C650C5"/>
    <w:rsid w:val="00C73750"/>
    <w:rsid w:val="00C73DE8"/>
    <w:rsid w:val="00C75E3D"/>
    <w:rsid w:val="00C81C6B"/>
    <w:rsid w:val="00C81D18"/>
    <w:rsid w:val="00C81F81"/>
    <w:rsid w:val="00C82083"/>
    <w:rsid w:val="00C85C7D"/>
    <w:rsid w:val="00C92E87"/>
    <w:rsid w:val="00C94ADB"/>
    <w:rsid w:val="00C94D42"/>
    <w:rsid w:val="00C94F2F"/>
    <w:rsid w:val="00CA0E59"/>
    <w:rsid w:val="00CA24B4"/>
    <w:rsid w:val="00CA27DC"/>
    <w:rsid w:val="00CA41F7"/>
    <w:rsid w:val="00CA5D25"/>
    <w:rsid w:val="00CA6B4A"/>
    <w:rsid w:val="00CA6F54"/>
    <w:rsid w:val="00CA7E3B"/>
    <w:rsid w:val="00CB291F"/>
    <w:rsid w:val="00CB34BC"/>
    <w:rsid w:val="00CB72CC"/>
    <w:rsid w:val="00CC320E"/>
    <w:rsid w:val="00CC5417"/>
    <w:rsid w:val="00CC5480"/>
    <w:rsid w:val="00CD2BEF"/>
    <w:rsid w:val="00CD50B1"/>
    <w:rsid w:val="00CE435B"/>
    <w:rsid w:val="00CE43E1"/>
    <w:rsid w:val="00CE530B"/>
    <w:rsid w:val="00CE63DB"/>
    <w:rsid w:val="00CE7C6D"/>
    <w:rsid w:val="00CF55C8"/>
    <w:rsid w:val="00CF5F14"/>
    <w:rsid w:val="00D01AB6"/>
    <w:rsid w:val="00D0211A"/>
    <w:rsid w:val="00D046C6"/>
    <w:rsid w:val="00D046F1"/>
    <w:rsid w:val="00D04F1C"/>
    <w:rsid w:val="00D07EB8"/>
    <w:rsid w:val="00D13683"/>
    <w:rsid w:val="00D146BD"/>
    <w:rsid w:val="00D166F9"/>
    <w:rsid w:val="00D167BF"/>
    <w:rsid w:val="00D22681"/>
    <w:rsid w:val="00D22AC7"/>
    <w:rsid w:val="00D2308A"/>
    <w:rsid w:val="00D26334"/>
    <w:rsid w:val="00D31F45"/>
    <w:rsid w:val="00D35C63"/>
    <w:rsid w:val="00D373E2"/>
    <w:rsid w:val="00D4240B"/>
    <w:rsid w:val="00D4273F"/>
    <w:rsid w:val="00D44E5A"/>
    <w:rsid w:val="00D57E74"/>
    <w:rsid w:val="00D57F00"/>
    <w:rsid w:val="00D61255"/>
    <w:rsid w:val="00D619AB"/>
    <w:rsid w:val="00D623D8"/>
    <w:rsid w:val="00D63892"/>
    <w:rsid w:val="00D654A8"/>
    <w:rsid w:val="00D70256"/>
    <w:rsid w:val="00D73535"/>
    <w:rsid w:val="00D75992"/>
    <w:rsid w:val="00D76315"/>
    <w:rsid w:val="00D76A8C"/>
    <w:rsid w:val="00D80FBD"/>
    <w:rsid w:val="00D81FAD"/>
    <w:rsid w:val="00D84097"/>
    <w:rsid w:val="00D8419E"/>
    <w:rsid w:val="00D85EFE"/>
    <w:rsid w:val="00D85FDA"/>
    <w:rsid w:val="00D87DAF"/>
    <w:rsid w:val="00D91A06"/>
    <w:rsid w:val="00D9380E"/>
    <w:rsid w:val="00D94656"/>
    <w:rsid w:val="00D97E3F"/>
    <w:rsid w:val="00DA104A"/>
    <w:rsid w:val="00DA5F58"/>
    <w:rsid w:val="00DB007B"/>
    <w:rsid w:val="00DB1C32"/>
    <w:rsid w:val="00DB2F2A"/>
    <w:rsid w:val="00DC0085"/>
    <w:rsid w:val="00DC17C3"/>
    <w:rsid w:val="00DC2D95"/>
    <w:rsid w:val="00DC49FD"/>
    <w:rsid w:val="00DC5ACF"/>
    <w:rsid w:val="00DD09D1"/>
    <w:rsid w:val="00DD25AE"/>
    <w:rsid w:val="00DD4193"/>
    <w:rsid w:val="00DD4DDC"/>
    <w:rsid w:val="00DD65DA"/>
    <w:rsid w:val="00DE12D5"/>
    <w:rsid w:val="00DE4010"/>
    <w:rsid w:val="00DE7F51"/>
    <w:rsid w:val="00DF4529"/>
    <w:rsid w:val="00DF5F89"/>
    <w:rsid w:val="00DF7B7C"/>
    <w:rsid w:val="00E03BC8"/>
    <w:rsid w:val="00E0689A"/>
    <w:rsid w:val="00E10116"/>
    <w:rsid w:val="00E10301"/>
    <w:rsid w:val="00E1042B"/>
    <w:rsid w:val="00E10CC7"/>
    <w:rsid w:val="00E10FD6"/>
    <w:rsid w:val="00E12C52"/>
    <w:rsid w:val="00E144F9"/>
    <w:rsid w:val="00E154BB"/>
    <w:rsid w:val="00E16C47"/>
    <w:rsid w:val="00E209D4"/>
    <w:rsid w:val="00E24444"/>
    <w:rsid w:val="00E25C3F"/>
    <w:rsid w:val="00E25D63"/>
    <w:rsid w:val="00E32682"/>
    <w:rsid w:val="00E35493"/>
    <w:rsid w:val="00E35E71"/>
    <w:rsid w:val="00E36342"/>
    <w:rsid w:val="00E405B6"/>
    <w:rsid w:val="00E405C5"/>
    <w:rsid w:val="00E4119F"/>
    <w:rsid w:val="00E41630"/>
    <w:rsid w:val="00E44CDE"/>
    <w:rsid w:val="00E45452"/>
    <w:rsid w:val="00E52B01"/>
    <w:rsid w:val="00E53BFA"/>
    <w:rsid w:val="00E5446C"/>
    <w:rsid w:val="00E552E6"/>
    <w:rsid w:val="00E577F6"/>
    <w:rsid w:val="00E611F8"/>
    <w:rsid w:val="00E621E1"/>
    <w:rsid w:val="00E62628"/>
    <w:rsid w:val="00E64137"/>
    <w:rsid w:val="00E64963"/>
    <w:rsid w:val="00E67C9F"/>
    <w:rsid w:val="00E74015"/>
    <w:rsid w:val="00E75ACA"/>
    <w:rsid w:val="00E75D40"/>
    <w:rsid w:val="00E80E0C"/>
    <w:rsid w:val="00E821F9"/>
    <w:rsid w:val="00E827C1"/>
    <w:rsid w:val="00E83783"/>
    <w:rsid w:val="00E839C3"/>
    <w:rsid w:val="00E84574"/>
    <w:rsid w:val="00E86260"/>
    <w:rsid w:val="00E866C6"/>
    <w:rsid w:val="00E9368D"/>
    <w:rsid w:val="00E97DED"/>
    <w:rsid w:val="00E97E60"/>
    <w:rsid w:val="00EA72D1"/>
    <w:rsid w:val="00EB139C"/>
    <w:rsid w:val="00EC15F6"/>
    <w:rsid w:val="00EC5820"/>
    <w:rsid w:val="00EC6643"/>
    <w:rsid w:val="00EC6D8C"/>
    <w:rsid w:val="00EC6F29"/>
    <w:rsid w:val="00ED029D"/>
    <w:rsid w:val="00ED11CD"/>
    <w:rsid w:val="00ED3995"/>
    <w:rsid w:val="00ED7CE4"/>
    <w:rsid w:val="00EE402C"/>
    <w:rsid w:val="00EE4E8D"/>
    <w:rsid w:val="00EE5673"/>
    <w:rsid w:val="00EE56AE"/>
    <w:rsid w:val="00EE67EA"/>
    <w:rsid w:val="00EF7463"/>
    <w:rsid w:val="00F04165"/>
    <w:rsid w:val="00F049DE"/>
    <w:rsid w:val="00F11002"/>
    <w:rsid w:val="00F17013"/>
    <w:rsid w:val="00F215A0"/>
    <w:rsid w:val="00F226FD"/>
    <w:rsid w:val="00F24B9B"/>
    <w:rsid w:val="00F2527F"/>
    <w:rsid w:val="00F265DF"/>
    <w:rsid w:val="00F268FD"/>
    <w:rsid w:val="00F27A97"/>
    <w:rsid w:val="00F327F5"/>
    <w:rsid w:val="00F33B33"/>
    <w:rsid w:val="00F36722"/>
    <w:rsid w:val="00F374A4"/>
    <w:rsid w:val="00F37CBA"/>
    <w:rsid w:val="00F40467"/>
    <w:rsid w:val="00F43E63"/>
    <w:rsid w:val="00F4508D"/>
    <w:rsid w:val="00F47016"/>
    <w:rsid w:val="00F63D06"/>
    <w:rsid w:val="00F67913"/>
    <w:rsid w:val="00F6792C"/>
    <w:rsid w:val="00F74B0F"/>
    <w:rsid w:val="00F857F3"/>
    <w:rsid w:val="00F9265F"/>
    <w:rsid w:val="00F95D83"/>
    <w:rsid w:val="00F97FE1"/>
    <w:rsid w:val="00FA4B9B"/>
    <w:rsid w:val="00FA5943"/>
    <w:rsid w:val="00FB11D8"/>
    <w:rsid w:val="00FB2393"/>
    <w:rsid w:val="00FB52CB"/>
    <w:rsid w:val="00FC17DC"/>
    <w:rsid w:val="00FC70DB"/>
    <w:rsid w:val="00FD72D8"/>
    <w:rsid w:val="00FE09D7"/>
    <w:rsid w:val="00FE20A8"/>
    <w:rsid w:val="00FE3106"/>
    <w:rsid w:val="00FE55D2"/>
    <w:rsid w:val="00FF0F7C"/>
    <w:rsid w:val="00FF1A0B"/>
    <w:rsid w:val="00FF2F67"/>
    <w:rsid w:val="00FF3081"/>
    <w:rsid w:val="00FF4191"/>
    <w:rsid w:val="00FF6E58"/>
    <w:rsid w:val="00FF7E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5933B"/>
  <w15:docId w15:val="{E5F9E96C-365F-4C17-8AB8-946522458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FD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C81C6B"/>
    <w:rPr>
      <w:color w:val="0563C1" w:themeColor="hyperlink"/>
      <w:u w:val="single"/>
    </w:rPr>
  </w:style>
  <w:style w:type="character" w:customStyle="1" w:styleId="MenoPendente1">
    <w:name w:val="Menção Pendente1"/>
    <w:basedOn w:val="Fontepargpadro"/>
    <w:uiPriority w:val="99"/>
    <w:semiHidden/>
    <w:unhideWhenUsed/>
    <w:rsid w:val="00C81C6B"/>
    <w:rPr>
      <w:color w:val="605E5C"/>
      <w:shd w:val="clear" w:color="auto" w:fill="E1DFDD"/>
    </w:rPr>
  </w:style>
  <w:style w:type="paragraph" w:styleId="Textodenotaderodap">
    <w:name w:val="footnote text"/>
    <w:aliases w:val=" Char Char,Char Char, Char Char Char Char,Nota de rodapé,fn,ALTS FOOTNOTE,Footnote Text Char,footnote text char, Char3,Char3,Texto de rodapé,Char3 Char Char Char Char, Char3 Char Char Char Char, Char3 Char Char,Char3 Char Char,f"/>
    <w:basedOn w:val="Normal"/>
    <w:link w:val="TextodenotaderodapChar"/>
    <w:uiPriority w:val="99"/>
    <w:qFormat/>
    <w:rsid w:val="00B15AD0"/>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aliases w:val=" Char Char Char,Char Char Char, Char Char Char Char Char,Nota de rodapé Char,fn Char,ALTS FOOTNOTE Char,Footnote Text Char Char,footnote text char Char, Char3 Char,Char3 Char,Texto de rodapé Char, Char3 Char Char Char,f Char"/>
    <w:basedOn w:val="Fontepargpadro"/>
    <w:link w:val="Textodenotaderodap"/>
    <w:uiPriority w:val="99"/>
    <w:qFormat/>
    <w:rsid w:val="00B15AD0"/>
    <w:rPr>
      <w:rFonts w:ascii="Times New Roman" w:eastAsia="Times New Roman" w:hAnsi="Times New Roman" w:cs="Times New Roman"/>
      <w:sz w:val="20"/>
      <w:szCs w:val="20"/>
      <w:lang w:eastAsia="pt-BR"/>
    </w:rPr>
  </w:style>
  <w:style w:type="character" w:styleId="Refdenotaderodap">
    <w:name w:val="footnote reference"/>
    <w:aliases w:val="sobrescrito,Ref,de nota al pie,FC,_Footnote Reference,_Footnote text,_Footnote,_Footnote Text,_Footnote base Reference,Footnote symbol,Style 12,(NECG) Footnote Reference,Referência de rodapé,Ref. de nota de rodapé monografia.,fr,o"/>
    <w:link w:val="frCharChar1"/>
    <w:uiPriority w:val="99"/>
    <w:qFormat/>
    <w:rsid w:val="00B15AD0"/>
    <w:rPr>
      <w:vertAlign w:val="superscript"/>
    </w:rPr>
  </w:style>
  <w:style w:type="paragraph" w:styleId="Cabealho">
    <w:name w:val="header"/>
    <w:basedOn w:val="Normal"/>
    <w:link w:val="CabealhoChar"/>
    <w:uiPriority w:val="99"/>
    <w:unhideWhenUsed/>
    <w:rsid w:val="00A327F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327F6"/>
  </w:style>
  <w:style w:type="paragraph" w:styleId="Rodap">
    <w:name w:val="footer"/>
    <w:basedOn w:val="Normal"/>
    <w:link w:val="RodapChar"/>
    <w:uiPriority w:val="99"/>
    <w:unhideWhenUsed/>
    <w:rsid w:val="00A327F6"/>
    <w:pPr>
      <w:tabs>
        <w:tab w:val="center" w:pos="4252"/>
        <w:tab w:val="right" w:pos="8504"/>
      </w:tabs>
      <w:spacing w:after="0" w:line="240" w:lineRule="auto"/>
    </w:pPr>
  </w:style>
  <w:style w:type="character" w:customStyle="1" w:styleId="RodapChar">
    <w:name w:val="Rodapé Char"/>
    <w:basedOn w:val="Fontepargpadro"/>
    <w:link w:val="Rodap"/>
    <w:uiPriority w:val="99"/>
    <w:rsid w:val="00A327F6"/>
  </w:style>
  <w:style w:type="character" w:styleId="Refdecomentrio">
    <w:name w:val="annotation reference"/>
    <w:basedOn w:val="Fontepargpadro"/>
    <w:uiPriority w:val="99"/>
    <w:semiHidden/>
    <w:unhideWhenUsed/>
    <w:rsid w:val="00D87DAF"/>
    <w:rPr>
      <w:sz w:val="16"/>
      <w:szCs w:val="16"/>
    </w:rPr>
  </w:style>
  <w:style w:type="paragraph" w:styleId="Textodecomentrio">
    <w:name w:val="annotation text"/>
    <w:basedOn w:val="Normal"/>
    <w:link w:val="TextodecomentrioChar"/>
    <w:uiPriority w:val="99"/>
    <w:unhideWhenUsed/>
    <w:rsid w:val="00D87DAF"/>
    <w:pPr>
      <w:spacing w:line="240" w:lineRule="auto"/>
    </w:pPr>
    <w:rPr>
      <w:sz w:val="20"/>
      <w:szCs w:val="20"/>
    </w:rPr>
  </w:style>
  <w:style w:type="character" w:customStyle="1" w:styleId="TextodecomentrioChar">
    <w:name w:val="Texto de comentário Char"/>
    <w:basedOn w:val="Fontepargpadro"/>
    <w:link w:val="Textodecomentrio"/>
    <w:uiPriority w:val="99"/>
    <w:rsid w:val="00D87DAF"/>
    <w:rPr>
      <w:sz w:val="20"/>
      <w:szCs w:val="20"/>
    </w:rPr>
  </w:style>
  <w:style w:type="paragraph" w:styleId="Assuntodocomentrio">
    <w:name w:val="annotation subject"/>
    <w:basedOn w:val="Textodecomentrio"/>
    <w:next w:val="Textodecomentrio"/>
    <w:link w:val="AssuntodocomentrioChar"/>
    <w:uiPriority w:val="99"/>
    <w:semiHidden/>
    <w:unhideWhenUsed/>
    <w:rsid w:val="00D87DAF"/>
    <w:rPr>
      <w:b/>
      <w:bCs/>
    </w:rPr>
  </w:style>
  <w:style w:type="character" w:customStyle="1" w:styleId="AssuntodocomentrioChar">
    <w:name w:val="Assunto do comentário Char"/>
    <w:basedOn w:val="TextodecomentrioChar"/>
    <w:link w:val="Assuntodocomentrio"/>
    <w:uiPriority w:val="99"/>
    <w:semiHidden/>
    <w:rsid w:val="00D87DAF"/>
    <w:rPr>
      <w:b/>
      <w:bCs/>
      <w:sz w:val="20"/>
      <w:szCs w:val="20"/>
    </w:rPr>
  </w:style>
  <w:style w:type="paragraph" w:styleId="Textodebalo">
    <w:name w:val="Balloon Text"/>
    <w:basedOn w:val="Normal"/>
    <w:link w:val="TextodebaloChar"/>
    <w:uiPriority w:val="99"/>
    <w:semiHidden/>
    <w:unhideWhenUsed/>
    <w:rsid w:val="002628D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628DD"/>
    <w:rPr>
      <w:rFonts w:ascii="Segoe UI" w:hAnsi="Segoe UI" w:cs="Segoe UI"/>
      <w:sz w:val="18"/>
      <w:szCs w:val="18"/>
    </w:rPr>
  </w:style>
  <w:style w:type="paragraph" w:customStyle="1" w:styleId="recmenor">
    <w:name w:val="rec menor"/>
    <w:basedOn w:val="Normal"/>
    <w:uiPriority w:val="99"/>
    <w:rsid w:val="00C92E87"/>
    <w:pPr>
      <w:widowControl w:val="0"/>
      <w:suppressAutoHyphens/>
      <w:autoSpaceDE w:val="0"/>
      <w:autoSpaceDN w:val="0"/>
      <w:adjustRightInd w:val="0"/>
      <w:spacing w:before="170" w:after="283" w:line="220" w:lineRule="atLeast"/>
      <w:ind w:left="454" w:right="397"/>
      <w:jc w:val="both"/>
      <w:textAlignment w:val="center"/>
    </w:pPr>
    <w:rPr>
      <w:rFonts w:ascii="MinionPro-Regular" w:eastAsiaTheme="minorEastAsia" w:hAnsi="MinionPro-Regular" w:cs="MinionPro-Regular"/>
      <w:color w:val="000000"/>
      <w:w w:val="101"/>
      <w:sz w:val="20"/>
      <w:szCs w:val="20"/>
      <w:lang w:eastAsia="pt-BR"/>
    </w:rPr>
  </w:style>
  <w:style w:type="paragraph" w:customStyle="1" w:styleId="nota">
    <w:name w:val="nota"/>
    <w:basedOn w:val="Normal"/>
    <w:uiPriority w:val="99"/>
    <w:rsid w:val="00C92E87"/>
    <w:pPr>
      <w:widowControl w:val="0"/>
      <w:tabs>
        <w:tab w:val="left" w:pos="320"/>
      </w:tabs>
      <w:autoSpaceDE w:val="0"/>
      <w:autoSpaceDN w:val="0"/>
      <w:adjustRightInd w:val="0"/>
      <w:spacing w:after="57" w:line="200" w:lineRule="atLeast"/>
      <w:ind w:left="227" w:hanging="227"/>
      <w:jc w:val="both"/>
      <w:textAlignment w:val="center"/>
    </w:pPr>
    <w:rPr>
      <w:rFonts w:ascii="MyriadPro-Regular" w:eastAsiaTheme="minorEastAsia" w:hAnsi="MyriadPro-Regular" w:cs="MyriadPro-Regular"/>
      <w:color w:val="000000"/>
      <w:sz w:val="17"/>
      <w:szCs w:val="17"/>
      <w:lang w:eastAsia="pt-BR"/>
    </w:rPr>
  </w:style>
  <w:style w:type="character" w:customStyle="1" w:styleId="italico">
    <w:name w:val="italico"/>
    <w:uiPriority w:val="99"/>
    <w:rsid w:val="00C92E87"/>
    <w:rPr>
      <w:i/>
      <w:color w:val="000000"/>
    </w:rPr>
  </w:style>
  <w:style w:type="character" w:customStyle="1" w:styleId="elevado">
    <w:name w:val="elevado"/>
    <w:uiPriority w:val="99"/>
    <w:rsid w:val="00C92E87"/>
    <w:rPr>
      <w:color w:val="000000"/>
      <w:vertAlign w:val="superscript"/>
    </w:rPr>
  </w:style>
  <w:style w:type="paragraph" w:customStyle="1" w:styleId="t">
    <w:name w:val="t"/>
    <w:basedOn w:val="Normal"/>
    <w:next w:val="Normal"/>
    <w:rsid w:val="00D167BF"/>
    <w:pPr>
      <w:widowControl w:val="0"/>
      <w:autoSpaceDE w:val="0"/>
      <w:autoSpaceDN w:val="0"/>
      <w:adjustRightInd w:val="0"/>
      <w:spacing w:after="57" w:line="240" w:lineRule="atLeast"/>
      <w:ind w:firstLine="454"/>
      <w:jc w:val="both"/>
      <w:textAlignment w:val="center"/>
    </w:pPr>
    <w:rPr>
      <w:rFonts w:ascii="MinionPro-Regular" w:eastAsiaTheme="minorEastAsia" w:hAnsi="MinionPro-Regular" w:cs="MinionPro-Regular"/>
      <w:color w:val="000000"/>
      <w:sz w:val="21"/>
      <w:szCs w:val="21"/>
      <w:lang w:eastAsia="pt-BR"/>
    </w:rPr>
  </w:style>
  <w:style w:type="paragraph" w:styleId="PargrafodaLista">
    <w:name w:val="List Paragraph"/>
    <w:basedOn w:val="Normal"/>
    <w:uiPriority w:val="34"/>
    <w:qFormat/>
    <w:rsid w:val="00FC17DC"/>
    <w:pPr>
      <w:ind w:left="720"/>
      <w:contextualSpacing/>
    </w:pPr>
  </w:style>
  <w:style w:type="paragraph" w:styleId="Reviso">
    <w:name w:val="Revision"/>
    <w:hidden/>
    <w:uiPriority w:val="99"/>
    <w:semiHidden/>
    <w:rsid w:val="00174761"/>
    <w:pPr>
      <w:spacing w:after="0" w:line="240" w:lineRule="auto"/>
    </w:pPr>
  </w:style>
  <w:style w:type="paragraph" w:customStyle="1" w:styleId="recmenorfim">
    <w:name w:val="rec menor fim"/>
    <w:basedOn w:val="t"/>
    <w:uiPriority w:val="99"/>
    <w:rsid w:val="00A97842"/>
    <w:pPr>
      <w:suppressAutoHyphens/>
      <w:spacing w:after="283" w:line="220" w:lineRule="atLeast"/>
      <w:ind w:left="454" w:right="397" w:firstLine="0"/>
    </w:pPr>
    <w:rPr>
      <w:rFonts w:eastAsia="Times New Roman"/>
      <w:sz w:val="20"/>
      <w:szCs w:val="20"/>
    </w:rPr>
  </w:style>
  <w:style w:type="paragraph" w:customStyle="1" w:styleId="recmenorinicio">
    <w:name w:val="rec menor inicio"/>
    <w:basedOn w:val="t"/>
    <w:uiPriority w:val="99"/>
    <w:rsid w:val="00A97842"/>
    <w:pPr>
      <w:suppressAutoHyphens/>
      <w:spacing w:before="170" w:line="220" w:lineRule="atLeast"/>
      <w:ind w:left="454" w:right="397" w:firstLine="0"/>
    </w:pPr>
    <w:rPr>
      <w:rFonts w:eastAsia="Times New Roman"/>
      <w:sz w:val="20"/>
      <w:szCs w:val="20"/>
    </w:rPr>
  </w:style>
  <w:style w:type="paragraph" w:customStyle="1" w:styleId="recmenormeio">
    <w:name w:val="rec menor meio"/>
    <w:basedOn w:val="t"/>
    <w:uiPriority w:val="99"/>
    <w:rsid w:val="00A97842"/>
    <w:pPr>
      <w:suppressAutoHyphens/>
      <w:spacing w:line="220" w:lineRule="atLeast"/>
      <w:ind w:left="454" w:right="397" w:firstLine="0"/>
    </w:pPr>
    <w:rPr>
      <w:rFonts w:eastAsia="Times New Roman"/>
      <w:sz w:val="20"/>
      <w:szCs w:val="20"/>
    </w:rPr>
  </w:style>
  <w:style w:type="paragraph" w:customStyle="1" w:styleId="07-Citaolegal-CLG">
    <w:name w:val="07 - Citação legal - CLG"/>
    <w:qFormat/>
    <w:rsid w:val="00E5446C"/>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MenoPendente2">
    <w:name w:val="Menção Pendente2"/>
    <w:basedOn w:val="Fontepargpadro"/>
    <w:uiPriority w:val="99"/>
    <w:semiHidden/>
    <w:unhideWhenUsed/>
    <w:rsid w:val="008B65F8"/>
    <w:rPr>
      <w:color w:val="605E5C"/>
      <w:shd w:val="clear" w:color="auto" w:fill="E1DFDD"/>
    </w:rPr>
  </w:style>
  <w:style w:type="paragraph" w:customStyle="1" w:styleId="05-PargrafodetextoPROJETO-CLG">
    <w:name w:val="05 - Parágrafo de texto PROJETO- CLG"/>
    <w:qFormat/>
    <w:rsid w:val="00B62174"/>
    <w:pPr>
      <w:spacing w:after="360" w:line="240" w:lineRule="auto"/>
      <w:ind w:firstLine="1418"/>
      <w:jc w:val="both"/>
    </w:pPr>
    <w:rPr>
      <w:rFonts w:ascii="Times New Roman" w:eastAsia="Times New Roman" w:hAnsi="Times New Roman" w:cs="Times New Roman"/>
      <w:sz w:val="28"/>
      <w:szCs w:val="20"/>
      <w:lang w:eastAsia="pt-BR"/>
    </w:rPr>
  </w:style>
  <w:style w:type="paragraph" w:customStyle="1" w:styleId="frCharChar1">
    <w:name w:val="fr Char Char1"/>
    <w:aliases w:val="fr Char Char Char, Char Char6 Char Char Char Char Char Char Char Char Char Char Char, Char6 Char Char Char Char Char Char Char Char Char Char Char Char,Char Char6 Char Char Char Char Char Char Char Char Char Char Char"/>
    <w:basedOn w:val="Normal"/>
    <w:link w:val="Refdenotaderodap"/>
    <w:uiPriority w:val="99"/>
    <w:rsid w:val="00B62174"/>
    <w:pPr>
      <w:spacing w:after="120" w:line="360" w:lineRule="auto"/>
      <w:jc w:val="center"/>
    </w:pPr>
    <w:rPr>
      <w:vertAlign w:val="superscript"/>
    </w:rPr>
  </w:style>
  <w:style w:type="paragraph" w:styleId="Textodenotadefim">
    <w:name w:val="endnote text"/>
    <w:basedOn w:val="Normal"/>
    <w:link w:val="TextodenotadefimChar"/>
    <w:uiPriority w:val="99"/>
    <w:semiHidden/>
    <w:unhideWhenUsed/>
    <w:rsid w:val="00E4119F"/>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E4119F"/>
    <w:rPr>
      <w:sz w:val="20"/>
      <w:szCs w:val="20"/>
    </w:rPr>
  </w:style>
  <w:style w:type="character" w:styleId="Refdenotadefim">
    <w:name w:val="endnote reference"/>
    <w:basedOn w:val="Fontepargpadro"/>
    <w:uiPriority w:val="99"/>
    <w:semiHidden/>
    <w:unhideWhenUsed/>
    <w:rsid w:val="00E4119F"/>
    <w:rPr>
      <w:vertAlign w:val="superscript"/>
    </w:rPr>
  </w:style>
  <w:style w:type="paragraph" w:customStyle="1" w:styleId="boxiniciorec">
    <w:name w:val="box inicio_rec"/>
    <w:basedOn w:val="Normal"/>
    <w:uiPriority w:val="99"/>
    <w:rsid w:val="00F049DE"/>
    <w:pPr>
      <w:widowControl w:val="0"/>
      <w:shd w:val="clear" w:color="auto" w:fill="000000"/>
      <w:autoSpaceDE w:val="0"/>
      <w:autoSpaceDN w:val="0"/>
      <w:adjustRightInd w:val="0"/>
      <w:spacing w:before="283" w:after="57" w:line="220" w:lineRule="atLeast"/>
      <w:ind w:left="850" w:right="454" w:hanging="283"/>
      <w:jc w:val="both"/>
      <w:textAlignment w:val="center"/>
    </w:pPr>
    <w:rPr>
      <w:rFonts w:ascii="MyriadPro-Regular" w:eastAsia="Times New Roman" w:hAnsi="MyriadPro-Regular" w:cs="MyriadPro-Regular"/>
      <w:color w:val="000000"/>
      <w:sz w:val="20"/>
      <w:szCs w:val="20"/>
      <w:lang w:eastAsia="pt-BR"/>
    </w:rPr>
  </w:style>
  <w:style w:type="paragraph" w:customStyle="1" w:styleId="boxfinalrec">
    <w:name w:val="box final_rec"/>
    <w:basedOn w:val="Normal"/>
    <w:uiPriority w:val="99"/>
    <w:rsid w:val="00F049DE"/>
    <w:pPr>
      <w:widowControl w:val="0"/>
      <w:shd w:val="clear" w:color="auto" w:fill="000000"/>
      <w:autoSpaceDE w:val="0"/>
      <w:autoSpaceDN w:val="0"/>
      <w:adjustRightInd w:val="0"/>
      <w:spacing w:after="283" w:line="220" w:lineRule="atLeast"/>
      <w:ind w:left="850" w:right="454" w:hanging="283"/>
      <w:jc w:val="both"/>
      <w:textAlignment w:val="center"/>
    </w:pPr>
    <w:rPr>
      <w:rFonts w:ascii="MyriadPro-Regular" w:eastAsia="Times New Roman" w:hAnsi="MyriadPro-Regular" w:cs="MyriadPro-Regular"/>
      <w:color w:val="000000"/>
      <w:sz w:val="20"/>
      <w:szCs w:val="20"/>
      <w:lang w:eastAsia="pt-BR"/>
    </w:rPr>
  </w:style>
  <w:style w:type="paragraph" w:styleId="Recuodecorpodetexto">
    <w:name w:val="Body Text Indent"/>
    <w:basedOn w:val="Normal"/>
    <w:link w:val="RecuodecorpodetextoChar"/>
    <w:uiPriority w:val="99"/>
    <w:unhideWhenUsed/>
    <w:rsid w:val="00B254FF"/>
    <w:pPr>
      <w:widowControl w:val="0"/>
      <w:autoSpaceDE w:val="0"/>
      <w:autoSpaceDN w:val="0"/>
      <w:spacing w:after="120" w:line="240" w:lineRule="auto"/>
      <w:ind w:left="283"/>
    </w:pPr>
    <w:rPr>
      <w:rFonts w:ascii="Arial MT" w:eastAsia="Arial MT" w:hAnsi="Arial MT" w:cs="Arial MT"/>
      <w:lang w:val="pt-PT"/>
    </w:rPr>
  </w:style>
  <w:style w:type="character" w:customStyle="1" w:styleId="RecuodecorpodetextoChar">
    <w:name w:val="Recuo de corpo de texto Char"/>
    <w:basedOn w:val="Fontepargpadro"/>
    <w:link w:val="Recuodecorpodetexto"/>
    <w:uiPriority w:val="99"/>
    <w:rsid w:val="00B254FF"/>
    <w:rPr>
      <w:rFonts w:ascii="Arial MT" w:eastAsia="Arial MT" w:hAnsi="Arial MT" w:cs="Arial MT"/>
      <w:lang w:val="pt-PT"/>
    </w:rPr>
  </w:style>
  <w:style w:type="paragraph" w:styleId="NormalWeb">
    <w:name w:val="Normal (Web)"/>
    <w:basedOn w:val="Normal"/>
    <w:uiPriority w:val="99"/>
    <w:semiHidden/>
    <w:unhideWhenUsed/>
    <w:rsid w:val="009937E0"/>
    <w:pPr>
      <w:spacing w:before="100" w:beforeAutospacing="1" w:after="100" w:afterAutospacing="1" w:line="240" w:lineRule="auto"/>
    </w:pPr>
    <w:rPr>
      <w:rFonts w:ascii="Times New Roman" w:hAnsi="Times New Roman" w:cs="Times New Roman"/>
      <w:kern w:val="2"/>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48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B5F34-3805-4596-9055-0EF459296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1620</Words>
  <Characters>8752</Characters>
  <Application>Microsoft Office Word</Application>
  <DocSecurity>0</DocSecurity>
  <Lines>72</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lider</dc:creator>
  <cp:lastModifiedBy>Flávio Tartuce</cp:lastModifiedBy>
  <cp:revision>26</cp:revision>
  <dcterms:created xsi:type="dcterms:W3CDTF">2026-09-17T12:16:00Z</dcterms:created>
  <dcterms:modified xsi:type="dcterms:W3CDTF">2026-09-22T20:11:00Z</dcterms:modified>
</cp:coreProperties>
</file>