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B1" w:rsidRDefault="007A1060"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ABERTURA</w:t>
      </w:r>
      <w:r w:rsidR="00D9380E">
        <w:rPr>
          <w:rFonts w:ascii="Times New Roman" w:hAnsi="Times New Roman" w:cs="Times New Roman"/>
          <w:b/>
          <w:bCs/>
          <w:sz w:val="24"/>
          <w:szCs w:val="24"/>
        </w:rPr>
        <w:t xml:space="preserve">, </w:t>
      </w:r>
      <w:r>
        <w:rPr>
          <w:rFonts w:ascii="Times New Roman" w:hAnsi="Times New Roman" w:cs="Times New Roman"/>
          <w:b/>
          <w:bCs/>
          <w:sz w:val="24"/>
          <w:szCs w:val="24"/>
        </w:rPr>
        <w:t>REGISTRO</w:t>
      </w:r>
      <w:r w:rsidR="00BB144D">
        <w:rPr>
          <w:rFonts w:ascii="Times New Roman" w:hAnsi="Times New Roman" w:cs="Times New Roman"/>
          <w:b/>
          <w:bCs/>
          <w:sz w:val="24"/>
          <w:szCs w:val="24"/>
        </w:rPr>
        <w:t>, CONFIRMAÇÃO</w:t>
      </w:r>
      <w:r w:rsidR="00D9380E">
        <w:rPr>
          <w:rFonts w:ascii="Times New Roman" w:hAnsi="Times New Roman" w:cs="Times New Roman"/>
          <w:b/>
          <w:bCs/>
          <w:sz w:val="24"/>
          <w:szCs w:val="24"/>
        </w:rPr>
        <w:t xml:space="preserve"> </w:t>
      </w:r>
      <w:r w:rsidR="00DF5F89">
        <w:rPr>
          <w:rFonts w:ascii="Times New Roman" w:hAnsi="Times New Roman" w:cs="Times New Roman"/>
          <w:b/>
          <w:bCs/>
          <w:sz w:val="24"/>
          <w:szCs w:val="24"/>
        </w:rPr>
        <w:t>E</w:t>
      </w:r>
      <w:r w:rsidR="00D9380E">
        <w:rPr>
          <w:rFonts w:ascii="Times New Roman" w:hAnsi="Times New Roman" w:cs="Times New Roman"/>
          <w:b/>
          <w:bCs/>
          <w:sz w:val="24"/>
          <w:szCs w:val="24"/>
        </w:rPr>
        <w:t xml:space="preserve"> CUMPRIMENTO</w:t>
      </w:r>
      <w:r>
        <w:rPr>
          <w:rFonts w:ascii="Times New Roman" w:hAnsi="Times New Roman" w:cs="Times New Roman"/>
          <w:b/>
          <w:bCs/>
          <w:sz w:val="24"/>
          <w:szCs w:val="24"/>
        </w:rPr>
        <w:t xml:space="preserve"> EXTRAJUDICIAL DOS TESTAMENTOS</w:t>
      </w:r>
      <w:r w:rsidR="00DF5F89">
        <w:rPr>
          <w:rFonts w:ascii="Times New Roman" w:hAnsi="Times New Roman" w:cs="Times New Roman"/>
          <w:b/>
          <w:bCs/>
          <w:sz w:val="24"/>
          <w:szCs w:val="24"/>
        </w:rPr>
        <w:t xml:space="preserve"> NA REFORMA DO CÓDIGO CIVIL</w:t>
      </w:r>
      <w:r>
        <w:rPr>
          <w:rFonts w:ascii="Times New Roman" w:hAnsi="Times New Roman" w:cs="Times New Roman"/>
          <w:b/>
          <w:bCs/>
          <w:sz w:val="24"/>
          <w:szCs w:val="24"/>
        </w:rPr>
        <w:t xml:space="preserve"> </w:t>
      </w:r>
    </w:p>
    <w:p w:rsidR="00CC320E" w:rsidRDefault="00CC320E" w:rsidP="009661A3">
      <w:pPr>
        <w:spacing w:before="120" w:after="120" w:line="360" w:lineRule="auto"/>
        <w:jc w:val="right"/>
        <w:rPr>
          <w:rFonts w:ascii="Times New Roman" w:hAnsi="Times New Roman" w:cs="Times New Roman"/>
          <w:bCs/>
          <w:sz w:val="24"/>
          <w:szCs w:val="24"/>
        </w:rPr>
      </w:pPr>
    </w:p>
    <w:p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9661A3" w:rsidRDefault="009661A3" w:rsidP="00572FB3">
      <w:pPr>
        <w:pStyle w:val="t"/>
        <w:spacing w:before="120" w:after="120" w:line="360" w:lineRule="auto"/>
        <w:ind w:firstLine="1701"/>
        <w:rPr>
          <w:rFonts w:ascii="Times New Roman" w:hAnsi="Times New Roman" w:cs="Times New Roman"/>
          <w:sz w:val="24"/>
          <w:szCs w:val="24"/>
        </w:rPr>
      </w:pPr>
    </w:p>
    <w:p w:rsidR="00DF7B7C" w:rsidRDefault="00696537"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que diz respeito ao testamento e </w:t>
      </w:r>
      <w:r w:rsidR="00F33B33">
        <w:rPr>
          <w:rFonts w:ascii="Times New Roman" w:hAnsi="Times New Roman" w:cs="Times New Roman"/>
          <w:sz w:val="24"/>
          <w:szCs w:val="24"/>
        </w:rPr>
        <w:t>a</w:t>
      </w:r>
      <w:r>
        <w:rPr>
          <w:rFonts w:ascii="Times New Roman" w:hAnsi="Times New Roman" w:cs="Times New Roman"/>
          <w:sz w:val="24"/>
          <w:szCs w:val="24"/>
        </w:rPr>
        <w:t xml:space="preserve">o Projeto de Reforma do Código Civil </w:t>
      </w:r>
      <w:r w:rsidR="00D57E74">
        <w:rPr>
          <w:rFonts w:ascii="Times New Roman" w:hAnsi="Times New Roman" w:cs="Times New Roman"/>
          <w:sz w:val="24"/>
          <w:szCs w:val="24"/>
        </w:rPr>
        <w:t xml:space="preserve">– </w:t>
      </w:r>
      <w:r>
        <w:rPr>
          <w:rFonts w:ascii="Times New Roman" w:hAnsi="Times New Roman" w:cs="Times New Roman"/>
          <w:sz w:val="24"/>
          <w:szCs w:val="24"/>
        </w:rPr>
        <w:t xml:space="preserve">PL n. 4/2025 </w:t>
      </w:r>
      <w:r w:rsidR="00D57E74">
        <w:rPr>
          <w:rFonts w:ascii="Times New Roman" w:hAnsi="Times New Roman" w:cs="Times New Roman"/>
          <w:sz w:val="24"/>
          <w:szCs w:val="24"/>
        </w:rPr>
        <w:t xml:space="preserve">–, </w:t>
      </w:r>
      <w:r>
        <w:rPr>
          <w:rFonts w:ascii="Times New Roman" w:hAnsi="Times New Roman" w:cs="Times New Roman"/>
          <w:sz w:val="24"/>
          <w:szCs w:val="24"/>
        </w:rPr>
        <w:t xml:space="preserve">como temos estudado nesta série de textos, existem propostas de </w:t>
      </w:r>
      <w:r w:rsidR="00DF7B7C">
        <w:rPr>
          <w:rFonts w:ascii="Times New Roman" w:hAnsi="Times New Roman" w:cs="Times New Roman"/>
          <w:sz w:val="24"/>
          <w:szCs w:val="24"/>
        </w:rPr>
        <w:t xml:space="preserve">redução de suas </w:t>
      </w:r>
      <w:r w:rsidR="00A80308" w:rsidRPr="00572FB3">
        <w:rPr>
          <w:rFonts w:ascii="Times New Roman" w:hAnsi="Times New Roman" w:cs="Times New Roman"/>
          <w:sz w:val="24"/>
          <w:szCs w:val="24"/>
        </w:rPr>
        <w:t>burocracias</w:t>
      </w:r>
      <w:r w:rsidR="00DF7B7C">
        <w:rPr>
          <w:rFonts w:ascii="Times New Roman" w:hAnsi="Times New Roman" w:cs="Times New Roman"/>
          <w:sz w:val="24"/>
          <w:szCs w:val="24"/>
        </w:rPr>
        <w:t xml:space="preserve"> e</w:t>
      </w:r>
      <w:r w:rsidR="00D57E74">
        <w:rPr>
          <w:rFonts w:ascii="Times New Roman" w:hAnsi="Times New Roman" w:cs="Times New Roman"/>
          <w:sz w:val="24"/>
          <w:szCs w:val="24"/>
        </w:rPr>
        <w:t xml:space="preserve"> de</w:t>
      </w:r>
      <w:r w:rsidR="00DF7B7C">
        <w:rPr>
          <w:rFonts w:ascii="Times New Roman" w:hAnsi="Times New Roman" w:cs="Times New Roman"/>
          <w:sz w:val="24"/>
          <w:szCs w:val="24"/>
        </w:rPr>
        <w:t xml:space="preserve"> </w:t>
      </w:r>
      <w:r w:rsidRPr="0014589B">
        <w:rPr>
          <w:rFonts w:ascii="Times New Roman" w:hAnsi="Times New Roman" w:cs="Times New Roman"/>
          <w:i/>
          <w:sz w:val="24"/>
          <w:szCs w:val="24"/>
        </w:rPr>
        <w:t>extrajudicialização</w:t>
      </w:r>
      <w:r>
        <w:rPr>
          <w:rFonts w:ascii="Times New Roman" w:hAnsi="Times New Roman" w:cs="Times New Roman"/>
          <w:sz w:val="24"/>
          <w:szCs w:val="24"/>
        </w:rPr>
        <w:t xml:space="preserve">, </w:t>
      </w:r>
      <w:r w:rsidR="002B77B1" w:rsidRPr="00572FB3">
        <w:rPr>
          <w:rFonts w:ascii="Times New Roman" w:hAnsi="Times New Roman" w:cs="Times New Roman"/>
          <w:sz w:val="24"/>
          <w:szCs w:val="24"/>
        </w:rPr>
        <w:t xml:space="preserve">o que se aplica </w:t>
      </w:r>
      <w:r w:rsidR="00D9380E">
        <w:rPr>
          <w:rFonts w:ascii="Times New Roman" w:hAnsi="Times New Roman" w:cs="Times New Roman"/>
          <w:sz w:val="24"/>
          <w:szCs w:val="24"/>
        </w:rPr>
        <w:t xml:space="preserve">à abertura, </w:t>
      </w:r>
      <w:r>
        <w:rPr>
          <w:rFonts w:ascii="Times New Roman" w:hAnsi="Times New Roman" w:cs="Times New Roman"/>
          <w:sz w:val="24"/>
          <w:szCs w:val="24"/>
        </w:rPr>
        <w:t xml:space="preserve">ao </w:t>
      </w:r>
      <w:r w:rsidR="00D9380E">
        <w:rPr>
          <w:rFonts w:ascii="Times New Roman" w:hAnsi="Times New Roman" w:cs="Times New Roman"/>
          <w:sz w:val="24"/>
          <w:szCs w:val="24"/>
        </w:rPr>
        <w:t>registro</w:t>
      </w:r>
      <w:r w:rsidR="00BB144D">
        <w:rPr>
          <w:rFonts w:ascii="Times New Roman" w:hAnsi="Times New Roman" w:cs="Times New Roman"/>
          <w:sz w:val="24"/>
          <w:szCs w:val="24"/>
        </w:rPr>
        <w:t>, à confirmação</w:t>
      </w:r>
      <w:r w:rsidR="00D9380E">
        <w:rPr>
          <w:rFonts w:ascii="Times New Roman" w:hAnsi="Times New Roman" w:cs="Times New Roman"/>
          <w:sz w:val="24"/>
          <w:szCs w:val="24"/>
        </w:rPr>
        <w:t xml:space="preserve"> e </w:t>
      </w:r>
      <w:r>
        <w:rPr>
          <w:rFonts w:ascii="Times New Roman" w:hAnsi="Times New Roman" w:cs="Times New Roman"/>
          <w:sz w:val="24"/>
          <w:szCs w:val="24"/>
        </w:rPr>
        <w:t xml:space="preserve">ao </w:t>
      </w:r>
      <w:r w:rsidR="00D9380E">
        <w:rPr>
          <w:rFonts w:ascii="Times New Roman" w:hAnsi="Times New Roman" w:cs="Times New Roman"/>
          <w:sz w:val="24"/>
          <w:szCs w:val="24"/>
        </w:rPr>
        <w:t xml:space="preserve">cumprimento dos </w:t>
      </w:r>
      <w:r w:rsidR="00D9380E" w:rsidRPr="00BB144D">
        <w:rPr>
          <w:rFonts w:ascii="Times New Roman" w:hAnsi="Times New Roman" w:cs="Times New Roman"/>
          <w:i/>
          <w:sz w:val="24"/>
          <w:szCs w:val="24"/>
        </w:rPr>
        <w:t>testamentos ordinários</w:t>
      </w:r>
      <w:r>
        <w:rPr>
          <w:rFonts w:ascii="Times New Roman" w:hAnsi="Times New Roman" w:cs="Times New Roman"/>
          <w:sz w:val="24"/>
          <w:szCs w:val="24"/>
        </w:rPr>
        <w:t>, quais sejam o público, o cerrado e o particular</w:t>
      </w:r>
      <w:r w:rsidR="0014589B">
        <w:rPr>
          <w:rFonts w:ascii="Times New Roman" w:hAnsi="Times New Roman" w:cs="Times New Roman"/>
          <w:sz w:val="24"/>
          <w:szCs w:val="24"/>
        </w:rPr>
        <w:t>, assunto deste artigo</w:t>
      </w:r>
      <w:r>
        <w:rPr>
          <w:rFonts w:ascii="Times New Roman" w:hAnsi="Times New Roman" w:cs="Times New Roman"/>
          <w:sz w:val="24"/>
          <w:szCs w:val="24"/>
        </w:rPr>
        <w:t>.</w:t>
      </w:r>
      <w:r w:rsidR="002C5F94">
        <w:rPr>
          <w:rFonts w:ascii="Times New Roman" w:hAnsi="Times New Roman" w:cs="Times New Roman"/>
          <w:sz w:val="24"/>
          <w:szCs w:val="24"/>
        </w:rPr>
        <w:t xml:space="preserve">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De início, </w:t>
      </w:r>
      <w:r w:rsidRPr="00D9380E">
        <w:rPr>
          <w:rFonts w:ascii="Times New Roman" w:hAnsi="Times New Roman" w:cs="Times New Roman"/>
          <w:sz w:val="24"/>
          <w:szCs w:val="24"/>
        </w:rPr>
        <w:t xml:space="preserve">a respeito da abertura e cumprimento do </w:t>
      </w:r>
      <w:r w:rsidRPr="00B5085B">
        <w:rPr>
          <w:rFonts w:ascii="Times New Roman" w:hAnsi="Times New Roman" w:cs="Times New Roman"/>
          <w:i/>
          <w:sz w:val="24"/>
          <w:szCs w:val="24"/>
        </w:rPr>
        <w:t>testamento público</w:t>
      </w:r>
      <w:r w:rsidRPr="00D9380E">
        <w:rPr>
          <w:rFonts w:ascii="Times New Roman" w:hAnsi="Times New Roman" w:cs="Times New Roman"/>
          <w:sz w:val="24"/>
          <w:szCs w:val="24"/>
        </w:rPr>
        <w:t xml:space="preserve">, o Código de Processo Civil </w:t>
      </w:r>
      <w:r w:rsidR="00696537">
        <w:rPr>
          <w:rFonts w:ascii="Times New Roman" w:hAnsi="Times New Roman" w:cs="Times New Roman"/>
          <w:sz w:val="24"/>
          <w:szCs w:val="24"/>
        </w:rPr>
        <w:t xml:space="preserve">de 2015 </w:t>
      </w:r>
      <w:r w:rsidRPr="00D9380E">
        <w:rPr>
          <w:rFonts w:ascii="Times New Roman" w:hAnsi="Times New Roman" w:cs="Times New Roman"/>
          <w:sz w:val="24"/>
          <w:szCs w:val="24"/>
        </w:rPr>
        <w:t xml:space="preserve">traz regras instrumentais, </w:t>
      </w:r>
      <w:r w:rsidR="00696537">
        <w:rPr>
          <w:rFonts w:ascii="Times New Roman" w:hAnsi="Times New Roman" w:cs="Times New Roman"/>
          <w:sz w:val="24"/>
          <w:szCs w:val="24"/>
        </w:rPr>
        <w:t xml:space="preserve">tendo insistido </w:t>
      </w:r>
      <w:r w:rsidRPr="00D9380E">
        <w:rPr>
          <w:rFonts w:ascii="Times New Roman" w:hAnsi="Times New Roman" w:cs="Times New Roman"/>
          <w:sz w:val="24"/>
          <w:szCs w:val="24"/>
        </w:rPr>
        <w:t xml:space="preserve">na abertura e no cumprimento judiciais, perdendo a chance de dar um </w:t>
      </w:r>
      <w:r w:rsidRPr="0014589B">
        <w:rPr>
          <w:rFonts w:ascii="Times New Roman" w:hAnsi="Times New Roman" w:cs="Times New Roman"/>
          <w:i/>
          <w:sz w:val="24"/>
          <w:szCs w:val="24"/>
        </w:rPr>
        <w:t xml:space="preserve">passo </w:t>
      </w:r>
      <w:r w:rsidR="0014589B" w:rsidRPr="0014589B">
        <w:rPr>
          <w:rFonts w:ascii="Times New Roman" w:hAnsi="Times New Roman" w:cs="Times New Roman"/>
          <w:i/>
          <w:sz w:val="24"/>
          <w:szCs w:val="24"/>
        </w:rPr>
        <w:t>adiante</w:t>
      </w:r>
      <w:r w:rsidR="0014589B">
        <w:rPr>
          <w:rFonts w:ascii="Times New Roman" w:hAnsi="Times New Roman" w:cs="Times New Roman"/>
          <w:sz w:val="24"/>
          <w:szCs w:val="24"/>
        </w:rPr>
        <w:t xml:space="preserve"> e </w:t>
      </w:r>
      <w:r w:rsidRPr="00D9380E">
        <w:rPr>
          <w:rFonts w:ascii="Times New Roman" w:hAnsi="Times New Roman" w:cs="Times New Roman"/>
          <w:sz w:val="24"/>
          <w:szCs w:val="24"/>
        </w:rPr>
        <w:t xml:space="preserve">determinante para a </w:t>
      </w:r>
      <w:r w:rsidRPr="00696537">
        <w:rPr>
          <w:rFonts w:ascii="Times New Roman" w:hAnsi="Times New Roman" w:cs="Times New Roman"/>
          <w:i/>
          <w:sz w:val="24"/>
          <w:szCs w:val="24"/>
        </w:rPr>
        <w:t>desjudicialização</w:t>
      </w:r>
      <w:r w:rsidRPr="00D9380E">
        <w:rPr>
          <w:rFonts w:ascii="Times New Roman" w:hAnsi="Times New Roman" w:cs="Times New Roman"/>
          <w:sz w:val="24"/>
          <w:szCs w:val="24"/>
        </w:rPr>
        <w:t>, pois seria interessante que tivesse admitido pelo menos que a abertura fosse processada perante o Tabelionato de Notas.</w:t>
      </w:r>
      <w:r w:rsidR="00696537">
        <w:rPr>
          <w:rFonts w:ascii="Times New Roman" w:hAnsi="Times New Roman" w:cs="Times New Roman"/>
          <w:sz w:val="24"/>
          <w:szCs w:val="24"/>
        </w:rPr>
        <w:t xml:space="preserve">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Ocorrendo o falecimento do testador, enunciava o art. 1.128 do CPC/1973 que, quando o testamento fosse público, qualquer interessado, exibindo-lhe o traslado ou certidão, poderia requerer ao juiz que ordenasse o seu cumprimento. No CPC/2015 o seu correspondente é o art. 736, segundo o qual “qualquer interessado, exibindo o traslado ou a certidão de testamento público, poderá requerer ao juiz que ordene o seu cumprimento, observando-se, no que couber, o disposto nos parágrafos do art. 735”. A menção ao art. 735 diz respeito ao processamento conforme o testamento cerrado, o que já estava previsto no sistema anterior</w:t>
      </w:r>
      <w:r w:rsidR="00696537">
        <w:rPr>
          <w:rFonts w:ascii="Times New Roman" w:hAnsi="Times New Roman" w:cs="Times New Roman"/>
          <w:sz w:val="24"/>
          <w:szCs w:val="24"/>
        </w:rPr>
        <w:t xml:space="preserve">. </w:t>
      </w:r>
      <w:r w:rsidRPr="00D9380E">
        <w:rPr>
          <w:rFonts w:ascii="Times New Roman" w:hAnsi="Times New Roman" w:cs="Times New Roman"/>
          <w:sz w:val="24"/>
          <w:szCs w:val="24"/>
        </w:rPr>
        <w:t>Aqui, não houve qualquer alteração de relevo</w:t>
      </w:r>
      <w:r w:rsidR="00696537">
        <w:rPr>
          <w:rFonts w:ascii="Times New Roman" w:hAnsi="Times New Roman" w:cs="Times New Roman"/>
          <w:sz w:val="24"/>
          <w:szCs w:val="24"/>
        </w:rPr>
        <w:t xml:space="preserve"> na confrontação das duas normas processuais</w:t>
      </w:r>
      <w:r w:rsidRPr="00D9380E">
        <w:rPr>
          <w:rFonts w:ascii="Times New Roman" w:hAnsi="Times New Roman" w:cs="Times New Roman"/>
          <w:sz w:val="24"/>
          <w:szCs w:val="24"/>
        </w:rPr>
        <w:t>.</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Todavia, dispunha o art. 1.129 do CPC/1973 que o juiz, de ofício ou a requerimento de qualquer interessado, ordenaria ao detentor de testamento que o exibisse em juízo para os fins legais, se ele, após a morte do testador, não tivesse se </w:t>
      </w:r>
      <w:r w:rsidRPr="00D9380E">
        <w:rPr>
          <w:rFonts w:ascii="Times New Roman" w:hAnsi="Times New Roman" w:cs="Times New Roman"/>
          <w:sz w:val="24"/>
          <w:szCs w:val="24"/>
        </w:rPr>
        <w:lastRenderedPageBreak/>
        <w:t>antecipado em fazê-lo. Em complemento, não sendo cumprida a ordem, caberia uma ação de busca e apreensão do testamento público.</w:t>
      </w:r>
    </w:p>
    <w:p w:rsidR="00696537"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Esse</w:t>
      </w:r>
      <w:r w:rsidR="00DF5F89">
        <w:rPr>
          <w:rFonts w:ascii="Times New Roman" w:hAnsi="Times New Roman" w:cs="Times New Roman"/>
          <w:sz w:val="24"/>
          <w:szCs w:val="24"/>
        </w:rPr>
        <w:t xml:space="preserve"> </w:t>
      </w:r>
      <w:r w:rsidRPr="00D9380E">
        <w:rPr>
          <w:rFonts w:ascii="Times New Roman" w:hAnsi="Times New Roman" w:cs="Times New Roman"/>
          <w:sz w:val="24"/>
          <w:szCs w:val="24"/>
        </w:rPr>
        <w:t xml:space="preserve">último comando não tem correspondente na legislação instrumental </w:t>
      </w:r>
      <w:r w:rsidR="00696537">
        <w:rPr>
          <w:rFonts w:ascii="Times New Roman" w:hAnsi="Times New Roman" w:cs="Times New Roman"/>
          <w:sz w:val="24"/>
          <w:szCs w:val="24"/>
        </w:rPr>
        <w:t xml:space="preserve">vigente </w:t>
      </w:r>
      <w:r w:rsidR="00DF5F89">
        <w:rPr>
          <w:rFonts w:ascii="Times New Roman" w:hAnsi="Times New Roman" w:cs="Times New Roman"/>
          <w:sz w:val="24"/>
          <w:szCs w:val="24"/>
        </w:rPr>
        <w:t>de 2015</w:t>
      </w:r>
      <w:r w:rsidR="00D76315">
        <w:rPr>
          <w:rFonts w:ascii="Times New Roman" w:hAnsi="Times New Roman" w:cs="Times New Roman"/>
          <w:sz w:val="24"/>
          <w:szCs w:val="24"/>
        </w:rPr>
        <w:t>,</w:t>
      </w:r>
      <w:r w:rsidR="00DF5F89">
        <w:rPr>
          <w:rFonts w:ascii="Times New Roman" w:hAnsi="Times New Roman" w:cs="Times New Roman"/>
          <w:sz w:val="24"/>
          <w:szCs w:val="24"/>
        </w:rPr>
        <w:t xml:space="preserve"> </w:t>
      </w:r>
      <w:r w:rsidRPr="00D9380E">
        <w:rPr>
          <w:rFonts w:ascii="Times New Roman" w:hAnsi="Times New Roman" w:cs="Times New Roman"/>
          <w:sz w:val="24"/>
          <w:szCs w:val="24"/>
        </w:rPr>
        <w:t xml:space="preserve">e, em uma primeira análise, pode-se afirmar que tais medidas não são mais cabíveis, o que inclui a citada ação de busca e apreensão. Entendeu-se que </w:t>
      </w:r>
      <w:r w:rsidR="00D76315">
        <w:rPr>
          <w:rFonts w:ascii="Times New Roman" w:hAnsi="Times New Roman" w:cs="Times New Roman"/>
          <w:sz w:val="24"/>
          <w:szCs w:val="24"/>
        </w:rPr>
        <w:t>esses</w:t>
      </w:r>
      <w:r w:rsidR="00D76315" w:rsidRPr="00D9380E">
        <w:rPr>
          <w:rFonts w:ascii="Times New Roman" w:hAnsi="Times New Roman" w:cs="Times New Roman"/>
          <w:sz w:val="24"/>
          <w:szCs w:val="24"/>
        </w:rPr>
        <w:t xml:space="preserve"> </w:t>
      </w:r>
      <w:r w:rsidRPr="00D9380E">
        <w:rPr>
          <w:rFonts w:ascii="Times New Roman" w:hAnsi="Times New Roman" w:cs="Times New Roman"/>
          <w:sz w:val="24"/>
          <w:szCs w:val="24"/>
        </w:rPr>
        <w:t>drásticos instrumentos não se coadunariam com o caráter particular ou privado do testamento, mesmo que pela forma pública. Ademais, como o testamento público tem, via de regra, uma via arquivada no Cartório, não se justificaria a citada demanda de busca e apreensão na grande maioria dos casos concretos.</w:t>
      </w:r>
      <w:r w:rsidR="00696537">
        <w:rPr>
          <w:rFonts w:ascii="Times New Roman" w:hAnsi="Times New Roman" w:cs="Times New Roman"/>
          <w:sz w:val="24"/>
          <w:szCs w:val="24"/>
        </w:rPr>
        <w:t xml:space="preserve"> </w:t>
      </w:r>
    </w:p>
    <w:p w:rsidR="00D9380E" w:rsidRPr="00D9380E" w:rsidRDefault="00696537" w:rsidP="00D9380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verá mais à frente, o Projeto de Reforma do Código Civil traz o tratamento de procedimentos extrajudiciais a respeito de todas as modalidades de testamento para o </w:t>
      </w:r>
      <w:r w:rsidR="00C650C5" w:rsidRPr="00C650C5">
        <w:rPr>
          <w:rFonts w:ascii="Times New Roman" w:hAnsi="Times New Roman" w:cs="Times New Roman"/>
          <w:i/>
          <w:iCs/>
          <w:sz w:val="24"/>
          <w:szCs w:val="24"/>
        </w:rPr>
        <w:t xml:space="preserve">locus </w:t>
      </w:r>
      <w:r>
        <w:rPr>
          <w:rFonts w:ascii="Times New Roman" w:hAnsi="Times New Roman" w:cs="Times New Roman"/>
          <w:sz w:val="24"/>
          <w:szCs w:val="24"/>
        </w:rPr>
        <w:t xml:space="preserve">adequado, que é a lei material, dando o </w:t>
      </w:r>
      <w:r w:rsidRPr="00696537">
        <w:rPr>
          <w:rFonts w:ascii="Times New Roman" w:hAnsi="Times New Roman" w:cs="Times New Roman"/>
          <w:i/>
          <w:sz w:val="24"/>
          <w:szCs w:val="24"/>
        </w:rPr>
        <w:t xml:space="preserve">passo adiante </w:t>
      </w:r>
      <w:r>
        <w:rPr>
          <w:rFonts w:ascii="Times New Roman" w:hAnsi="Times New Roman" w:cs="Times New Roman"/>
          <w:sz w:val="24"/>
          <w:szCs w:val="24"/>
        </w:rPr>
        <w:t>que faltou ao legislador do Código de Processo Civil de 2015.</w:t>
      </w:r>
      <w:r w:rsidR="002C5F94">
        <w:rPr>
          <w:rFonts w:ascii="Times New Roman" w:hAnsi="Times New Roman" w:cs="Times New Roman"/>
          <w:sz w:val="24"/>
          <w:szCs w:val="24"/>
        </w:rPr>
        <w:t xml:space="preserve"> </w:t>
      </w:r>
    </w:p>
    <w:p w:rsidR="00D9380E" w:rsidRPr="00D9380E" w:rsidRDefault="00696537" w:rsidP="00D9380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w:t>
      </w:r>
      <w:r w:rsidR="00D9380E" w:rsidRPr="00D9380E">
        <w:rPr>
          <w:rFonts w:ascii="Times New Roman" w:hAnsi="Times New Roman" w:cs="Times New Roman"/>
          <w:sz w:val="24"/>
          <w:szCs w:val="24"/>
        </w:rPr>
        <w:t xml:space="preserve">respeito da abertura e cumprimento judiciais do </w:t>
      </w:r>
      <w:r w:rsidR="00D9380E" w:rsidRPr="00B5085B">
        <w:rPr>
          <w:rFonts w:ascii="Times New Roman" w:hAnsi="Times New Roman" w:cs="Times New Roman"/>
          <w:i/>
          <w:sz w:val="24"/>
          <w:szCs w:val="24"/>
        </w:rPr>
        <w:t>testamento cerrado</w:t>
      </w:r>
      <w:r w:rsidR="00D9380E" w:rsidRPr="00D9380E">
        <w:rPr>
          <w:rFonts w:ascii="Times New Roman" w:hAnsi="Times New Roman" w:cs="Times New Roman"/>
          <w:sz w:val="24"/>
          <w:szCs w:val="24"/>
        </w:rPr>
        <w:t xml:space="preserve">, vejamos, mais uma vez, um estudo confrontado entre o CPC/2015 e o CPC/1973. Repise-se que tais procedimentos também se aplicam para o testamento público e que o Estatuto Processual emergente perdeu </w:t>
      </w:r>
      <w:r>
        <w:rPr>
          <w:rFonts w:ascii="Times New Roman" w:hAnsi="Times New Roman" w:cs="Times New Roman"/>
          <w:sz w:val="24"/>
          <w:szCs w:val="24"/>
        </w:rPr>
        <w:t xml:space="preserve">novamente </w:t>
      </w:r>
      <w:r w:rsidR="00D9380E" w:rsidRPr="00D9380E">
        <w:rPr>
          <w:rFonts w:ascii="Times New Roman" w:hAnsi="Times New Roman" w:cs="Times New Roman"/>
          <w:sz w:val="24"/>
          <w:szCs w:val="24"/>
        </w:rPr>
        <w:t xml:space="preserve">a oportunidade de trazer um procedimento desjudicializado para tanto, </w:t>
      </w:r>
      <w:r>
        <w:rPr>
          <w:rFonts w:ascii="Times New Roman" w:hAnsi="Times New Roman" w:cs="Times New Roman"/>
          <w:sz w:val="24"/>
          <w:szCs w:val="24"/>
        </w:rPr>
        <w:t xml:space="preserve">outro dilema que a Reforma do Código Civil pretende resolver de forma definitiva.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De início, preceituava o art. 1.125 do CPC/1973 que, ao receber o testamento cerrado, o juiz, após verificar se estaria intacto, o abriria e mandaria que o escrivão o lesse em presença de quem o entregou. Lavrar-se-ia, em seguida, o ato de abertura</w:t>
      </w:r>
      <w:r w:rsidR="006F7018">
        <w:rPr>
          <w:rFonts w:ascii="Times New Roman" w:hAnsi="Times New Roman" w:cs="Times New Roman"/>
          <w:sz w:val="24"/>
          <w:szCs w:val="24"/>
        </w:rPr>
        <w:t>,</w:t>
      </w:r>
      <w:r w:rsidRPr="00D9380E">
        <w:rPr>
          <w:rFonts w:ascii="Times New Roman" w:hAnsi="Times New Roman" w:cs="Times New Roman"/>
          <w:sz w:val="24"/>
          <w:szCs w:val="24"/>
        </w:rPr>
        <w:t xml:space="preserve"> que, rubricado pelo juiz e assinado pelo apresentante, mencionaria: </w:t>
      </w:r>
      <w:r w:rsidRPr="00696537">
        <w:rPr>
          <w:rFonts w:ascii="Times New Roman" w:hAnsi="Times New Roman" w:cs="Times New Roman"/>
          <w:i/>
          <w:sz w:val="24"/>
          <w:szCs w:val="24"/>
        </w:rPr>
        <w:t>a)</w:t>
      </w:r>
      <w:r w:rsidRPr="00D9380E">
        <w:rPr>
          <w:rFonts w:ascii="Times New Roman" w:hAnsi="Times New Roman" w:cs="Times New Roman"/>
          <w:sz w:val="24"/>
          <w:szCs w:val="24"/>
        </w:rPr>
        <w:t xml:space="preserve"> a data e o lugar em que o testamento foi aberto; </w:t>
      </w:r>
      <w:r w:rsidRPr="00696537">
        <w:rPr>
          <w:rFonts w:ascii="Times New Roman" w:hAnsi="Times New Roman" w:cs="Times New Roman"/>
          <w:i/>
          <w:sz w:val="24"/>
          <w:szCs w:val="24"/>
        </w:rPr>
        <w:t>b)</w:t>
      </w:r>
      <w:r w:rsidRPr="00D9380E">
        <w:rPr>
          <w:rFonts w:ascii="Times New Roman" w:hAnsi="Times New Roman" w:cs="Times New Roman"/>
          <w:sz w:val="24"/>
          <w:szCs w:val="24"/>
        </w:rPr>
        <w:t xml:space="preserve"> o nome do apresentante e como houve ele o testamento; </w:t>
      </w:r>
      <w:r w:rsidRPr="00696537">
        <w:rPr>
          <w:rFonts w:ascii="Times New Roman" w:hAnsi="Times New Roman" w:cs="Times New Roman"/>
          <w:i/>
          <w:sz w:val="24"/>
          <w:szCs w:val="24"/>
        </w:rPr>
        <w:t>c)</w:t>
      </w:r>
      <w:r w:rsidRPr="00D9380E">
        <w:rPr>
          <w:rFonts w:ascii="Times New Roman" w:hAnsi="Times New Roman" w:cs="Times New Roman"/>
          <w:sz w:val="24"/>
          <w:szCs w:val="24"/>
        </w:rPr>
        <w:t xml:space="preserve"> a data e o lugar do falecimento do testador; </w:t>
      </w:r>
      <w:r w:rsidR="00696537">
        <w:rPr>
          <w:rFonts w:ascii="Times New Roman" w:hAnsi="Times New Roman" w:cs="Times New Roman"/>
          <w:sz w:val="24"/>
          <w:szCs w:val="24"/>
        </w:rPr>
        <w:t xml:space="preserve">e </w:t>
      </w:r>
      <w:r w:rsidRPr="00696537">
        <w:rPr>
          <w:rFonts w:ascii="Times New Roman" w:hAnsi="Times New Roman" w:cs="Times New Roman"/>
          <w:i/>
          <w:sz w:val="24"/>
          <w:szCs w:val="24"/>
        </w:rPr>
        <w:t>d)</w:t>
      </w:r>
      <w:r w:rsidRPr="00D9380E">
        <w:rPr>
          <w:rFonts w:ascii="Times New Roman" w:hAnsi="Times New Roman" w:cs="Times New Roman"/>
          <w:sz w:val="24"/>
          <w:szCs w:val="24"/>
        </w:rPr>
        <w:t xml:space="preserve"> qualquer circunstância digna de nota, encontrada no invólucro ou no interior do testamento.</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No </w:t>
      </w:r>
      <w:r w:rsidR="00696537">
        <w:rPr>
          <w:rFonts w:ascii="Times New Roman" w:hAnsi="Times New Roman" w:cs="Times New Roman"/>
          <w:sz w:val="24"/>
          <w:szCs w:val="24"/>
        </w:rPr>
        <w:t>Código de Processo Civil de 2015</w:t>
      </w:r>
      <w:r w:rsidRPr="00D9380E">
        <w:rPr>
          <w:rFonts w:ascii="Times New Roman" w:hAnsi="Times New Roman" w:cs="Times New Roman"/>
          <w:sz w:val="24"/>
          <w:szCs w:val="24"/>
        </w:rPr>
        <w:t xml:space="preserve">, </w:t>
      </w:r>
      <w:r w:rsidR="00696537">
        <w:rPr>
          <w:rFonts w:ascii="Times New Roman" w:hAnsi="Times New Roman" w:cs="Times New Roman"/>
          <w:sz w:val="24"/>
          <w:szCs w:val="24"/>
        </w:rPr>
        <w:t xml:space="preserve">em seu </w:t>
      </w:r>
      <w:r w:rsidRPr="00D9380E">
        <w:rPr>
          <w:rFonts w:ascii="Times New Roman" w:hAnsi="Times New Roman" w:cs="Times New Roman"/>
          <w:sz w:val="24"/>
          <w:szCs w:val="24"/>
        </w:rPr>
        <w:t xml:space="preserve">art. 735, algumas modificações merecem ser destacadas. Conforme o seu </w:t>
      </w:r>
      <w:r w:rsidRPr="00696537">
        <w:rPr>
          <w:rFonts w:ascii="Times New Roman" w:hAnsi="Times New Roman" w:cs="Times New Roman"/>
          <w:i/>
          <w:sz w:val="24"/>
          <w:szCs w:val="24"/>
        </w:rPr>
        <w:t>caput</w:t>
      </w:r>
      <w:r w:rsidRPr="00D9380E">
        <w:rPr>
          <w:rFonts w:ascii="Times New Roman" w:hAnsi="Times New Roman" w:cs="Times New Roman"/>
          <w:sz w:val="24"/>
          <w:szCs w:val="24"/>
        </w:rPr>
        <w:t xml:space="preserve">, recebendo o testamento cerrado, o juiz, se não achar vício externo que o torne suspeito de nulidade ou falsidade, o abrirá e mandará que o escrivão o leia em presença do apresentante. Como se </w:t>
      </w:r>
      <w:r w:rsidR="00B5085B">
        <w:rPr>
          <w:rFonts w:ascii="Times New Roman" w:hAnsi="Times New Roman" w:cs="Times New Roman"/>
          <w:sz w:val="24"/>
          <w:szCs w:val="24"/>
        </w:rPr>
        <w:t>observa,</w:t>
      </w:r>
      <w:r w:rsidR="002C5F94">
        <w:rPr>
          <w:rFonts w:ascii="Times New Roman" w:hAnsi="Times New Roman" w:cs="Times New Roman"/>
          <w:sz w:val="24"/>
          <w:szCs w:val="24"/>
        </w:rPr>
        <w:t xml:space="preserve"> </w:t>
      </w:r>
      <w:r w:rsidRPr="00D9380E">
        <w:rPr>
          <w:rFonts w:ascii="Times New Roman" w:hAnsi="Times New Roman" w:cs="Times New Roman"/>
          <w:sz w:val="24"/>
          <w:szCs w:val="24"/>
        </w:rPr>
        <w:t xml:space="preserve">não há menção apenas à sua integralidade, conforme a lei anterior, mas a qualquer vício externo que </w:t>
      </w:r>
      <w:r w:rsidR="00F24B9B" w:rsidRPr="00D9380E">
        <w:rPr>
          <w:rFonts w:ascii="Times New Roman" w:hAnsi="Times New Roman" w:cs="Times New Roman"/>
          <w:sz w:val="24"/>
          <w:szCs w:val="24"/>
        </w:rPr>
        <w:t>po</w:t>
      </w:r>
      <w:r w:rsidR="00F24B9B">
        <w:rPr>
          <w:rFonts w:ascii="Times New Roman" w:hAnsi="Times New Roman" w:cs="Times New Roman"/>
          <w:sz w:val="24"/>
          <w:szCs w:val="24"/>
        </w:rPr>
        <w:t>ssa</w:t>
      </w:r>
      <w:r w:rsidR="00F24B9B" w:rsidRPr="00D9380E">
        <w:rPr>
          <w:rFonts w:ascii="Times New Roman" w:hAnsi="Times New Roman" w:cs="Times New Roman"/>
          <w:sz w:val="24"/>
          <w:szCs w:val="24"/>
        </w:rPr>
        <w:t xml:space="preserve"> </w:t>
      </w:r>
      <w:r w:rsidRPr="00D9380E">
        <w:rPr>
          <w:rFonts w:ascii="Times New Roman" w:hAnsi="Times New Roman" w:cs="Times New Roman"/>
          <w:sz w:val="24"/>
          <w:szCs w:val="24"/>
        </w:rPr>
        <w:t>causar a nulidade ou a falsidade do ato.</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lastRenderedPageBreak/>
        <w:t>Do termo de abertura constarão o nome do apresentante e como ele obteve o testamento, a data e o lugar do falecimento do testador, com as respectivas provas, e qualquer circunstância digna de nota. Esse é o § 1.º do art. 735 do CPC/2015, que praticamente repetiu o parágrafo único do art. 1.125 do CPC/1973. Pontue-se, todavia, que o sistema pass</w:t>
      </w:r>
      <w:r w:rsidR="00696537">
        <w:rPr>
          <w:rFonts w:ascii="Times New Roman" w:hAnsi="Times New Roman" w:cs="Times New Roman"/>
          <w:sz w:val="24"/>
          <w:szCs w:val="24"/>
        </w:rPr>
        <w:t>ou</w:t>
      </w:r>
      <w:r w:rsidRPr="00D9380E">
        <w:rPr>
          <w:rFonts w:ascii="Times New Roman" w:hAnsi="Times New Roman" w:cs="Times New Roman"/>
          <w:sz w:val="24"/>
          <w:szCs w:val="24"/>
        </w:rPr>
        <w:t xml:space="preserve"> a exigir provas desses requisitos. </w:t>
      </w:r>
      <w:r w:rsidR="00696537">
        <w:rPr>
          <w:rFonts w:ascii="Times New Roman" w:hAnsi="Times New Roman" w:cs="Times New Roman"/>
          <w:sz w:val="24"/>
          <w:szCs w:val="24"/>
        </w:rPr>
        <w:t xml:space="preserve">Além disso, </w:t>
      </w:r>
      <w:r w:rsidRPr="00D9380E">
        <w:rPr>
          <w:rFonts w:ascii="Times New Roman" w:hAnsi="Times New Roman" w:cs="Times New Roman"/>
          <w:sz w:val="24"/>
          <w:szCs w:val="24"/>
        </w:rPr>
        <w:t xml:space="preserve">as </w:t>
      </w:r>
      <w:r w:rsidRPr="00696537">
        <w:rPr>
          <w:rFonts w:ascii="Times New Roman" w:hAnsi="Times New Roman" w:cs="Times New Roman"/>
          <w:i/>
          <w:sz w:val="24"/>
          <w:szCs w:val="24"/>
        </w:rPr>
        <w:t>circunstâncias dignas de nota</w:t>
      </w:r>
      <w:r w:rsidRPr="00D9380E">
        <w:rPr>
          <w:rFonts w:ascii="Times New Roman" w:hAnsi="Times New Roman" w:cs="Times New Roman"/>
          <w:sz w:val="24"/>
          <w:szCs w:val="24"/>
        </w:rPr>
        <w:t xml:space="preserve"> não são apenas as que estão no invólucro ou no interior do testamento. Assim, por exemplo, o juiz pode fazer constar do termo de abertura eventual motivo de ineficácia ou invalidade do ato testamentário.</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Depois de ouvido o Ministério Público, não havendo dúvidas a serem esclarecidas, o juiz mandará registrar, arquivar e cumprir o testamento (art. 735, § 2.º, do CPC/2015). A oitiva do Ministério Público já constava do art. 1.126 do CPC/1973, especialmente para os casos de sua nulidade ou falsidade. </w:t>
      </w:r>
      <w:r w:rsidR="00696537">
        <w:rPr>
          <w:rFonts w:ascii="Times New Roman" w:hAnsi="Times New Roman" w:cs="Times New Roman"/>
          <w:sz w:val="24"/>
          <w:szCs w:val="24"/>
        </w:rPr>
        <w:t>Em tempos atuais, f</w:t>
      </w:r>
      <w:r w:rsidRPr="00D9380E">
        <w:rPr>
          <w:rFonts w:ascii="Times New Roman" w:hAnsi="Times New Roman" w:cs="Times New Roman"/>
          <w:sz w:val="24"/>
          <w:szCs w:val="24"/>
        </w:rPr>
        <w:t xml:space="preserve">ica </w:t>
      </w:r>
      <w:r w:rsidR="00B5085B">
        <w:rPr>
          <w:rFonts w:ascii="Times New Roman" w:hAnsi="Times New Roman" w:cs="Times New Roman"/>
          <w:sz w:val="24"/>
          <w:szCs w:val="24"/>
        </w:rPr>
        <w:t xml:space="preserve">até mesmo </w:t>
      </w:r>
      <w:r w:rsidRPr="00D9380E">
        <w:rPr>
          <w:rFonts w:ascii="Times New Roman" w:hAnsi="Times New Roman" w:cs="Times New Roman"/>
          <w:sz w:val="24"/>
          <w:szCs w:val="24"/>
        </w:rPr>
        <w:t xml:space="preserve">em </w:t>
      </w:r>
      <w:r w:rsidRPr="00696537">
        <w:rPr>
          <w:rFonts w:ascii="Times New Roman" w:hAnsi="Times New Roman" w:cs="Times New Roman"/>
          <w:i/>
          <w:sz w:val="24"/>
          <w:szCs w:val="24"/>
        </w:rPr>
        <w:t>xeque</w:t>
      </w:r>
      <w:r w:rsidRPr="00D9380E">
        <w:rPr>
          <w:rFonts w:ascii="Times New Roman" w:hAnsi="Times New Roman" w:cs="Times New Roman"/>
          <w:sz w:val="24"/>
          <w:szCs w:val="24"/>
        </w:rPr>
        <w:t xml:space="preserve"> a necessidade dessa oitiva </w:t>
      </w:r>
      <w:r w:rsidR="00B5085B">
        <w:rPr>
          <w:rFonts w:ascii="Times New Roman" w:hAnsi="Times New Roman" w:cs="Times New Roman"/>
          <w:sz w:val="24"/>
          <w:szCs w:val="24"/>
        </w:rPr>
        <w:t xml:space="preserve">em processo judicial, </w:t>
      </w:r>
      <w:r w:rsidRPr="00D9380E">
        <w:rPr>
          <w:rFonts w:ascii="Times New Roman" w:hAnsi="Times New Roman" w:cs="Times New Roman"/>
          <w:sz w:val="24"/>
          <w:szCs w:val="24"/>
        </w:rPr>
        <w:t>pelo fato de o testamento, inclusive o cerrado, envolver interesse particular ou privado, como há pouco se expôs.</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Consigne-se que esse mesmo art. 1.126 do CPC/1973 prescrevia, em seu parágrafo único, que o testamento seria registrado e arquivado no Cartório a que tocasse, dele remetendo o escrivão uma cópia, no prazo de oito dias, à repartição fiscal. Essa norma não tem correspondente na novel legislação processual</w:t>
      </w:r>
      <w:r w:rsidR="00505C0B">
        <w:rPr>
          <w:rFonts w:ascii="Times New Roman" w:hAnsi="Times New Roman" w:cs="Times New Roman"/>
          <w:sz w:val="24"/>
          <w:szCs w:val="24"/>
        </w:rPr>
        <w:t>,</w:t>
      </w:r>
      <w:r w:rsidRPr="00D9380E">
        <w:rPr>
          <w:rFonts w:ascii="Times New Roman" w:hAnsi="Times New Roman" w:cs="Times New Roman"/>
          <w:sz w:val="24"/>
          <w:szCs w:val="24"/>
        </w:rPr>
        <w:t xml:space="preserve"> e, sendo assim, parece que tal procedimento não é mais cabível</w:t>
      </w:r>
      <w:r w:rsidR="00696537">
        <w:rPr>
          <w:rFonts w:ascii="Times New Roman" w:hAnsi="Times New Roman" w:cs="Times New Roman"/>
          <w:sz w:val="24"/>
          <w:szCs w:val="24"/>
        </w:rPr>
        <w:t>, pois ausente previsão legal</w:t>
      </w:r>
      <w:r w:rsidRPr="00D9380E">
        <w:rPr>
          <w:rFonts w:ascii="Times New Roman" w:hAnsi="Times New Roman" w:cs="Times New Roman"/>
          <w:sz w:val="24"/>
          <w:szCs w:val="24"/>
        </w:rPr>
        <w:t>.</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Voltando</w:t>
      </w:r>
      <w:r w:rsidR="00696537">
        <w:rPr>
          <w:rFonts w:ascii="Times New Roman" w:hAnsi="Times New Roman" w:cs="Times New Roman"/>
          <w:sz w:val="24"/>
          <w:szCs w:val="24"/>
        </w:rPr>
        <w:t>-se</w:t>
      </w:r>
      <w:r w:rsidRPr="00D9380E">
        <w:rPr>
          <w:rFonts w:ascii="Times New Roman" w:hAnsi="Times New Roman" w:cs="Times New Roman"/>
          <w:sz w:val="24"/>
          <w:szCs w:val="24"/>
        </w:rPr>
        <w:t xml:space="preserve"> à legislação processual</w:t>
      </w:r>
      <w:r w:rsidR="00B5085B">
        <w:rPr>
          <w:rFonts w:ascii="Times New Roman" w:hAnsi="Times New Roman" w:cs="Times New Roman"/>
          <w:sz w:val="24"/>
          <w:szCs w:val="24"/>
        </w:rPr>
        <w:t xml:space="preserve"> em vigor</w:t>
      </w:r>
      <w:r w:rsidRPr="00D9380E">
        <w:rPr>
          <w:rFonts w:ascii="Times New Roman" w:hAnsi="Times New Roman" w:cs="Times New Roman"/>
          <w:sz w:val="24"/>
          <w:szCs w:val="24"/>
        </w:rPr>
        <w:t xml:space="preserve">, feito o registro, será intimado o testamenteiro para assinar o termo </w:t>
      </w:r>
      <w:r w:rsidR="00BB144D">
        <w:rPr>
          <w:rFonts w:ascii="Times New Roman" w:hAnsi="Times New Roman" w:cs="Times New Roman"/>
          <w:sz w:val="24"/>
          <w:szCs w:val="24"/>
        </w:rPr>
        <w:t xml:space="preserve">da testamentaria </w:t>
      </w:r>
      <w:r w:rsidRPr="00D9380E">
        <w:rPr>
          <w:rFonts w:ascii="Times New Roman" w:hAnsi="Times New Roman" w:cs="Times New Roman"/>
          <w:sz w:val="24"/>
          <w:szCs w:val="24"/>
        </w:rPr>
        <w:t xml:space="preserve">(art. 735, § 3.º, do CPC/2015). Eventualmente, se não houver testamenteiro nomeado ou se ele estiver ausente ou não aceitar o encargo, o juiz nomeará testamenteiro dativo, observando-se a preferência legal (art. 735, § 3.º, do CPC/2015). Com pequenas alterações de redação, tais regras já eram retiradas do </w:t>
      </w:r>
      <w:r w:rsidR="00C650C5" w:rsidRPr="00C650C5">
        <w:rPr>
          <w:rFonts w:ascii="Times New Roman" w:hAnsi="Times New Roman" w:cs="Times New Roman"/>
          <w:i/>
          <w:iCs/>
          <w:sz w:val="24"/>
          <w:szCs w:val="24"/>
        </w:rPr>
        <w:t xml:space="preserve">caput </w:t>
      </w:r>
      <w:r w:rsidRPr="00D9380E">
        <w:rPr>
          <w:rFonts w:ascii="Times New Roman" w:hAnsi="Times New Roman" w:cs="Times New Roman"/>
          <w:sz w:val="24"/>
          <w:szCs w:val="24"/>
        </w:rPr>
        <w:t>do art. 1.127 do CPC/1973.</w:t>
      </w:r>
    </w:p>
    <w:p w:rsidR="00B5085B" w:rsidRDefault="00696537" w:rsidP="00D9380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w:t>
      </w:r>
      <w:r w:rsidR="00D9380E" w:rsidRPr="00D9380E">
        <w:rPr>
          <w:rFonts w:ascii="Times New Roman" w:hAnsi="Times New Roman" w:cs="Times New Roman"/>
          <w:sz w:val="24"/>
          <w:szCs w:val="24"/>
        </w:rPr>
        <w:t xml:space="preserve">onstata-se que também não foi reproduzido o parágrafo único do art. 1.127 do CPC/1973, </w:t>
      </w:r>
      <w:r w:rsidR="00D9380E" w:rsidRPr="00696537">
        <w:rPr>
          <w:rFonts w:ascii="Times New Roman" w:hAnsi="Times New Roman" w:cs="Times New Roman"/>
          <w:i/>
          <w:sz w:val="24"/>
          <w:szCs w:val="24"/>
        </w:rPr>
        <w:t>in verbis</w:t>
      </w:r>
      <w:r w:rsidR="00D9380E" w:rsidRPr="00D9380E">
        <w:rPr>
          <w:rFonts w:ascii="Times New Roman" w:hAnsi="Times New Roman" w:cs="Times New Roman"/>
          <w:sz w:val="24"/>
          <w:szCs w:val="24"/>
        </w:rPr>
        <w:t>: “</w:t>
      </w:r>
      <w:r>
        <w:rPr>
          <w:rFonts w:ascii="Times New Roman" w:hAnsi="Times New Roman" w:cs="Times New Roman"/>
          <w:sz w:val="24"/>
          <w:szCs w:val="24"/>
        </w:rPr>
        <w:t>a</w:t>
      </w:r>
      <w:r w:rsidR="00D9380E" w:rsidRPr="00D9380E">
        <w:rPr>
          <w:rFonts w:ascii="Times New Roman" w:hAnsi="Times New Roman" w:cs="Times New Roman"/>
          <w:sz w:val="24"/>
          <w:szCs w:val="24"/>
        </w:rPr>
        <w:t>ssinado o termo de aceitação da testamentaria, o escrivão extrairá cópia autêntica do testamento para ser juntada aos autos de inventário ou de arrecadação da herança”. Essa omissão demonstra que tal procedimento também passa a ser dispensado.</w:t>
      </w:r>
      <w:r>
        <w:rPr>
          <w:rFonts w:ascii="Times New Roman" w:hAnsi="Times New Roman" w:cs="Times New Roman"/>
          <w:sz w:val="24"/>
          <w:szCs w:val="24"/>
        </w:rPr>
        <w:t xml:space="preserve"> </w:t>
      </w:r>
    </w:p>
    <w:p w:rsidR="00BB144D"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Por outro turno, incluiu-se um § 5.º no art. 735 do CPC/2015, </w:t>
      </w:r>
      <w:r w:rsidRPr="00D9380E">
        <w:rPr>
          <w:rFonts w:ascii="Times New Roman" w:hAnsi="Times New Roman" w:cs="Times New Roman"/>
          <w:sz w:val="24"/>
          <w:szCs w:val="24"/>
        </w:rPr>
        <w:lastRenderedPageBreak/>
        <w:t xml:space="preserve">prevendo que o testamenteiro deverá cumprir as disposições testamentárias e prestar contas em juízo do que recebeu e despendeu, observando-se o disposto em lei. </w:t>
      </w:r>
    </w:p>
    <w:p w:rsid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Fica em dúvidas</w:t>
      </w:r>
      <w:r w:rsidR="00B5085B">
        <w:rPr>
          <w:rFonts w:ascii="Times New Roman" w:hAnsi="Times New Roman" w:cs="Times New Roman"/>
          <w:sz w:val="24"/>
          <w:szCs w:val="24"/>
        </w:rPr>
        <w:t xml:space="preserve"> também</w:t>
      </w:r>
      <w:r w:rsidRPr="00D9380E">
        <w:rPr>
          <w:rFonts w:ascii="Times New Roman" w:hAnsi="Times New Roman" w:cs="Times New Roman"/>
          <w:sz w:val="24"/>
          <w:szCs w:val="24"/>
        </w:rPr>
        <w:t xml:space="preserve"> a necessidade dessa última regra, naturalmente retirada do encargo da testamentaria, especialmente do art. 1.980 do Código Civil, com a seguinte redação: “</w:t>
      </w:r>
      <w:r w:rsidR="00B5085B">
        <w:rPr>
          <w:rFonts w:ascii="Times New Roman" w:hAnsi="Times New Roman" w:cs="Times New Roman"/>
          <w:sz w:val="24"/>
          <w:szCs w:val="24"/>
        </w:rPr>
        <w:t>o</w:t>
      </w:r>
      <w:r w:rsidRPr="00D9380E">
        <w:rPr>
          <w:rFonts w:ascii="Times New Roman" w:hAnsi="Times New Roman" w:cs="Times New Roman"/>
          <w:sz w:val="24"/>
          <w:szCs w:val="24"/>
        </w:rPr>
        <w:t xml:space="preserve"> testamenteiro é obrigado a cumprir as disposições testamentárias, no prazo marcado pelo testador, e a dar contas do que recebeu e despendeu, subsistindo sua responsabilidade enquanto durar a execução do testamento”.</w:t>
      </w:r>
      <w:r w:rsidR="00B5085B">
        <w:rPr>
          <w:rFonts w:ascii="Times New Roman" w:hAnsi="Times New Roman" w:cs="Times New Roman"/>
          <w:sz w:val="24"/>
          <w:szCs w:val="24"/>
        </w:rPr>
        <w:t xml:space="preserve"> A verdade é que as regras procedimentais em estudo são excessivamente burocráticas, e não mais se justificam na atualidade.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No que </w:t>
      </w:r>
      <w:r w:rsidR="00DF5F89">
        <w:rPr>
          <w:rFonts w:ascii="Times New Roman" w:hAnsi="Times New Roman" w:cs="Times New Roman"/>
          <w:sz w:val="24"/>
          <w:szCs w:val="24"/>
        </w:rPr>
        <w:t>concerne</w:t>
      </w:r>
      <w:r w:rsidRPr="00D9380E">
        <w:rPr>
          <w:rFonts w:ascii="Times New Roman" w:hAnsi="Times New Roman" w:cs="Times New Roman"/>
          <w:sz w:val="24"/>
          <w:szCs w:val="24"/>
        </w:rPr>
        <w:t xml:space="preserve"> ao procedimento de confirmação do </w:t>
      </w:r>
      <w:r w:rsidRPr="00B5085B">
        <w:rPr>
          <w:rFonts w:ascii="Times New Roman" w:hAnsi="Times New Roman" w:cs="Times New Roman"/>
          <w:i/>
          <w:sz w:val="24"/>
          <w:szCs w:val="24"/>
        </w:rPr>
        <w:t>testamento particular</w:t>
      </w:r>
      <w:r w:rsidRPr="00D9380E">
        <w:rPr>
          <w:rFonts w:ascii="Times New Roman" w:hAnsi="Times New Roman" w:cs="Times New Roman"/>
          <w:sz w:val="24"/>
          <w:szCs w:val="24"/>
        </w:rPr>
        <w:t>, expressava o art. 1.130 do CPC/1973 que o herdeiro, o legatário ou o testamenteiro poderia requerer, depois da morte do testador, a publicação em juízo do testamento particular, inquirindo-se as testemunhas que lhe ouviram a leitura e, depois disso, o assinaram. A petição inicial seria instruída com a cédula do testamento particular, com o intuito dessa confirmação.</w:t>
      </w:r>
      <w:r w:rsidR="00B5085B">
        <w:rPr>
          <w:rFonts w:ascii="Times New Roman" w:hAnsi="Times New Roman" w:cs="Times New Roman"/>
          <w:sz w:val="24"/>
          <w:szCs w:val="24"/>
        </w:rPr>
        <w:t xml:space="preserve">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O CPC/2015 concentra essa regulamentação da publicação e confirmação do testamento particular no art. 737. Nos termos do seu </w:t>
      </w:r>
      <w:r w:rsidRPr="00B5085B">
        <w:rPr>
          <w:rFonts w:ascii="Times New Roman" w:hAnsi="Times New Roman" w:cs="Times New Roman"/>
          <w:i/>
          <w:sz w:val="24"/>
          <w:szCs w:val="24"/>
        </w:rPr>
        <w:t>caput</w:t>
      </w:r>
      <w:r w:rsidRPr="00D9380E">
        <w:rPr>
          <w:rFonts w:ascii="Times New Roman" w:hAnsi="Times New Roman" w:cs="Times New Roman"/>
          <w:sz w:val="24"/>
          <w:szCs w:val="24"/>
        </w:rPr>
        <w:t xml:space="preserve">, a publicação do testamento particular poderá ser requerida, depois da morte do testador, pelo herdeiro, pelo legatário ou pelo testamenteiro, bem como pelo terceiro detentor do testamento, se impossibilitado de entregá-lo a algum dos outros legitimados para requerê-la. Essa menção ao terceiro </w:t>
      </w:r>
      <w:r w:rsidR="00B5085B">
        <w:rPr>
          <w:rFonts w:ascii="Times New Roman" w:hAnsi="Times New Roman" w:cs="Times New Roman"/>
          <w:sz w:val="24"/>
          <w:szCs w:val="24"/>
        </w:rPr>
        <w:t>foi considerada</w:t>
      </w:r>
      <w:r w:rsidRPr="00D9380E">
        <w:rPr>
          <w:rFonts w:ascii="Times New Roman" w:hAnsi="Times New Roman" w:cs="Times New Roman"/>
          <w:sz w:val="24"/>
          <w:szCs w:val="24"/>
        </w:rPr>
        <w:t xml:space="preserve"> inovação festejada</w:t>
      </w:r>
      <w:r w:rsidR="00E74015">
        <w:rPr>
          <w:rFonts w:ascii="Times New Roman" w:hAnsi="Times New Roman" w:cs="Times New Roman"/>
          <w:sz w:val="24"/>
          <w:szCs w:val="24"/>
        </w:rPr>
        <w:t>,</w:t>
      </w:r>
      <w:r w:rsidRPr="00D9380E">
        <w:rPr>
          <w:rFonts w:ascii="Times New Roman" w:hAnsi="Times New Roman" w:cs="Times New Roman"/>
          <w:sz w:val="24"/>
          <w:szCs w:val="24"/>
        </w:rPr>
        <w:t xml:space="preserve"> pois, de fato, o portador do testamento pode ser alguém de confiança do autor da herança e que não seja beneficiado pelo ato.</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Previa o art. 1.131 do CPC/1973, ainda, sobre o processo de confirmação judicial do testamento particular, que seriam intimados para a inquirição: </w:t>
      </w:r>
      <w:r w:rsidRPr="00B5085B">
        <w:rPr>
          <w:rFonts w:ascii="Times New Roman" w:hAnsi="Times New Roman" w:cs="Times New Roman"/>
          <w:i/>
          <w:sz w:val="24"/>
          <w:szCs w:val="24"/>
        </w:rPr>
        <w:t>a)</w:t>
      </w:r>
      <w:r w:rsidRPr="00D9380E">
        <w:rPr>
          <w:rFonts w:ascii="Times New Roman" w:hAnsi="Times New Roman" w:cs="Times New Roman"/>
          <w:sz w:val="24"/>
          <w:szCs w:val="24"/>
        </w:rPr>
        <w:t xml:space="preserve"> aqueles a quem caberia a sucessão legítima; </w:t>
      </w:r>
      <w:r w:rsidRPr="00B5085B">
        <w:rPr>
          <w:rFonts w:ascii="Times New Roman" w:hAnsi="Times New Roman" w:cs="Times New Roman"/>
          <w:i/>
          <w:sz w:val="24"/>
          <w:szCs w:val="24"/>
        </w:rPr>
        <w:t>b)</w:t>
      </w:r>
      <w:r w:rsidRPr="00D9380E">
        <w:rPr>
          <w:rFonts w:ascii="Times New Roman" w:hAnsi="Times New Roman" w:cs="Times New Roman"/>
          <w:sz w:val="24"/>
          <w:szCs w:val="24"/>
        </w:rPr>
        <w:t xml:space="preserve"> o testamenteiro, os herdeiros e os legatários que não tivessem requerido a publicação;</w:t>
      </w:r>
      <w:r w:rsidR="00B5085B">
        <w:rPr>
          <w:rFonts w:ascii="Times New Roman" w:hAnsi="Times New Roman" w:cs="Times New Roman"/>
          <w:sz w:val="24"/>
          <w:szCs w:val="24"/>
        </w:rPr>
        <w:t xml:space="preserve"> e</w:t>
      </w:r>
      <w:r w:rsidRPr="00D9380E">
        <w:rPr>
          <w:rFonts w:ascii="Times New Roman" w:hAnsi="Times New Roman" w:cs="Times New Roman"/>
          <w:sz w:val="24"/>
          <w:szCs w:val="24"/>
        </w:rPr>
        <w:t xml:space="preserve"> </w:t>
      </w:r>
      <w:r w:rsidRPr="00B5085B">
        <w:rPr>
          <w:rFonts w:ascii="Times New Roman" w:hAnsi="Times New Roman" w:cs="Times New Roman"/>
          <w:i/>
          <w:sz w:val="24"/>
          <w:szCs w:val="24"/>
        </w:rPr>
        <w:t>c)</w:t>
      </w:r>
      <w:r w:rsidRPr="00D9380E">
        <w:rPr>
          <w:rFonts w:ascii="Times New Roman" w:hAnsi="Times New Roman" w:cs="Times New Roman"/>
          <w:sz w:val="24"/>
          <w:szCs w:val="24"/>
        </w:rPr>
        <w:t xml:space="preserve"> o Ministério Público. Em todos os casos, as pessoas que não fossem encontradas na Comarca seriam intimadas por edital (parágrafo único do então art. 1.131).</w:t>
      </w:r>
      <w:r w:rsidR="00B5085B">
        <w:rPr>
          <w:rFonts w:ascii="Times New Roman" w:hAnsi="Times New Roman" w:cs="Times New Roman"/>
          <w:sz w:val="24"/>
          <w:szCs w:val="24"/>
        </w:rPr>
        <w:t xml:space="preserve">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Em sentido próximo, determina o § 1.º do art. 737 do CPC/2015 que serão intimados os herdeiros que não tiverem requerido a publicação do testamento, o que corresponde aos incisos I e II do dispositivo anterior. </w:t>
      </w:r>
      <w:r w:rsidR="00555174">
        <w:rPr>
          <w:rFonts w:ascii="Times New Roman" w:hAnsi="Times New Roman" w:cs="Times New Roman"/>
          <w:sz w:val="24"/>
          <w:szCs w:val="24"/>
        </w:rPr>
        <w:t>N</w:t>
      </w:r>
      <w:r w:rsidRPr="00D9380E">
        <w:rPr>
          <w:rFonts w:ascii="Times New Roman" w:hAnsi="Times New Roman" w:cs="Times New Roman"/>
          <w:sz w:val="24"/>
          <w:szCs w:val="24"/>
        </w:rPr>
        <w:t xml:space="preserve">ão há mais </w:t>
      </w:r>
      <w:r w:rsidRPr="00D9380E">
        <w:rPr>
          <w:rFonts w:ascii="Times New Roman" w:hAnsi="Times New Roman" w:cs="Times New Roman"/>
          <w:sz w:val="24"/>
          <w:szCs w:val="24"/>
        </w:rPr>
        <w:t xml:space="preserve">alusão ao </w:t>
      </w:r>
      <w:r w:rsidRPr="00D9380E">
        <w:rPr>
          <w:rFonts w:ascii="Times New Roman" w:hAnsi="Times New Roman" w:cs="Times New Roman"/>
          <w:sz w:val="24"/>
          <w:szCs w:val="24"/>
        </w:rPr>
        <w:lastRenderedPageBreak/>
        <w:t xml:space="preserve">Ministério Público para essa inquirição inicial, mais uma vez porque o interesse, no caso, é privado. Todavia, como se verá a </w:t>
      </w:r>
      <w:r w:rsidRPr="00D9380E">
        <w:rPr>
          <w:rFonts w:ascii="Times New Roman" w:hAnsi="Times New Roman" w:cs="Times New Roman"/>
          <w:sz w:val="24"/>
          <w:szCs w:val="24"/>
        </w:rPr>
        <w:t>seguir, o Ministério Público continua sendo ouvido para a confirmação final da disposição de última vontade</w:t>
      </w:r>
      <w:r w:rsidR="00B5085B">
        <w:rPr>
          <w:rFonts w:ascii="Times New Roman" w:hAnsi="Times New Roman" w:cs="Times New Roman"/>
          <w:sz w:val="24"/>
          <w:szCs w:val="24"/>
        </w:rPr>
        <w:t xml:space="preserve">. </w:t>
      </w:r>
      <w:r w:rsidRPr="00D9380E">
        <w:rPr>
          <w:rFonts w:ascii="Times New Roman" w:hAnsi="Times New Roman" w:cs="Times New Roman"/>
          <w:sz w:val="24"/>
          <w:szCs w:val="24"/>
        </w:rPr>
        <w:t xml:space="preserve">Também se retirou a menção à intimação por edital das pessoas não encontradas </w:t>
      </w:r>
      <w:r w:rsidR="00E74015">
        <w:rPr>
          <w:rFonts w:ascii="Times New Roman" w:hAnsi="Times New Roman" w:cs="Times New Roman"/>
          <w:sz w:val="24"/>
          <w:szCs w:val="24"/>
        </w:rPr>
        <w:t>n</w:t>
      </w:r>
      <w:r w:rsidR="00E74015" w:rsidRPr="00D9380E">
        <w:rPr>
          <w:rFonts w:ascii="Times New Roman" w:hAnsi="Times New Roman" w:cs="Times New Roman"/>
          <w:sz w:val="24"/>
          <w:szCs w:val="24"/>
        </w:rPr>
        <w:t xml:space="preserve">a </w:t>
      </w:r>
      <w:r w:rsidRPr="00D9380E">
        <w:rPr>
          <w:rFonts w:ascii="Times New Roman" w:hAnsi="Times New Roman" w:cs="Times New Roman"/>
          <w:sz w:val="24"/>
          <w:szCs w:val="24"/>
        </w:rPr>
        <w:t>Comarca, procedimento que não é mais cabível.</w:t>
      </w:r>
    </w:p>
    <w:p w:rsidR="00D9380E" w:rsidRPr="00D9380E" w:rsidRDefault="00B5085B" w:rsidP="00D9380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Seguindo-se com os estudos dos procedimentos judiciais relativos ao testamento particular, </w:t>
      </w:r>
      <w:r w:rsidR="00D9380E" w:rsidRPr="00D9380E">
        <w:rPr>
          <w:rFonts w:ascii="Times New Roman" w:hAnsi="Times New Roman" w:cs="Times New Roman"/>
          <w:sz w:val="24"/>
          <w:szCs w:val="24"/>
        </w:rPr>
        <w:t xml:space="preserve">não se reproduziu o antigo art. 1.132 do CPC/1973, segundo o qual, se inquiridas as testemunhas, poderiam os interessados, no prazo comum de cinco dias, manifestar-se sobre o testamento. Mais uma vez, não cabe tal procedimento, em uma análise preliminar do Estatuto </w:t>
      </w:r>
      <w:r w:rsidR="00E74015" w:rsidRPr="00D9380E">
        <w:rPr>
          <w:rFonts w:ascii="Times New Roman" w:hAnsi="Times New Roman" w:cs="Times New Roman"/>
          <w:sz w:val="24"/>
          <w:szCs w:val="24"/>
        </w:rPr>
        <w:t>Process</w:t>
      </w:r>
      <w:r w:rsidR="00E74015">
        <w:rPr>
          <w:rFonts w:ascii="Times New Roman" w:hAnsi="Times New Roman" w:cs="Times New Roman"/>
          <w:sz w:val="24"/>
          <w:szCs w:val="24"/>
        </w:rPr>
        <w:t>ual</w:t>
      </w:r>
      <w:r w:rsidR="00E74015" w:rsidRPr="00D9380E">
        <w:rPr>
          <w:rFonts w:ascii="Times New Roman" w:hAnsi="Times New Roman" w:cs="Times New Roman"/>
          <w:sz w:val="24"/>
          <w:szCs w:val="24"/>
        </w:rPr>
        <w:t xml:space="preserve"> </w:t>
      </w:r>
      <w:r w:rsidR="00D9380E" w:rsidRPr="00D9380E">
        <w:rPr>
          <w:rFonts w:ascii="Times New Roman" w:hAnsi="Times New Roman" w:cs="Times New Roman"/>
          <w:sz w:val="24"/>
          <w:szCs w:val="24"/>
        </w:rPr>
        <w:t>emergente.</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O art. 1.133 do CPC/1973 foi alterado substancialmente pelo art. 737, § 2.º, do CPC/</w:t>
      </w:r>
      <w:r w:rsidRPr="00D9380E">
        <w:rPr>
          <w:rFonts w:ascii="Times New Roman" w:hAnsi="Times New Roman" w:cs="Times New Roman"/>
          <w:sz w:val="24"/>
          <w:szCs w:val="24"/>
        </w:rPr>
        <w:t>2015. Consoante a regra anterior, “se pelo menos três testemunhas contestes reconhecerem que é autêntico o testamento, o juiz, ouvido o órgão do Ministério Público, o confirmará, observando-se quanto ao mais o disposto nos arts. 1.126 e 1.127”. O art. 737, § 2.º, do CPC/2015 se resumiu a dizer que, verificando a presença dos requisitos da lei, ouvido o Ministério Público, o juiz confirmará o testamento.</w:t>
      </w:r>
      <w:r w:rsidR="002C5F94">
        <w:rPr>
          <w:rFonts w:ascii="Times New Roman" w:hAnsi="Times New Roman" w:cs="Times New Roman"/>
          <w:sz w:val="24"/>
          <w:szCs w:val="24"/>
        </w:rPr>
        <w:t xml:space="preserve">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De toda sorte</w:t>
      </w:r>
      <w:r w:rsidRPr="00D9380E">
        <w:rPr>
          <w:rFonts w:ascii="Times New Roman" w:hAnsi="Times New Roman" w:cs="Times New Roman"/>
          <w:sz w:val="24"/>
          <w:szCs w:val="24"/>
        </w:rPr>
        <w:t>, continua tendo aplicação o art. 1.878 do Código Civil, que traz um sentido muito próximo ao art. 1.133 do anterior Código de Processo Civil. Conforme a norma material, “se as testemunhas forem contestes sobre o fato da disposição, ou, ao menos, sobre a sua leitura perante elas, e se reconhecerem as próprias assinaturas, assim como a do testador, o testamento será confirmado. Parágrafo único. Se faltarem testemunhas, por morte ou ausência, e se pelo menos uma delas o reconhecer, o testamento poderá ser confirmado, se, a critério do juiz, houver prova suficiente de sua veracidade”.</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Como se nota, não há menção ao M</w:t>
      </w:r>
      <w:r w:rsidR="00B5085B">
        <w:rPr>
          <w:rFonts w:ascii="Times New Roman" w:hAnsi="Times New Roman" w:cs="Times New Roman"/>
          <w:sz w:val="24"/>
          <w:szCs w:val="24"/>
        </w:rPr>
        <w:t xml:space="preserve">inistério Público </w:t>
      </w:r>
      <w:r w:rsidRPr="00D9380E">
        <w:rPr>
          <w:rFonts w:ascii="Times New Roman" w:hAnsi="Times New Roman" w:cs="Times New Roman"/>
          <w:sz w:val="24"/>
          <w:szCs w:val="24"/>
        </w:rPr>
        <w:t>na norma privada. Porém, a sua oitiva parece ser necessária, pela previsão do dispositivo instrumental. Na minha opinião, o CPC/2015 não deveria fazer tal referência, pois o interesse do testamento – ainda mais no caso de testamento particular – é puramente privado.</w:t>
      </w:r>
    </w:p>
    <w:p w:rsidR="00D9380E" w:rsidRDefault="00B5085B" w:rsidP="00D9380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Pois bem, </w:t>
      </w:r>
      <w:r w:rsidR="00D9380E" w:rsidRPr="00D9380E">
        <w:rPr>
          <w:rFonts w:ascii="Times New Roman" w:hAnsi="Times New Roman" w:cs="Times New Roman"/>
          <w:sz w:val="24"/>
          <w:szCs w:val="24"/>
        </w:rPr>
        <w:t>fica</w:t>
      </w:r>
      <w:r w:rsidR="00E74015">
        <w:rPr>
          <w:rFonts w:ascii="Times New Roman" w:hAnsi="Times New Roman" w:cs="Times New Roman"/>
          <w:sz w:val="24"/>
          <w:szCs w:val="24"/>
        </w:rPr>
        <w:t xml:space="preserve"> em</w:t>
      </w:r>
      <w:r w:rsidR="00D9380E" w:rsidRPr="00D9380E">
        <w:rPr>
          <w:rFonts w:ascii="Times New Roman" w:hAnsi="Times New Roman" w:cs="Times New Roman"/>
          <w:sz w:val="24"/>
          <w:szCs w:val="24"/>
        </w:rPr>
        <w:t xml:space="preserve"> </w:t>
      </w:r>
      <w:r w:rsidR="00DF5F89">
        <w:rPr>
          <w:rFonts w:ascii="Times New Roman" w:hAnsi="Times New Roman" w:cs="Times New Roman"/>
          <w:sz w:val="24"/>
          <w:szCs w:val="24"/>
        </w:rPr>
        <w:t>séria dúvida</w:t>
      </w:r>
      <w:r w:rsidR="00D9380E" w:rsidRPr="00D9380E">
        <w:rPr>
          <w:rFonts w:ascii="Times New Roman" w:hAnsi="Times New Roman" w:cs="Times New Roman"/>
          <w:sz w:val="24"/>
          <w:szCs w:val="24"/>
        </w:rPr>
        <w:t xml:space="preserve"> a necessidade de procedimen</w:t>
      </w:r>
      <w:r w:rsidR="00BB144D">
        <w:rPr>
          <w:rFonts w:ascii="Times New Roman" w:hAnsi="Times New Roman" w:cs="Times New Roman"/>
          <w:sz w:val="24"/>
          <w:szCs w:val="24"/>
        </w:rPr>
        <w:t xml:space="preserve">tos judiciais para se abrir, confirmar e cumprir </w:t>
      </w:r>
      <w:r w:rsidR="00D9380E" w:rsidRPr="00D9380E">
        <w:rPr>
          <w:rFonts w:ascii="Times New Roman" w:hAnsi="Times New Roman" w:cs="Times New Roman"/>
          <w:sz w:val="24"/>
          <w:szCs w:val="24"/>
        </w:rPr>
        <w:t xml:space="preserve">todas as formas de testamento. Se o vigente </w:t>
      </w:r>
      <w:r w:rsidR="00D9380E" w:rsidRPr="00D9380E">
        <w:rPr>
          <w:rFonts w:ascii="Times New Roman" w:hAnsi="Times New Roman" w:cs="Times New Roman"/>
          <w:sz w:val="24"/>
          <w:szCs w:val="24"/>
        </w:rPr>
        <w:lastRenderedPageBreak/>
        <w:t xml:space="preserve">Estatuto Processual foi guiado pela </w:t>
      </w:r>
      <w:r w:rsidR="00D9380E" w:rsidRPr="00B5085B">
        <w:rPr>
          <w:rFonts w:ascii="Times New Roman" w:hAnsi="Times New Roman" w:cs="Times New Roman"/>
          <w:i/>
          <w:sz w:val="24"/>
          <w:szCs w:val="24"/>
        </w:rPr>
        <w:t>desjudicialização</w:t>
      </w:r>
      <w:r w:rsidR="00D9380E" w:rsidRPr="00D9380E">
        <w:rPr>
          <w:rFonts w:ascii="Times New Roman" w:hAnsi="Times New Roman" w:cs="Times New Roman"/>
          <w:sz w:val="24"/>
          <w:szCs w:val="24"/>
        </w:rPr>
        <w:t xml:space="preserve"> em vários de seus artigos, não seria mais interessante estabelecer a abertura perante o Tabelionato de Notas? Entendo que sim, como é proposto pelo Projeto de Reforma do Código Civil</w:t>
      </w:r>
      <w:r w:rsidR="00DF5F89">
        <w:rPr>
          <w:rFonts w:ascii="Times New Roman" w:hAnsi="Times New Roman" w:cs="Times New Roman"/>
          <w:sz w:val="24"/>
          <w:szCs w:val="24"/>
        </w:rPr>
        <w:t>, que pretende trazer para a Lei Geral Privada todos os procedimentos de extrajudicialização do Direito Privado Brasileiro, retomando-se o protagonismo da codificação material privada, perdido nos últimos anos</w:t>
      </w:r>
      <w:r w:rsidR="00D9380E" w:rsidRPr="00D9380E">
        <w:rPr>
          <w:rFonts w:ascii="Times New Roman" w:hAnsi="Times New Roman" w:cs="Times New Roman"/>
          <w:sz w:val="24"/>
          <w:szCs w:val="24"/>
        </w:rPr>
        <w:t>.</w:t>
      </w:r>
    </w:p>
    <w:p w:rsidR="00B5085B"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N</w:t>
      </w:r>
      <w:r w:rsidR="00B5085B">
        <w:rPr>
          <w:rFonts w:ascii="Times New Roman" w:hAnsi="Times New Roman" w:cs="Times New Roman"/>
          <w:sz w:val="24"/>
          <w:szCs w:val="24"/>
        </w:rPr>
        <w:t xml:space="preserve">esse contexto, no atual PL n. 4/2025 </w:t>
      </w:r>
      <w:r w:rsidRPr="00D9380E">
        <w:rPr>
          <w:rFonts w:ascii="Times New Roman" w:hAnsi="Times New Roman" w:cs="Times New Roman"/>
          <w:sz w:val="24"/>
          <w:szCs w:val="24"/>
        </w:rPr>
        <w:t xml:space="preserve">inclui-se a possibilidade de todos os testamentos serem abertos ou cumpridos extrajudicialmente, conforme o seu novo art. 1.990-A, o que passará a ser uma faculdade das partes, se assim o quiserem. </w:t>
      </w:r>
      <w:r w:rsidR="00DF5F89">
        <w:rPr>
          <w:rFonts w:ascii="Times New Roman" w:hAnsi="Times New Roman" w:cs="Times New Roman"/>
          <w:sz w:val="24"/>
          <w:szCs w:val="24"/>
        </w:rPr>
        <w:t xml:space="preserve">Essa faculdade não afasta a via judicial, para os que assim o quiserem, não se propondo a revogação dos dispositivos do Código de Processo Civil aqui citados. </w:t>
      </w:r>
    </w:p>
    <w:p w:rsidR="00D9380E" w:rsidRPr="00D9380E"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Nos termos da proposição</w:t>
      </w:r>
      <w:r w:rsidR="00DF5F89">
        <w:rPr>
          <w:rFonts w:ascii="Times New Roman" w:hAnsi="Times New Roman" w:cs="Times New Roman"/>
          <w:sz w:val="24"/>
          <w:szCs w:val="24"/>
        </w:rPr>
        <w:t xml:space="preserve"> material</w:t>
      </w:r>
      <w:r w:rsidRPr="00D9380E">
        <w:rPr>
          <w:rFonts w:ascii="Times New Roman" w:hAnsi="Times New Roman" w:cs="Times New Roman"/>
          <w:sz w:val="24"/>
          <w:szCs w:val="24"/>
        </w:rPr>
        <w:t xml:space="preserve">, se todos os herdeiros e legatários concordarem, a abertura do testamento cerrado ou a apresentação dos testamentos público e particular, bem como o seu registro e cumprimento, a nomeação de testamenteiro e a prestação de contas poderão ser </w:t>
      </w:r>
      <w:r w:rsidR="001C0BF5" w:rsidRPr="00D9380E">
        <w:rPr>
          <w:rFonts w:ascii="Times New Roman" w:hAnsi="Times New Roman" w:cs="Times New Roman"/>
          <w:sz w:val="24"/>
          <w:szCs w:val="24"/>
        </w:rPr>
        <w:t>feit</w:t>
      </w:r>
      <w:r w:rsidR="001C0BF5">
        <w:rPr>
          <w:rFonts w:ascii="Times New Roman" w:hAnsi="Times New Roman" w:cs="Times New Roman"/>
          <w:sz w:val="24"/>
          <w:szCs w:val="24"/>
        </w:rPr>
        <w:t>o</w:t>
      </w:r>
      <w:r w:rsidR="001C0BF5" w:rsidRPr="00D9380E">
        <w:rPr>
          <w:rFonts w:ascii="Times New Roman" w:hAnsi="Times New Roman" w:cs="Times New Roman"/>
          <w:sz w:val="24"/>
          <w:szCs w:val="24"/>
        </w:rPr>
        <w:t xml:space="preserve">s </w:t>
      </w:r>
      <w:r w:rsidRPr="00D9380E">
        <w:rPr>
          <w:rFonts w:ascii="Times New Roman" w:hAnsi="Times New Roman" w:cs="Times New Roman"/>
          <w:sz w:val="24"/>
          <w:szCs w:val="24"/>
        </w:rPr>
        <w:t>por escritura pública, cuja eficácia dependerá de anuência do Ministério Público</w:t>
      </w:r>
      <w:r w:rsidR="00B5085B">
        <w:rPr>
          <w:rFonts w:ascii="Times New Roman" w:hAnsi="Times New Roman" w:cs="Times New Roman"/>
          <w:sz w:val="24"/>
          <w:szCs w:val="24"/>
        </w:rPr>
        <w:t xml:space="preserve"> (</w:t>
      </w:r>
      <w:r w:rsidR="00B5085B" w:rsidRPr="00B5085B">
        <w:rPr>
          <w:rFonts w:ascii="Times New Roman" w:hAnsi="Times New Roman" w:cs="Times New Roman"/>
          <w:i/>
          <w:sz w:val="24"/>
          <w:szCs w:val="24"/>
        </w:rPr>
        <w:t>caput</w:t>
      </w:r>
      <w:r w:rsidR="00B5085B">
        <w:rPr>
          <w:rFonts w:ascii="Times New Roman" w:hAnsi="Times New Roman" w:cs="Times New Roman"/>
          <w:sz w:val="24"/>
          <w:szCs w:val="24"/>
        </w:rPr>
        <w:t xml:space="preserve"> do novo art. 1.990-A do Código Civil). Chegamos a debater a necessidade de atuação do MP, que acabou permanecendo nos procedimentos, por voto da maioria dos membros da Comissão de Juristas.</w:t>
      </w:r>
      <w:r w:rsidR="002C5F94">
        <w:rPr>
          <w:rFonts w:ascii="Times New Roman" w:hAnsi="Times New Roman" w:cs="Times New Roman"/>
          <w:sz w:val="24"/>
          <w:szCs w:val="24"/>
        </w:rPr>
        <w:t xml:space="preserve"> </w:t>
      </w:r>
    </w:p>
    <w:p w:rsidR="00B5085B"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A proposta traz três parágrafos a respeito dos procedimentos extrajudiciais para tanto, que poderão ser eletrônicos ou digitais, o que vem em boa hora, concretizando os motes da </w:t>
      </w:r>
      <w:r w:rsidRPr="00B5085B">
        <w:rPr>
          <w:rFonts w:ascii="Times New Roman" w:hAnsi="Times New Roman" w:cs="Times New Roman"/>
          <w:i/>
          <w:sz w:val="24"/>
          <w:szCs w:val="24"/>
        </w:rPr>
        <w:t xml:space="preserve">extrajudicialização </w:t>
      </w:r>
      <w:r w:rsidRPr="00D9380E">
        <w:rPr>
          <w:rFonts w:ascii="Times New Roman" w:hAnsi="Times New Roman" w:cs="Times New Roman"/>
          <w:sz w:val="24"/>
          <w:szCs w:val="24"/>
        </w:rPr>
        <w:t xml:space="preserve">e da </w:t>
      </w:r>
      <w:r w:rsidRPr="00B5085B">
        <w:rPr>
          <w:rFonts w:ascii="Times New Roman" w:hAnsi="Times New Roman" w:cs="Times New Roman"/>
          <w:i/>
          <w:sz w:val="24"/>
          <w:szCs w:val="24"/>
        </w:rPr>
        <w:t>digitalização</w:t>
      </w:r>
      <w:r w:rsidRPr="00D9380E">
        <w:rPr>
          <w:rFonts w:ascii="Times New Roman" w:hAnsi="Times New Roman" w:cs="Times New Roman"/>
          <w:sz w:val="24"/>
          <w:szCs w:val="24"/>
        </w:rPr>
        <w:t xml:space="preserve">, que orientaram os trabalhos da Comissão de Juristas. </w:t>
      </w:r>
    </w:p>
    <w:p w:rsidR="00B5085B"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Nesse contexto, a abertura do testamento cerrado ou a apresentação do testamento público deverá ocorrer perante o tabelião de notas, na forma física ou virtual, que lavrará escritura pública específica, atestando os fatos e indicando se há, ou não, vício externo que torne o testamento eivado de nulidade ou suspeito de falsidade; havendo qualquer vício, o tabelião não lavrará a escritura pública</w:t>
      </w:r>
      <w:r w:rsidR="0014589B">
        <w:rPr>
          <w:rFonts w:ascii="Times New Roman" w:hAnsi="Times New Roman" w:cs="Times New Roman"/>
          <w:sz w:val="24"/>
          <w:szCs w:val="24"/>
        </w:rPr>
        <w:t xml:space="preserve"> (art. 1.990-A, §</w:t>
      </w:r>
      <w:r w:rsidR="00F24B9B">
        <w:rPr>
          <w:rFonts w:ascii="Times New Roman" w:hAnsi="Times New Roman" w:cs="Times New Roman"/>
          <w:sz w:val="24"/>
          <w:szCs w:val="24"/>
        </w:rPr>
        <w:t xml:space="preserve"> </w:t>
      </w:r>
      <w:r w:rsidR="0014589B">
        <w:rPr>
          <w:rFonts w:ascii="Times New Roman" w:hAnsi="Times New Roman" w:cs="Times New Roman"/>
          <w:sz w:val="24"/>
          <w:szCs w:val="24"/>
        </w:rPr>
        <w:t>1</w:t>
      </w:r>
      <w:r w:rsidR="001C0BF5">
        <w:rPr>
          <w:rFonts w:ascii="Times New Roman" w:hAnsi="Times New Roman" w:cs="Times New Roman"/>
          <w:sz w:val="24"/>
          <w:szCs w:val="24"/>
        </w:rPr>
        <w:t>.</w:t>
      </w:r>
      <w:r w:rsidR="0014589B">
        <w:rPr>
          <w:rFonts w:ascii="Times New Roman" w:hAnsi="Times New Roman" w:cs="Times New Roman"/>
          <w:sz w:val="24"/>
          <w:szCs w:val="24"/>
        </w:rPr>
        <w:t>º, do Código Civil).</w:t>
      </w:r>
      <w:r w:rsidR="002C5F94">
        <w:rPr>
          <w:rFonts w:ascii="Times New Roman" w:hAnsi="Times New Roman" w:cs="Times New Roman"/>
          <w:sz w:val="24"/>
          <w:szCs w:val="24"/>
        </w:rPr>
        <w:t xml:space="preserve"> </w:t>
      </w:r>
      <w:r w:rsidR="0014589B">
        <w:rPr>
          <w:rFonts w:ascii="Times New Roman" w:hAnsi="Times New Roman" w:cs="Times New Roman"/>
          <w:sz w:val="24"/>
          <w:szCs w:val="24"/>
        </w:rPr>
        <w:t xml:space="preserve">A menção ao impedimento da lavratura perante o Tabelionato de Notas vem em boa hora, visando a impedir a confirmação de atos nulos ou anuláveis. </w:t>
      </w:r>
    </w:p>
    <w:p w:rsidR="0014589B"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 xml:space="preserve">Não havendo </w:t>
      </w:r>
      <w:r w:rsidR="0014589B">
        <w:rPr>
          <w:rFonts w:ascii="Times New Roman" w:hAnsi="Times New Roman" w:cs="Times New Roman"/>
          <w:sz w:val="24"/>
          <w:szCs w:val="24"/>
        </w:rPr>
        <w:t xml:space="preserve">qualquer </w:t>
      </w:r>
      <w:r w:rsidRPr="00D9380E">
        <w:rPr>
          <w:rFonts w:ascii="Times New Roman" w:hAnsi="Times New Roman" w:cs="Times New Roman"/>
          <w:sz w:val="24"/>
          <w:szCs w:val="24"/>
        </w:rPr>
        <w:t>vício, o tabelião de notas submeterá a cédula à anuência do Ministério Público</w:t>
      </w:r>
      <w:r w:rsidR="0014589B">
        <w:rPr>
          <w:rFonts w:ascii="Times New Roman" w:hAnsi="Times New Roman" w:cs="Times New Roman"/>
          <w:sz w:val="24"/>
          <w:szCs w:val="24"/>
        </w:rPr>
        <w:t>. Se houver d</w:t>
      </w:r>
      <w:r w:rsidRPr="00D9380E">
        <w:rPr>
          <w:rFonts w:ascii="Times New Roman" w:hAnsi="Times New Roman" w:cs="Times New Roman"/>
          <w:sz w:val="24"/>
          <w:szCs w:val="24"/>
        </w:rPr>
        <w:t xml:space="preserve">iscordância do último, o tabelião não </w:t>
      </w:r>
      <w:r w:rsidRPr="00D9380E">
        <w:rPr>
          <w:rFonts w:ascii="Times New Roman" w:hAnsi="Times New Roman" w:cs="Times New Roman"/>
          <w:sz w:val="24"/>
          <w:szCs w:val="24"/>
        </w:rPr>
        <w:lastRenderedPageBreak/>
        <w:t>lavrará a escritura</w:t>
      </w:r>
      <w:r w:rsidR="0014589B">
        <w:rPr>
          <w:rFonts w:ascii="Times New Roman" w:hAnsi="Times New Roman" w:cs="Times New Roman"/>
          <w:sz w:val="24"/>
          <w:szCs w:val="24"/>
        </w:rPr>
        <w:t xml:space="preserve"> (§§</w:t>
      </w:r>
      <w:r w:rsidR="00F24B9B">
        <w:rPr>
          <w:rFonts w:ascii="Times New Roman" w:hAnsi="Times New Roman" w:cs="Times New Roman"/>
          <w:sz w:val="24"/>
          <w:szCs w:val="24"/>
        </w:rPr>
        <w:t xml:space="preserve"> </w:t>
      </w:r>
      <w:r w:rsidR="0014589B">
        <w:rPr>
          <w:rFonts w:ascii="Times New Roman" w:hAnsi="Times New Roman" w:cs="Times New Roman"/>
          <w:sz w:val="24"/>
          <w:szCs w:val="24"/>
        </w:rPr>
        <w:t>2</w:t>
      </w:r>
      <w:r w:rsidR="001C0BF5">
        <w:rPr>
          <w:rFonts w:ascii="Times New Roman" w:hAnsi="Times New Roman" w:cs="Times New Roman"/>
          <w:sz w:val="24"/>
          <w:szCs w:val="24"/>
        </w:rPr>
        <w:t>.</w:t>
      </w:r>
      <w:r w:rsidR="0014589B">
        <w:rPr>
          <w:rFonts w:ascii="Times New Roman" w:hAnsi="Times New Roman" w:cs="Times New Roman"/>
          <w:sz w:val="24"/>
          <w:szCs w:val="24"/>
        </w:rPr>
        <w:t>º e 3</w:t>
      </w:r>
      <w:r w:rsidR="001C0BF5">
        <w:rPr>
          <w:rFonts w:ascii="Times New Roman" w:hAnsi="Times New Roman" w:cs="Times New Roman"/>
          <w:sz w:val="24"/>
          <w:szCs w:val="24"/>
        </w:rPr>
        <w:t>.</w:t>
      </w:r>
      <w:r w:rsidR="0014589B">
        <w:rPr>
          <w:rFonts w:ascii="Times New Roman" w:hAnsi="Times New Roman" w:cs="Times New Roman"/>
          <w:sz w:val="24"/>
          <w:szCs w:val="24"/>
        </w:rPr>
        <w:t>º do art. 1.990-A do Código Civil)</w:t>
      </w:r>
      <w:r w:rsidRPr="00D9380E">
        <w:rPr>
          <w:rFonts w:ascii="Times New Roman" w:hAnsi="Times New Roman" w:cs="Times New Roman"/>
          <w:sz w:val="24"/>
          <w:szCs w:val="24"/>
        </w:rPr>
        <w:t xml:space="preserve">. </w:t>
      </w:r>
      <w:r w:rsidR="0014589B">
        <w:rPr>
          <w:rFonts w:ascii="Times New Roman" w:hAnsi="Times New Roman" w:cs="Times New Roman"/>
          <w:sz w:val="24"/>
          <w:szCs w:val="24"/>
        </w:rPr>
        <w:t xml:space="preserve">Como se pode notar, apesar do </w:t>
      </w:r>
      <w:r w:rsidR="00DF5F89">
        <w:rPr>
          <w:rFonts w:ascii="Times New Roman" w:hAnsi="Times New Roman" w:cs="Times New Roman"/>
          <w:sz w:val="24"/>
          <w:szCs w:val="24"/>
        </w:rPr>
        <w:t xml:space="preserve">saudável e necessário </w:t>
      </w:r>
      <w:r w:rsidR="0014589B">
        <w:rPr>
          <w:rFonts w:ascii="Times New Roman" w:hAnsi="Times New Roman" w:cs="Times New Roman"/>
          <w:sz w:val="24"/>
          <w:szCs w:val="24"/>
        </w:rPr>
        <w:t>caminho da extrajudicialização</w:t>
      </w:r>
      <w:r w:rsidR="00F24B9B">
        <w:rPr>
          <w:rFonts w:ascii="Times New Roman" w:hAnsi="Times New Roman" w:cs="Times New Roman"/>
          <w:sz w:val="24"/>
          <w:szCs w:val="24"/>
        </w:rPr>
        <w:t>,</w:t>
      </w:r>
      <w:r w:rsidR="0014589B">
        <w:rPr>
          <w:rFonts w:ascii="Times New Roman" w:hAnsi="Times New Roman" w:cs="Times New Roman"/>
          <w:sz w:val="24"/>
          <w:szCs w:val="24"/>
        </w:rPr>
        <w:t xml:space="preserve"> há um </w:t>
      </w:r>
      <w:r w:rsidR="0014589B" w:rsidRPr="00DF5F89">
        <w:rPr>
          <w:rFonts w:ascii="Times New Roman" w:hAnsi="Times New Roman" w:cs="Times New Roman"/>
          <w:i/>
          <w:sz w:val="24"/>
          <w:szCs w:val="24"/>
        </w:rPr>
        <w:t>duplo controle</w:t>
      </w:r>
      <w:r w:rsidR="0014589B">
        <w:rPr>
          <w:rFonts w:ascii="Times New Roman" w:hAnsi="Times New Roman" w:cs="Times New Roman"/>
          <w:sz w:val="24"/>
          <w:szCs w:val="24"/>
        </w:rPr>
        <w:t xml:space="preserve"> de validade do ato testamentário, pelo tabelião e pelo membro do Ministério Público</w:t>
      </w:r>
      <w:r w:rsidR="00DF5F89">
        <w:rPr>
          <w:rFonts w:ascii="Times New Roman" w:hAnsi="Times New Roman" w:cs="Times New Roman"/>
          <w:sz w:val="24"/>
          <w:szCs w:val="24"/>
        </w:rPr>
        <w:t>, conforme prevaleceu na Comissão de Juristas</w:t>
      </w:r>
      <w:r w:rsidR="0014589B">
        <w:rPr>
          <w:rFonts w:ascii="Times New Roman" w:hAnsi="Times New Roman" w:cs="Times New Roman"/>
          <w:sz w:val="24"/>
          <w:szCs w:val="24"/>
        </w:rPr>
        <w:t xml:space="preserve">. </w:t>
      </w:r>
    </w:p>
    <w:p w:rsidR="0014589B" w:rsidRDefault="00D9380E" w:rsidP="00D9380E">
      <w:pPr>
        <w:pStyle w:val="t"/>
        <w:spacing w:before="120" w:after="120" w:line="360" w:lineRule="auto"/>
        <w:ind w:firstLine="1701"/>
        <w:rPr>
          <w:rFonts w:ascii="Times New Roman" w:hAnsi="Times New Roman" w:cs="Times New Roman"/>
          <w:sz w:val="24"/>
          <w:szCs w:val="24"/>
        </w:rPr>
      </w:pPr>
      <w:r w:rsidRPr="00D9380E">
        <w:rPr>
          <w:rFonts w:ascii="Times New Roman" w:hAnsi="Times New Roman" w:cs="Times New Roman"/>
          <w:sz w:val="24"/>
          <w:szCs w:val="24"/>
        </w:rPr>
        <w:t>A aprovação das propostas representa um pleito antigo, sobretudo da doutrina especializada do Direito das Sucessões Brasileiro</w:t>
      </w:r>
      <w:r w:rsidR="0014589B">
        <w:rPr>
          <w:rFonts w:ascii="Times New Roman" w:hAnsi="Times New Roman" w:cs="Times New Roman"/>
          <w:sz w:val="24"/>
          <w:szCs w:val="24"/>
        </w:rPr>
        <w:t>, sendo imperiosa a sua aprovação pelo Parlamento Brasileiro</w:t>
      </w:r>
      <w:r w:rsidRPr="00D9380E">
        <w:rPr>
          <w:rFonts w:ascii="Times New Roman" w:hAnsi="Times New Roman" w:cs="Times New Roman"/>
          <w:sz w:val="24"/>
          <w:szCs w:val="24"/>
        </w:rPr>
        <w:t>.</w:t>
      </w:r>
      <w:r w:rsidR="0014589B">
        <w:rPr>
          <w:rFonts w:ascii="Times New Roman" w:hAnsi="Times New Roman" w:cs="Times New Roman"/>
          <w:sz w:val="24"/>
          <w:szCs w:val="24"/>
        </w:rPr>
        <w:t xml:space="preserve"> </w:t>
      </w:r>
    </w:p>
    <w:p w:rsidR="00B5085B" w:rsidRDefault="0014589B" w:rsidP="0014589B">
      <w:pPr>
        <w:pStyle w:val="t"/>
        <w:spacing w:before="120" w:after="120" w:line="360" w:lineRule="auto"/>
        <w:ind w:firstLine="1701"/>
      </w:pPr>
      <w:r>
        <w:rPr>
          <w:rFonts w:ascii="Times New Roman" w:hAnsi="Times New Roman" w:cs="Times New Roman"/>
          <w:sz w:val="24"/>
          <w:szCs w:val="24"/>
        </w:rPr>
        <w:t xml:space="preserve">Como constou da exposição de motivos elaborada pela subcomissão de Direito das Sucessões </w:t>
      </w:r>
      <w:r w:rsidR="00F24B9B">
        <w:rPr>
          <w:rFonts w:ascii="Times New Roman" w:hAnsi="Times New Roman" w:cs="Times New Roman"/>
          <w:sz w:val="24"/>
          <w:szCs w:val="24"/>
        </w:rPr>
        <w:t xml:space="preserve">– </w:t>
      </w:r>
      <w:r>
        <w:rPr>
          <w:rFonts w:ascii="Times New Roman" w:hAnsi="Times New Roman" w:cs="Times New Roman"/>
          <w:sz w:val="24"/>
          <w:szCs w:val="24"/>
        </w:rPr>
        <w:t>formada pelos Professores Mario Luiz Delgado, Giselda Hironaka e Gustavo Tepedino, e também pelo Ministro Asfor Rocha</w:t>
      </w:r>
      <w:r w:rsidR="00DF5F89">
        <w:rPr>
          <w:rFonts w:ascii="Times New Roman" w:hAnsi="Times New Roman" w:cs="Times New Roman"/>
          <w:sz w:val="24"/>
          <w:szCs w:val="24"/>
        </w:rPr>
        <w:t xml:space="preserve">, que estão entre os maiores </w:t>
      </w:r>
      <w:r w:rsidR="00DF5F89" w:rsidRPr="00DF5F89">
        <w:rPr>
          <w:rFonts w:ascii="Times New Roman" w:hAnsi="Times New Roman" w:cs="Times New Roman"/>
          <w:i/>
          <w:sz w:val="24"/>
          <w:szCs w:val="24"/>
        </w:rPr>
        <w:t>sucessionistas</w:t>
      </w:r>
      <w:r w:rsidR="00DF5F89">
        <w:rPr>
          <w:rFonts w:ascii="Times New Roman" w:hAnsi="Times New Roman" w:cs="Times New Roman"/>
          <w:sz w:val="24"/>
          <w:szCs w:val="24"/>
        </w:rPr>
        <w:t xml:space="preserve"> da atualidade</w:t>
      </w:r>
      <w:r>
        <w:rPr>
          <w:rFonts w:ascii="Times New Roman" w:hAnsi="Times New Roman" w:cs="Times New Roman"/>
          <w:sz w:val="24"/>
          <w:szCs w:val="24"/>
        </w:rPr>
        <w:t xml:space="preserve"> </w:t>
      </w:r>
      <w:r w:rsidR="00F24B9B">
        <w:rPr>
          <w:rFonts w:ascii="Times New Roman" w:hAnsi="Times New Roman" w:cs="Times New Roman"/>
          <w:sz w:val="24"/>
          <w:szCs w:val="24"/>
        </w:rPr>
        <w:t xml:space="preserve">–, </w:t>
      </w:r>
      <w:r>
        <w:rPr>
          <w:rFonts w:ascii="Times New Roman" w:hAnsi="Times New Roman" w:cs="Times New Roman"/>
          <w:sz w:val="24"/>
          <w:szCs w:val="24"/>
        </w:rPr>
        <w:t>almeja-se com o projeto a "</w:t>
      </w:r>
      <w:r w:rsidRPr="0014589B">
        <w:rPr>
          <w:rFonts w:ascii="Times New Roman" w:hAnsi="Times New Roman" w:cs="Times New Roman"/>
          <w:sz w:val="24"/>
          <w:szCs w:val="24"/>
        </w:rPr>
        <w:t>simplificação e desjudicialização dos procedimentos</w:t>
      </w:r>
      <w:r>
        <w:rPr>
          <w:rFonts w:ascii="Times New Roman" w:hAnsi="Times New Roman" w:cs="Times New Roman"/>
          <w:sz w:val="24"/>
          <w:szCs w:val="24"/>
        </w:rPr>
        <w:t>"</w:t>
      </w:r>
      <w:r w:rsidR="00DF5F89">
        <w:rPr>
          <w:rFonts w:ascii="Times New Roman" w:hAnsi="Times New Roman" w:cs="Times New Roman"/>
          <w:sz w:val="24"/>
          <w:szCs w:val="24"/>
        </w:rPr>
        <w:t xml:space="preserve"> do inventário</w:t>
      </w:r>
      <w:r w:rsidRPr="0014589B">
        <w:rPr>
          <w:rFonts w:ascii="Times New Roman" w:hAnsi="Times New Roman" w:cs="Times New Roman"/>
          <w:sz w:val="24"/>
          <w:szCs w:val="24"/>
        </w:rPr>
        <w:t xml:space="preserve">, </w:t>
      </w:r>
      <w:r>
        <w:rPr>
          <w:rFonts w:ascii="Times New Roman" w:hAnsi="Times New Roman" w:cs="Times New Roman"/>
          <w:sz w:val="24"/>
          <w:szCs w:val="24"/>
        </w:rPr>
        <w:t>estando entre eles justamente a "de</w:t>
      </w:r>
      <w:r w:rsidRPr="0014589B">
        <w:rPr>
          <w:rFonts w:ascii="Times New Roman" w:hAnsi="Times New Roman" w:cs="Times New Roman"/>
          <w:sz w:val="24"/>
          <w:szCs w:val="24"/>
        </w:rPr>
        <w:t>sjudicialização do procedimento de abertura, registro e cumprimento do testamento</w:t>
      </w:r>
      <w:r>
        <w:rPr>
          <w:rFonts w:ascii="Times New Roman" w:hAnsi="Times New Roman" w:cs="Times New Roman"/>
          <w:sz w:val="24"/>
          <w:szCs w:val="24"/>
        </w:rPr>
        <w:t>"</w:t>
      </w:r>
      <w:r w:rsidRPr="0014589B">
        <w:rPr>
          <w:rFonts w:ascii="Times New Roman" w:hAnsi="Times New Roman" w:cs="Times New Roman"/>
          <w:sz w:val="24"/>
          <w:szCs w:val="24"/>
        </w:rPr>
        <w:t>.</w:t>
      </w:r>
      <w:r>
        <w:rPr>
          <w:rFonts w:ascii="Times New Roman" w:hAnsi="Times New Roman" w:cs="Times New Roman"/>
          <w:sz w:val="24"/>
          <w:szCs w:val="24"/>
        </w:rPr>
        <w:t xml:space="preserve"> Aguardemos, portanto, a sua </w:t>
      </w:r>
      <w:r w:rsidR="00DF5F89">
        <w:rPr>
          <w:rFonts w:ascii="Times New Roman" w:hAnsi="Times New Roman" w:cs="Times New Roman"/>
          <w:sz w:val="24"/>
          <w:szCs w:val="24"/>
        </w:rPr>
        <w:t xml:space="preserve">necessária e até mesmo urgente </w:t>
      </w:r>
      <w:r>
        <w:rPr>
          <w:rFonts w:ascii="Times New Roman" w:hAnsi="Times New Roman" w:cs="Times New Roman"/>
          <w:sz w:val="24"/>
          <w:szCs w:val="24"/>
        </w:rPr>
        <w:t>aprovação no âmbito do nosso Poder Legislativo.</w:t>
      </w:r>
      <w:r w:rsidR="002C5F94">
        <w:rPr>
          <w:rFonts w:ascii="Times New Roman" w:hAnsi="Times New Roman" w:cs="Times New Roman"/>
          <w:sz w:val="24"/>
          <w:szCs w:val="24"/>
        </w:rPr>
        <w:t xml:space="preserve"> </w:t>
      </w:r>
    </w:p>
    <w:p w:rsidR="00B5085B" w:rsidRPr="00B5085B" w:rsidRDefault="00B5085B" w:rsidP="00B5085B">
      <w:pPr>
        <w:rPr>
          <w:lang w:eastAsia="pt-BR"/>
        </w:rPr>
      </w:pPr>
    </w:p>
    <w:sectPr w:rsidR="00B5085B" w:rsidRPr="00B5085B" w:rsidSect="007F14FB">
      <w:footerReference w:type="default" r:id="rId8"/>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658C503" w15:done="0"/>
  <w15:commentEx w15:paraId="1161B774" w15:done="0"/>
  <w15:commentEx w15:paraId="388C1E03" w15:done="0"/>
  <w15:commentEx w15:paraId="2D1EFFAD" w15:done="0"/>
  <w15:commentEx w15:paraId="61CD525C" w15:done="0"/>
  <w15:commentEx w15:paraId="5AC629ED" w15:done="0"/>
  <w15:commentEx w15:paraId="6C3C9F3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D559475" w16cex:dateUtc="2025-09-19T11:32:00Z"/>
  <w16cex:commentExtensible w16cex:durableId="05AD5AD6" w16cex:dateUtc="2025-09-19T11:37:00Z"/>
  <w16cex:commentExtensible w16cex:durableId="343E56A9" w16cex:dateUtc="2025-09-19T11:36:00Z"/>
  <w16cex:commentExtensible w16cex:durableId="1F25AB1E" w16cex:dateUtc="2025-09-19T11:17:00Z"/>
  <w16cex:commentExtensible w16cex:durableId="331572B6" w16cex:dateUtc="2025-09-19T11:10:00Z"/>
  <w16cex:commentExtensible w16cex:durableId="4EF7B28A" w16cex:dateUtc="2025-09-19T11:42:00Z"/>
  <w16cex:commentExtensible w16cex:durableId="50B09A41" w16cex:dateUtc="2025-09-19T11: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658C503" w16cid:durableId="3D559475"/>
  <w16cid:commentId w16cid:paraId="1161B774" w16cid:durableId="05AD5AD6"/>
  <w16cid:commentId w16cid:paraId="388C1E03" w16cid:durableId="343E56A9"/>
  <w16cid:commentId w16cid:paraId="2D1EFFAD" w16cid:durableId="1F25AB1E"/>
  <w16cid:commentId w16cid:paraId="61CD525C" w16cid:durableId="331572B6"/>
  <w16cid:commentId w16cid:paraId="5AC629ED" w16cid:durableId="4EF7B28A"/>
  <w16cid:commentId w16cid:paraId="6C3C9F3E" w16cid:durableId="50B09A41"/>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70DB" w:rsidRDefault="00FC70DB" w:rsidP="00B15AD0">
      <w:pPr>
        <w:spacing w:after="0" w:line="240" w:lineRule="auto"/>
      </w:pPr>
      <w:r>
        <w:separator/>
      </w:r>
    </w:p>
  </w:endnote>
  <w:endnote w:type="continuationSeparator" w:id="0">
    <w:p w:rsidR="00FC70DB" w:rsidRDefault="00FC70DB"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Times New Roman"/>
    <w:panose1 w:val="00000000000000000000"/>
    <w:charset w:val="00"/>
    <w:family w:val="roman"/>
    <w:notTrueType/>
    <w:pitch w:val="default"/>
    <w:sig w:usb0="00000000" w:usb1="00000000" w:usb2="00000000" w:usb3="00000000" w:csb0="00000000"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mbria"/>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696537" w:rsidRDefault="00C650C5">
        <w:pPr>
          <w:pStyle w:val="Rodap"/>
          <w:jc w:val="right"/>
        </w:pPr>
        <w:r>
          <w:fldChar w:fldCharType="begin"/>
        </w:r>
        <w:r w:rsidR="00DF5F89">
          <w:instrText xml:space="preserve"> PAGE   \* MERGEFORMAT </w:instrText>
        </w:r>
        <w:r>
          <w:fldChar w:fldCharType="separate"/>
        </w:r>
        <w:r w:rsidR="00BB144D">
          <w:rPr>
            <w:noProof/>
          </w:rPr>
          <w:t>1</w:t>
        </w:r>
        <w:r>
          <w:rPr>
            <w:noProof/>
          </w:rPr>
          <w:fldChar w:fldCharType="end"/>
        </w:r>
      </w:p>
    </w:sdtContent>
  </w:sdt>
  <w:p w:rsidR="00696537" w:rsidRDefault="00696537">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70DB" w:rsidRDefault="00FC70DB" w:rsidP="00B15AD0">
      <w:pPr>
        <w:spacing w:after="0" w:line="240" w:lineRule="auto"/>
      </w:pPr>
      <w:r>
        <w:separator/>
      </w:r>
    </w:p>
  </w:footnote>
  <w:footnote w:type="continuationSeparator" w:id="0">
    <w:p w:rsidR="00FC70DB" w:rsidRDefault="00FC70DB" w:rsidP="00B15AD0">
      <w:pPr>
        <w:spacing w:after="0" w:line="240" w:lineRule="auto"/>
      </w:pPr>
      <w:r>
        <w:continuationSeparator/>
      </w:r>
    </w:p>
  </w:footnote>
  <w:footnote w:id="1">
    <w:p w:rsidR="00696537" w:rsidRPr="00197971" w:rsidRDefault="00696537"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4"/>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36E1"/>
    <w:rsid w:val="001B45D7"/>
    <w:rsid w:val="001B648E"/>
    <w:rsid w:val="001C0BF5"/>
    <w:rsid w:val="001C20B6"/>
    <w:rsid w:val="001C3F9C"/>
    <w:rsid w:val="001D10F0"/>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0AAC"/>
    <w:rsid w:val="00275DC5"/>
    <w:rsid w:val="0027678B"/>
    <w:rsid w:val="0027700F"/>
    <w:rsid w:val="002809A2"/>
    <w:rsid w:val="002876ED"/>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E0A51"/>
    <w:rsid w:val="002E174E"/>
    <w:rsid w:val="002E2013"/>
    <w:rsid w:val="002F013F"/>
    <w:rsid w:val="002F1032"/>
    <w:rsid w:val="002F1277"/>
    <w:rsid w:val="002F6BCE"/>
    <w:rsid w:val="00310780"/>
    <w:rsid w:val="00311DC8"/>
    <w:rsid w:val="003156EB"/>
    <w:rsid w:val="00316B68"/>
    <w:rsid w:val="00331477"/>
    <w:rsid w:val="003358E3"/>
    <w:rsid w:val="00341469"/>
    <w:rsid w:val="00341F09"/>
    <w:rsid w:val="00351820"/>
    <w:rsid w:val="00354174"/>
    <w:rsid w:val="00356BC1"/>
    <w:rsid w:val="00357109"/>
    <w:rsid w:val="0038223F"/>
    <w:rsid w:val="003869F0"/>
    <w:rsid w:val="00394C9F"/>
    <w:rsid w:val="003964F7"/>
    <w:rsid w:val="003A2D67"/>
    <w:rsid w:val="003B0F36"/>
    <w:rsid w:val="003C0ADC"/>
    <w:rsid w:val="003D1130"/>
    <w:rsid w:val="003D758C"/>
    <w:rsid w:val="003E6BFA"/>
    <w:rsid w:val="00416565"/>
    <w:rsid w:val="00416BAE"/>
    <w:rsid w:val="00420F7D"/>
    <w:rsid w:val="00421AAD"/>
    <w:rsid w:val="004231D8"/>
    <w:rsid w:val="004263CC"/>
    <w:rsid w:val="00440E97"/>
    <w:rsid w:val="0044129B"/>
    <w:rsid w:val="00451CC8"/>
    <w:rsid w:val="00461BBB"/>
    <w:rsid w:val="00463CAE"/>
    <w:rsid w:val="0046464F"/>
    <w:rsid w:val="00465B35"/>
    <w:rsid w:val="004702C9"/>
    <w:rsid w:val="00473561"/>
    <w:rsid w:val="00475A7F"/>
    <w:rsid w:val="004B0CC8"/>
    <w:rsid w:val="004B1ABA"/>
    <w:rsid w:val="004C28CC"/>
    <w:rsid w:val="004C2B01"/>
    <w:rsid w:val="004C6CAD"/>
    <w:rsid w:val="004D192A"/>
    <w:rsid w:val="004D3C8B"/>
    <w:rsid w:val="004F108D"/>
    <w:rsid w:val="004F5A0C"/>
    <w:rsid w:val="00505C0B"/>
    <w:rsid w:val="00505F81"/>
    <w:rsid w:val="00510D5E"/>
    <w:rsid w:val="0051186F"/>
    <w:rsid w:val="00513172"/>
    <w:rsid w:val="00520F3F"/>
    <w:rsid w:val="00521AD5"/>
    <w:rsid w:val="00525923"/>
    <w:rsid w:val="005264F9"/>
    <w:rsid w:val="00540A1C"/>
    <w:rsid w:val="00550067"/>
    <w:rsid w:val="00551126"/>
    <w:rsid w:val="00552DBC"/>
    <w:rsid w:val="00554A9A"/>
    <w:rsid w:val="00555174"/>
    <w:rsid w:val="00560AB1"/>
    <w:rsid w:val="00565371"/>
    <w:rsid w:val="00572FB3"/>
    <w:rsid w:val="005803EC"/>
    <w:rsid w:val="00581D80"/>
    <w:rsid w:val="00582E0D"/>
    <w:rsid w:val="0058340B"/>
    <w:rsid w:val="005937B9"/>
    <w:rsid w:val="005A0224"/>
    <w:rsid w:val="005A1CA7"/>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67E7"/>
    <w:rsid w:val="00606C96"/>
    <w:rsid w:val="00610691"/>
    <w:rsid w:val="00613516"/>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74CF0"/>
    <w:rsid w:val="00684049"/>
    <w:rsid w:val="00684EAE"/>
    <w:rsid w:val="00687D4D"/>
    <w:rsid w:val="00687F6F"/>
    <w:rsid w:val="00692442"/>
    <w:rsid w:val="006931D3"/>
    <w:rsid w:val="00693231"/>
    <w:rsid w:val="0069517F"/>
    <w:rsid w:val="00696537"/>
    <w:rsid w:val="006A1DE3"/>
    <w:rsid w:val="006A24C2"/>
    <w:rsid w:val="006A3397"/>
    <w:rsid w:val="006A4626"/>
    <w:rsid w:val="006A67A7"/>
    <w:rsid w:val="006B0194"/>
    <w:rsid w:val="006B4DC9"/>
    <w:rsid w:val="006B64C9"/>
    <w:rsid w:val="006D2259"/>
    <w:rsid w:val="006D389F"/>
    <w:rsid w:val="006E0C8C"/>
    <w:rsid w:val="006E1F16"/>
    <w:rsid w:val="006E434B"/>
    <w:rsid w:val="006F666B"/>
    <w:rsid w:val="006F7018"/>
    <w:rsid w:val="007018A3"/>
    <w:rsid w:val="0070682D"/>
    <w:rsid w:val="00711BF6"/>
    <w:rsid w:val="0071408C"/>
    <w:rsid w:val="007154AD"/>
    <w:rsid w:val="007161E4"/>
    <w:rsid w:val="007318C7"/>
    <w:rsid w:val="00741F35"/>
    <w:rsid w:val="00747200"/>
    <w:rsid w:val="0075158E"/>
    <w:rsid w:val="007522CF"/>
    <w:rsid w:val="00752FEE"/>
    <w:rsid w:val="00771074"/>
    <w:rsid w:val="007745E9"/>
    <w:rsid w:val="00777567"/>
    <w:rsid w:val="00777A2F"/>
    <w:rsid w:val="0078277B"/>
    <w:rsid w:val="00783334"/>
    <w:rsid w:val="00786CE4"/>
    <w:rsid w:val="007914E9"/>
    <w:rsid w:val="0079684D"/>
    <w:rsid w:val="007A0FB1"/>
    <w:rsid w:val="007A1060"/>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51514"/>
    <w:rsid w:val="00852DEB"/>
    <w:rsid w:val="008674E3"/>
    <w:rsid w:val="00867E84"/>
    <w:rsid w:val="00880709"/>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368C3"/>
    <w:rsid w:val="009464A7"/>
    <w:rsid w:val="00946888"/>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B666C"/>
    <w:rsid w:val="009B75BF"/>
    <w:rsid w:val="009C00DA"/>
    <w:rsid w:val="009C3361"/>
    <w:rsid w:val="009C4399"/>
    <w:rsid w:val="009C5018"/>
    <w:rsid w:val="009D12E8"/>
    <w:rsid w:val="009D6C03"/>
    <w:rsid w:val="009E1D79"/>
    <w:rsid w:val="009E65DC"/>
    <w:rsid w:val="009F594A"/>
    <w:rsid w:val="009F6476"/>
    <w:rsid w:val="00A01D37"/>
    <w:rsid w:val="00A02347"/>
    <w:rsid w:val="00A07A6F"/>
    <w:rsid w:val="00A1091B"/>
    <w:rsid w:val="00A109C6"/>
    <w:rsid w:val="00A10A11"/>
    <w:rsid w:val="00A15C1C"/>
    <w:rsid w:val="00A17286"/>
    <w:rsid w:val="00A20C07"/>
    <w:rsid w:val="00A21CE5"/>
    <w:rsid w:val="00A2489D"/>
    <w:rsid w:val="00A327F6"/>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2C9B"/>
    <w:rsid w:val="00B83A19"/>
    <w:rsid w:val="00B87B12"/>
    <w:rsid w:val="00B92183"/>
    <w:rsid w:val="00B92548"/>
    <w:rsid w:val="00B92F1F"/>
    <w:rsid w:val="00B96D42"/>
    <w:rsid w:val="00B975F2"/>
    <w:rsid w:val="00BA5F05"/>
    <w:rsid w:val="00BB144D"/>
    <w:rsid w:val="00BB541E"/>
    <w:rsid w:val="00BB60D6"/>
    <w:rsid w:val="00BC1801"/>
    <w:rsid w:val="00BC23E3"/>
    <w:rsid w:val="00BC3E67"/>
    <w:rsid w:val="00BD35D8"/>
    <w:rsid w:val="00BD40C8"/>
    <w:rsid w:val="00BD437B"/>
    <w:rsid w:val="00BE1CB2"/>
    <w:rsid w:val="00BE49BF"/>
    <w:rsid w:val="00BE77F7"/>
    <w:rsid w:val="00BE7A99"/>
    <w:rsid w:val="00BF18DC"/>
    <w:rsid w:val="00BF7D04"/>
    <w:rsid w:val="00C002DB"/>
    <w:rsid w:val="00C11874"/>
    <w:rsid w:val="00C31189"/>
    <w:rsid w:val="00C404EB"/>
    <w:rsid w:val="00C45AC9"/>
    <w:rsid w:val="00C53FB9"/>
    <w:rsid w:val="00C55C23"/>
    <w:rsid w:val="00C55F21"/>
    <w:rsid w:val="00C5797D"/>
    <w:rsid w:val="00C650C5"/>
    <w:rsid w:val="00C73DE8"/>
    <w:rsid w:val="00C75E3D"/>
    <w:rsid w:val="00C81C6B"/>
    <w:rsid w:val="00C81D18"/>
    <w:rsid w:val="00C82083"/>
    <w:rsid w:val="00C92E87"/>
    <w:rsid w:val="00CA24B4"/>
    <w:rsid w:val="00CA27DC"/>
    <w:rsid w:val="00CA41F7"/>
    <w:rsid w:val="00CA5D25"/>
    <w:rsid w:val="00CA6F54"/>
    <w:rsid w:val="00CA7E3B"/>
    <w:rsid w:val="00CB34BC"/>
    <w:rsid w:val="00CC320E"/>
    <w:rsid w:val="00CC5417"/>
    <w:rsid w:val="00CD2BEF"/>
    <w:rsid w:val="00CD50B1"/>
    <w:rsid w:val="00CE43E1"/>
    <w:rsid w:val="00CE63DB"/>
    <w:rsid w:val="00CE7C6D"/>
    <w:rsid w:val="00CF55C8"/>
    <w:rsid w:val="00D01AB6"/>
    <w:rsid w:val="00D0211A"/>
    <w:rsid w:val="00D046C6"/>
    <w:rsid w:val="00D046F1"/>
    <w:rsid w:val="00D07EB8"/>
    <w:rsid w:val="00D13683"/>
    <w:rsid w:val="00D146BD"/>
    <w:rsid w:val="00D166F9"/>
    <w:rsid w:val="00D167BF"/>
    <w:rsid w:val="00D22AC7"/>
    <w:rsid w:val="00D2308A"/>
    <w:rsid w:val="00D26334"/>
    <w:rsid w:val="00D31F45"/>
    <w:rsid w:val="00D373E2"/>
    <w:rsid w:val="00D4240B"/>
    <w:rsid w:val="00D44E5A"/>
    <w:rsid w:val="00D57E74"/>
    <w:rsid w:val="00D57F00"/>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D63"/>
    <w:rsid w:val="00E32682"/>
    <w:rsid w:val="00E35493"/>
    <w:rsid w:val="00E35E71"/>
    <w:rsid w:val="00E36342"/>
    <w:rsid w:val="00E405B6"/>
    <w:rsid w:val="00E4119F"/>
    <w:rsid w:val="00E41630"/>
    <w:rsid w:val="00E52B01"/>
    <w:rsid w:val="00E53BFA"/>
    <w:rsid w:val="00E5446C"/>
    <w:rsid w:val="00E577F6"/>
    <w:rsid w:val="00E611F8"/>
    <w:rsid w:val="00E621E1"/>
    <w:rsid w:val="00E62628"/>
    <w:rsid w:val="00E64137"/>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5673"/>
    <w:rsid w:val="00EE56AE"/>
    <w:rsid w:val="00EE67EA"/>
    <w:rsid w:val="00EF7463"/>
    <w:rsid w:val="00F11002"/>
    <w:rsid w:val="00F17013"/>
    <w:rsid w:val="00F215A0"/>
    <w:rsid w:val="00F24B9B"/>
    <w:rsid w:val="00F2527F"/>
    <w:rsid w:val="00F265DF"/>
    <w:rsid w:val="00F327F5"/>
    <w:rsid w:val="00F33B33"/>
    <w:rsid w:val="00F36722"/>
    <w:rsid w:val="00F374A4"/>
    <w:rsid w:val="00F37CBA"/>
    <w:rsid w:val="00F4508D"/>
    <w:rsid w:val="00F47016"/>
    <w:rsid w:val="00F63D06"/>
    <w:rsid w:val="00F67913"/>
    <w:rsid w:val="00F6792C"/>
    <w:rsid w:val="00F857F3"/>
    <w:rsid w:val="00F95D83"/>
    <w:rsid w:val="00F97FE1"/>
    <w:rsid w:val="00FA4B9B"/>
    <w:rsid w:val="00FA5943"/>
    <w:rsid w:val="00FB11D8"/>
    <w:rsid w:val="00FB52CB"/>
    <w:rsid w:val="00FC17DC"/>
    <w:rsid w:val="00FC70DB"/>
    <w:rsid w:val="00FD72D8"/>
    <w:rsid w:val="00FE20A8"/>
    <w:rsid w:val="00FE3106"/>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74BC2-A1F1-468E-BD00-82FDB5F6C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2327</Words>
  <Characters>12571</Characters>
  <Application>Microsoft Office Word</Application>
  <DocSecurity>0</DocSecurity>
  <Lines>104</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2</cp:revision>
  <dcterms:created xsi:type="dcterms:W3CDTF">2025-09-19T13:04:00Z</dcterms:created>
  <dcterms:modified xsi:type="dcterms:W3CDTF">2025-09-19T13:04:00Z</dcterms:modified>
</cp:coreProperties>
</file>