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F5589" w14:textId="106E7209" w:rsidR="002B77B1" w:rsidRPr="00506A24" w:rsidRDefault="00D61255" w:rsidP="001F0B30">
      <w:pPr>
        <w:spacing w:before="120" w:after="120" w:line="360" w:lineRule="auto"/>
        <w:jc w:val="center"/>
        <w:rPr>
          <w:rFonts w:ascii="Times New Roman" w:hAnsi="Times New Roman" w:cs="Times New Roman"/>
          <w:b/>
          <w:bCs/>
          <w:sz w:val="24"/>
          <w:szCs w:val="24"/>
        </w:rPr>
      </w:pPr>
      <w:r w:rsidRPr="00506A24">
        <w:rPr>
          <w:rFonts w:ascii="Times New Roman" w:hAnsi="Times New Roman" w:cs="Times New Roman"/>
          <w:b/>
          <w:bCs/>
          <w:sz w:val="24"/>
          <w:szCs w:val="24"/>
        </w:rPr>
        <w:t>DIREITO CIVIL DIGITAL</w:t>
      </w:r>
      <w:r w:rsidR="00DB007B">
        <w:rPr>
          <w:rFonts w:ascii="Times New Roman" w:hAnsi="Times New Roman" w:cs="Times New Roman"/>
          <w:b/>
          <w:bCs/>
          <w:sz w:val="24"/>
          <w:szCs w:val="24"/>
        </w:rPr>
        <w:t xml:space="preserve">, DIREITO DE FAMÍLIA E DAS SUCESSÕES: </w:t>
      </w:r>
      <w:r w:rsidR="005A13B2">
        <w:rPr>
          <w:rFonts w:ascii="Times New Roman" w:hAnsi="Times New Roman" w:cs="Times New Roman"/>
          <w:b/>
          <w:bCs/>
          <w:sz w:val="24"/>
          <w:szCs w:val="24"/>
        </w:rPr>
        <w:t xml:space="preserve">ESCRITURAS PÚBLICAS DIGITAIS </w:t>
      </w:r>
      <w:r w:rsidR="00DB007B">
        <w:rPr>
          <w:rFonts w:ascii="Times New Roman" w:hAnsi="Times New Roman" w:cs="Times New Roman"/>
          <w:b/>
          <w:bCs/>
          <w:sz w:val="24"/>
          <w:szCs w:val="24"/>
        </w:rPr>
        <w:t xml:space="preserve"> E </w:t>
      </w:r>
      <w:r w:rsidR="00DB007B" w:rsidRPr="00DB007B">
        <w:rPr>
          <w:rFonts w:ascii="Times New Roman" w:hAnsi="Times New Roman" w:cs="Times New Roman"/>
          <w:b/>
          <w:bCs/>
          <w:i/>
          <w:iCs/>
          <w:sz w:val="24"/>
          <w:szCs w:val="24"/>
        </w:rPr>
        <w:t>E-NOTARIADO</w:t>
      </w:r>
      <w:r w:rsidR="00DB007B">
        <w:rPr>
          <w:rFonts w:ascii="Times New Roman" w:hAnsi="Times New Roman" w:cs="Times New Roman"/>
          <w:b/>
          <w:bCs/>
          <w:sz w:val="24"/>
          <w:szCs w:val="24"/>
        </w:rPr>
        <w:t xml:space="preserve">. </w:t>
      </w:r>
    </w:p>
    <w:p w14:paraId="46E130DA" w14:textId="77777777" w:rsidR="00CC320E" w:rsidRPr="00506A24" w:rsidRDefault="00CC320E" w:rsidP="009661A3">
      <w:pPr>
        <w:spacing w:before="120" w:after="120" w:line="360" w:lineRule="auto"/>
        <w:jc w:val="right"/>
        <w:rPr>
          <w:rFonts w:ascii="Times New Roman" w:hAnsi="Times New Roman" w:cs="Times New Roman"/>
          <w:bCs/>
          <w:sz w:val="24"/>
          <w:szCs w:val="24"/>
        </w:rPr>
      </w:pPr>
    </w:p>
    <w:p w14:paraId="481BEAFE" w14:textId="77777777" w:rsidR="00805969" w:rsidRPr="00506A24" w:rsidRDefault="00B15AD0" w:rsidP="009661A3">
      <w:pPr>
        <w:spacing w:before="120" w:after="120" w:line="360" w:lineRule="auto"/>
        <w:jc w:val="right"/>
        <w:rPr>
          <w:rFonts w:ascii="Times New Roman" w:hAnsi="Times New Roman" w:cs="Times New Roman"/>
          <w:bCs/>
          <w:sz w:val="24"/>
          <w:szCs w:val="24"/>
        </w:rPr>
      </w:pPr>
      <w:r w:rsidRPr="00506A24">
        <w:rPr>
          <w:rFonts w:ascii="Times New Roman" w:hAnsi="Times New Roman" w:cs="Times New Roman"/>
          <w:bCs/>
          <w:sz w:val="24"/>
          <w:szCs w:val="24"/>
        </w:rPr>
        <w:t>Flávio Tartuce</w:t>
      </w:r>
      <w:r w:rsidRPr="00506A24">
        <w:rPr>
          <w:rFonts w:ascii="Times New Roman" w:hAnsi="Times New Roman" w:cs="Times New Roman"/>
          <w:bCs/>
          <w:sz w:val="24"/>
          <w:szCs w:val="24"/>
          <w:vertAlign w:val="superscript"/>
        </w:rPr>
        <w:footnoteReference w:id="1"/>
      </w:r>
    </w:p>
    <w:p w14:paraId="7212FD45" w14:textId="77777777" w:rsidR="00E35B34" w:rsidRDefault="00E35B34" w:rsidP="00DB007B">
      <w:pPr>
        <w:pStyle w:val="t"/>
        <w:spacing w:before="120" w:after="120" w:line="360" w:lineRule="auto"/>
        <w:ind w:firstLine="1701"/>
        <w:rPr>
          <w:rFonts w:ascii="Times New Roman" w:hAnsi="Times New Roman" w:cs="Times New Roman"/>
          <w:sz w:val="24"/>
          <w:szCs w:val="24"/>
        </w:rPr>
      </w:pPr>
    </w:p>
    <w:p w14:paraId="322E7DE8" w14:textId="025C3A02" w:rsidR="00743A0D" w:rsidRDefault="00DB007B" w:rsidP="00743A0D">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Encerro</w:t>
      </w:r>
      <w:r w:rsidR="00BB6BEE">
        <w:rPr>
          <w:rFonts w:ascii="Times New Roman" w:hAnsi="Times New Roman" w:cs="Times New Roman"/>
          <w:sz w:val="24"/>
          <w:szCs w:val="24"/>
        </w:rPr>
        <w:t>,</w:t>
      </w:r>
      <w:r>
        <w:rPr>
          <w:rFonts w:ascii="Times New Roman" w:hAnsi="Times New Roman" w:cs="Times New Roman"/>
          <w:sz w:val="24"/>
          <w:szCs w:val="24"/>
        </w:rPr>
        <w:t xml:space="preserve"> com o presente texto</w:t>
      </w:r>
      <w:r w:rsidR="00BB6BEE">
        <w:rPr>
          <w:rFonts w:ascii="Times New Roman" w:hAnsi="Times New Roman" w:cs="Times New Roman"/>
          <w:sz w:val="24"/>
          <w:szCs w:val="24"/>
        </w:rPr>
        <w:t>,</w:t>
      </w:r>
      <w:r>
        <w:rPr>
          <w:rFonts w:ascii="Times New Roman" w:hAnsi="Times New Roman" w:cs="Times New Roman"/>
          <w:sz w:val="24"/>
          <w:szCs w:val="24"/>
        </w:rPr>
        <w:t xml:space="preserve"> uma série de artigos de análise de alguns impactos do Direito Civil Digital para o Direito de Família e das Sucessões. Nesta oportunidade, tratarei </w:t>
      </w:r>
      <w:r w:rsidR="00A10C05">
        <w:rPr>
          <w:rFonts w:ascii="Times New Roman" w:hAnsi="Times New Roman" w:cs="Times New Roman"/>
          <w:sz w:val="24"/>
          <w:szCs w:val="24"/>
        </w:rPr>
        <w:t xml:space="preserve">da elaboração de escrituras públicas digitais - como se dá em casos de testamentos públicos, divórcios, dissoluções de união estável, separações de fato, inventários e partilhas -, pelo chamado </w:t>
      </w:r>
      <w:r w:rsidR="00A10C05" w:rsidRPr="00A10C05">
        <w:rPr>
          <w:rFonts w:ascii="Times New Roman" w:hAnsi="Times New Roman" w:cs="Times New Roman"/>
          <w:i/>
          <w:sz w:val="24"/>
          <w:szCs w:val="24"/>
        </w:rPr>
        <w:t>e-notariado.</w:t>
      </w:r>
      <w:r w:rsidR="00A10C05">
        <w:rPr>
          <w:rFonts w:ascii="Times New Roman" w:hAnsi="Times New Roman" w:cs="Times New Roman"/>
          <w:sz w:val="24"/>
          <w:szCs w:val="24"/>
        </w:rPr>
        <w:t xml:space="preserve"> </w:t>
      </w:r>
    </w:p>
    <w:p w14:paraId="6F3C95FF" w14:textId="3B1866DA" w:rsidR="00743A0D" w:rsidRDefault="00743A0D" w:rsidP="00743A0D">
      <w:pPr>
        <w:pStyle w:val="t"/>
        <w:spacing w:before="120" w:after="120" w:line="360" w:lineRule="auto"/>
        <w:ind w:firstLine="1701"/>
        <w:rPr>
          <w:kern w:val="2"/>
          <w14:ligatures w14:val="standardContextual"/>
        </w:rPr>
      </w:pPr>
      <w:r>
        <w:rPr>
          <w:rFonts w:ascii="Times New Roman" w:hAnsi="Times New Roman"/>
          <w:sz w:val="24"/>
          <w:szCs w:val="24"/>
        </w:rPr>
        <w:t>Inicio este texto lembrando que, em meio à pandemia de Covid-19, o anterior Provimento n. 100 do Conselho Nacional de Justiça, de maio de 2020, passou a possibilitar que a escritura pública seja feita pela via eletrônica, trazendo requisitos adicionais de validade quando a instrumentalização for feita digitalmente, além daqueles previstos no art. 104 do Código Civil e em outras normas jurídicas.</w:t>
      </w:r>
    </w:p>
    <w:p w14:paraId="283391F8" w14:textId="77777777" w:rsidR="00743A0D" w:rsidRDefault="00DB007B" w:rsidP="0058676A">
      <w:pPr>
        <w:pStyle w:val="t"/>
        <w:spacing w:before="120" w:after="120" w:line="360" w:lineRule="auto"/>
        <w:ind w:firstLine="1701"/>
        <w:rPr>
          <w:rFonts w:ascii="Times New Roman" w:hAnsi="Times New Roman" w:cs="Times New Roman"/>
          <w:spacing w:val="-2"/>
          <w:sz w:val="24"/>
          <w:szCs w:val="24"/>
        </w:rPr>
      </w:pPr>
      <w:r w:rsidRPr="00DB007B">
        <w:rPr>
          <w:rFonts w:ascii="Times New Roman" w:hAnsi="Times New Roman" w:cs="Times New Roman"/>
          <w:spacing w:val="-2"/>
          <w:sz w:val="24"/>
          <w:szCs w:val="24"/>
        </w:rPr>
        <w:t xml:space="preserve">Em 2023, o seu conteúdo foi </w:t>
      </w:r>
      <w:r w:rsidR="00A10C05">
        <w:rPr>
          <w:rFonts w:ascii="Times New Roman" w:hAnsi="Times New Roman" w:cs="Times New Roman"/>
          <w:spacing w:val="-2"/>
          <w:sz w:val="24"/>
          <w:szCs w:val="24"/>
        </w:rPr>
        <w:t xml:space="preserve">integralmente </w:t>
      </w:r>
      <w:r w:rsidRPr="00DB007B">
        <w:rPr>
          <w:rFonts w:ascii="Times New Roman" w:hAnsi="Times New Roman" w:cs="Times New Roman"/>
          <w:spacing w:val="-2"/>
          <w:sz w:val="24"/>
          <w:szCs w:val="24"/>
        </w:rPr>
        <w:t xml:space="preserve">incorporado pelo Código Nacional de Normas do </w:t>
      </w:r>
      <w:r w:rsidR="00A10C05">
        <w:rPr>
          <w:rFonts w:ascii="Times New Roman" w:hAnsi="Times New Roman" w:cs="Times New Roman"/>
          <w:spacing w:val="-2"/>
          <w:sz w:val="24"/>
          <w:szCs w:val="24"/>
        </w:rPr>
        <w:t xml:space="preserve">próprio </w:t>
      </w:r>
      <w:r w:rsidRPr="00DB007B">
        <w:rPr>
          <w:rFonts w:ascii="Times New Roman" w:hAnsi="Times New Roman" w:cs="Times New Roman"/>
          <w:spacing w:val="-2"/>
          <w:sz w:val="24"/>
          <w:szCs w:val="24"/>
        </w:rPr>
        <w:t>CNJ (CNN-CNJ)</w:t>
      </w:r>
      <w:r w:rsidR="001B5392">
        <w:rPr>
          <w:rFonts w:ascii="Times New Roman" w:hAnsi="Times New Roman" w:cs="Times New Roman"/>
          <w:spacing w:val="-2"/>
          <w:sz w:val="24"/>
          <w:szCs w:val="24"/>
        </w:rPr>
        <w:t>, a partir do seu art. 284. Consoante esse comando, "e</w:t>
      </w:r>
      <w:r w:rsidR="001B5392" w:rsidRPr="001B5392">
        <w:rPr>
          <w:rFonts w:ascii="Times New Roman" w:hAnsi="Times New Roman" w:cs="Times New Roman"/>
          <w:spacing w:val="-2"/>
          <w:sz w:val="24"/>
          <w:szCs w:val="24"/>
        </w:rPr>
        <w:t>sta Seção estabelece normas gerais sobre a prática de atos notariais eletrônicos em todos os tabelionatos de notas do País</w:t>
      </w:r>
      <w:r w:rsidR="001B5392">
        <w:rPr>
          <w:rFonts w:ascii="Times New Roman" w:hAnsi="Times New Roman" w:cs="Times New Roman"/>
          <w:spacing w:val="-2"/>
          <w:sz w:val="24"/>
          <w:szCs w:val="24"/>
        </w:rPr>
        <w:t>"</w:t>
      </w:r>
      <w:r w:rsidR="001B5392" w:rsidRPr="001B5392">
        <w:rPr>
          <w:rFonts w:ascii="Times New Roman" w:hAnsi="Times New Roman" w:cs="Times New Roman"/>
          <w:spacing w:val="-2"/>
          <w:sz w:val="24"/>
          <w:szCs w:val="24"/>
        </w:rPr>
        <w:t xml:space="preserve">. </w:t>
      </w:r>
    </w:p>
    <w:p w14:paraId="5BC7300A" w14:textId="71545045" w:rsidR="0058676A" w:rsidRDefault="001B5392" w:rsidP="0058676A">
      <w:pPr>
        <w:pStyle w:val="t"/>
        <w:spacing w:before="120" w:after="120" w:line="360" w:lineRule="auto"/>
        <w:ind w:firstLine="1701"/>
        <w:rPr>
          <w:rFonts w:ascii="Times New Roman" w:hAnsi="Times New Roman" w:cs="Times New Roman"/>
          <w:spacing w:val="-2"/>
          <w:sz w:val="24"/>
          <w:szCs w:val="24"/>
        </w:rPr>
      </w:pPr>
      <w:r>
        <w:rPr>
          <w:rFonts w:ascii="Times New Roman" w:hAnsi="Times New Roman" w:cs="Times New Roman"/>
          <w:spacing w:val="-2"/>
          <w:sz w:val="24"/>
          <w:szCs w:val="24"/>
        </w:rPr>
        <w:t>Em 2024</w:t>
      </w:r>
      <w:r w:rsidR="00BB6BEE">
        <w:rPr>
          <w:rFonts w:ascii="Times New Roman" w:hAnsi="Times New Roman" w:cs="Times New Roman"/>
          <w:spacing w:val="-2"/>
          <w:sz w:val="24"/>
          <w:szCs w:val="24"/>
        </w:rPr>
        <w:t>,</w:t>
      </w:r>
      <w:r>
        <w:rPr>
          <w:rFonts w:ascii="Times New Roman" w:hAnsi="Times New Roman" w:cs="Times New Roman"/>
          <w:spacing w:val="-2"/>
          <w:sz w:val="24"/>
          <w:szCs w:val="24"/>
        </w:rPr>
        <w:t xml:space="preserve"> foi incluído um parágrafo único no preceito, por meio do Provimento n. 181 do </w:t>
      </w:r>
      <w:r w:rsidR="00720F0E">
        <w:rPr>
          <w:rFonts w:ascii="Times New Roman" w:hAnsi="Times New Roman" w:cs="Times New Roman"/>
          <w:spacing w:val="-2"/>
          <w:sz w:val="24"/>
          <w:szCs w:val="24"/>
        </w:rPr>
        <w:t xml:space="preserve">próprio </w:t>
      </w:r>
      <w:r>
        <w:rPr>
          <w:rFonts w:ascii="Times New Roman" w:hAnsi="Times New Roman" w:cs="Times New Roman"/>
          <w:spacing w:val="-2"/>
          <w:sz w:val="24"/>
          <w:szCs w:val="24"/>
        </w:rPr>
        <w:t>CNJ, estabelecendo que "t</w:t>
      </w:r>
      <w:r w:rsidRPr="001B5392">
        <w:rPr>
          <w:rFonts w:ascii="Times New Roman" w:hAnsi="Times New Roman" w:cs="Times New Roman"/>
          <w:spacing w:val="-2"/>
          <w:sz w:val="24"/>
          <w:szCs w:val="24"/>
        </w:rPr>
        <w:t>odos os tabeliães de notas deverão prestar o serviço de que trata esta Seção</w:t>
      </w:r>
      <w:r>
        <w:rPr>
          <w:rFonts w:ascii="Times New Roman" w:hAnsi="Times New Roman" w:cs="Times New Roman"/>
          <w:spacing w:val="-2"/>
          <w:sz w:val="24"/>
          <w:szCs w:val="24"/>
        </w:rPr>
        <w:t>"</w:t>
      </w:r>
      <w:r w:rsidRPr="001B5392">
        <w:rPr>
          <w:rFonts w:ascii="Times New Roman" w:hAnsi="Times New Roman" w:cs="Times New Roman"/>
          <w:spacing w:val="-2"/>
          <w:sz w:val="24"/>
          <w:szCs w:val="24"/>
        </w:rPr>
        <w:t xml:space="preserve">. </w:t>
      </w:r>
      <w:r w:rsidR="00720F0E">
        <w:rPr>
          <w:rFonts w:ascii="Times New Roman" w:hAnsi="Times New Roman" w:cs="Times New Roman"/>
          <w:spacing w:val="-2"/>
          <w:sz w:val="24"/>
          <w:szCs w:val="24"/>
        </w:rPr>
        <w:t xml:space="preserve">Nota-se, assim, a obrigatoriedade do oferecimento dos serviços do </w:t>
      </w:r>
      <w:r w:rsidR="00720F0E" w:rsidRPr="00720F0E">
        <w:rPr>
          <w:rFonts w:ascii="Times New Roman" w:hAnsi="Times New Roman" w:cs="Times New Roman"/>
          <w:i/>
          <w:iCs/>
          <w:spacing w:val="-2"/>
          <w:sz w:val="24"/>
          <w:szCs w:val="24"/>
        </w:rPr>
        <w:t>e-notariado</w:t>
      </w:r>
      <w:r w:rsidR="00BB6BEE">
        <w:rPr>
          <w:rFonts w:ascii="Times New Roman" w:hAnsi="Times New Roman" w:cs="Times New Roman"/>
          <w:i/>
          <w:iCs/>
          <w:spacing w:val="-2"/>
          <w:sz w:val="24"/>
          <w:szCs w:val="24"/>
        </w:rPr>
        <w:t xml:space="preserve"> </w:t>
      </w:r>
      <w:r w:rsidR="00720F0E">
        <w:rPr>
          <w:rFonts w:ascii="Times New Roman" w:hAnsi="Times New Roman" w:cs="Times New Roman"/>
          <w:spacing w:val="-2"/>
          <w:sz w:val="24"/>
          <w:szCs w:val="24"/>
        </w:rPr>
        <w:t xml:space="preserve">em todo o território nacional. </w:t>
      </w:r>
      <w:r w:rsidR="0058676A">
        <w:rPr>
          <w:rFonts w:ascii="Times New Roman" w:hAnsi="Times New Roman" w:cs="Times New Roman"/>
          <w:spacing w:val="-2"/>
          <w:sz w:val="24"/>
          <w:szCs w:val="24"/>
        </w:rPr>
        <w:t xml:space="preserve"> </w:t>
      </w:r>
    </w:p>
    <w:p w14:paraId="2785608B" w14:textId="7F0990FF" w:rsidR="0058676A" w:rsidRDefault="0058676A" w:rsidP="0058676A">
      <w:pPr>
        <w:pStyle w:val="t"/>
        <w:spacing w:before="120" w:after="120" w:line="360" w:lineRule="auto"/>
        <w:ind w:firstLine="1701"/>
        <w:rPr>
          <w:kern w:val="2"/>
          <w14:ligatures w14:val="standardContextual"/>
        </w:rPr>
      </w:pPr>
      <w:r>
        <w:rPr>
          <w:rFonts w:ascii="Times New Roman" w:hAnsi="Times New Roman"/>
          <w:sz w:val="24"/>
          <w:szCs w:val="24"/>
        </w:rPr>
        <w:t xml:space="preserve">Pois bem, nos termos do original art. 3.º do anterior Provimento n. 100 do CNJ, são requisitos de validade para o ato notarial eletrônico: </w:t>
      </w:r>
      <w:r>
        <w:rPr>
          <w:rStyle w:val="italico"/>
          <w:rFonts w:ascii="Times New Roman" w:hAnsi="Times New Roman"/>
          <w:sz w:val="24"/>
          <w:szCs w:val="24"/>
        </w:rPr>
        <w:t>a)</w:t>
      </w:r>
      <w:r>
        <w:rPr>
          <w:rFonts w:ascii="Times New Roman" w:hAnsi="Times New Roman"/>
          <w:sz w:val="24"/>
          <w:szCs w:val="24"/>
        </w:rPr>
        <w:t xml:space="preserve"> a videoconferência notarial para captação do consentimento das partes sobre os termos do ato jurídico; </w:t>
      </w:r>
      <w:r>
        <w:rPr>
          <w:rStyle w:val="italico"/>
          <w:rFonts w:ascii="Times New Roman" w:hAnsi="Times New Roman"/>
          <w:sz w:val="24"/>
          <w:szCs w:val="24"/>
        </w:rPr>
        <w:t>b)</w:t>
      </w:r>
      <w:r>
        <w:rPr>
          <w:rFonts w:ascii="Times New Roman" w:hAnsi="Times New Roman"/>
          <w:sz w:val="24"/>
          <w:szCs w:val="24"/>
        </w:rPr>
        <w:t xml:space="preserve"> a concordância expressada pelas partes com os termos do ato notarial eletrônico; </w:t>
      </w:r>
      <w:r>
        <w:rPr>
          <w:rStyle w:val="italico"/>
          <w:rFonts w:ascii="Times New Roman" w:hAnsi="Times New Roman"/>
          <w:sz w:val="24"/>
          <w:szCs w:val="24"/>
        </w:rPr>
        <w:t>c)</w:t>
      </w:r>
      <w:r>
        <w:rPr>
          <w:rFonts w:ascii="Times New Roman" w:hAnsi="Times New Roman"/>
          <w:sz w:val="24"/>
          <w:szCs w:val="24"/>
        </w:rPr>
        <w:t xml:space="preserve"> a </w:t>
      </w:r>
      <w:r>
        <w:rPr>
          <w:rFonts w:ascii="Times New Roman" w:hAnsi="Times New Roman"/>
          <w:sz w:val="24"/>
          <w:szCs w:val="24"/>
        </w:rPr>
        <w:lastRenderedPageBreak/>
        <w:t xml:space="preserve">assinatura digital pelas partes, exclusivamente pelo </w:t>
      </w:r>
      <w:r w:rsidRPr="0058676A">
        <w:rPr>
          <w:rFonts w:ascii="Times New Roman" w:hAnsi="Times New Roman"/>
          <w:i/>
          <w:iCs/>
          <w:sz w:val="24"/>
          <w:szCs w:val="24"/>
        </w:rPr>
        <w:t>e-notariado</w:t>
      </w:r>
      <w:r>
        <w:rPr>
          <w:rFonts w:ascii="Times New Roman" w:hAnsi="Times New Roman"/>
          <w:sz w:val="24"/>
          <w:szCs w:val="24"/>
        </w:rPr>
        <w:t xml:space="preserve">; </w:t>
      </w:r>
      <w:r>
        <w:rPr>
          <w:rStyle w:val="italico"/>
          <w:rFonts w:ascii="Times New Roman" w:hAnsi="Times New Roman"/>
          <w:sz w:val="24"/>
          <w:szCs w:val="24"/>
        </w:rPr>
        <w:t>d)</w:t>
      </w:r>
      <w:r>
        <w:rPr>
          <w:rFonts w:ascii="Times New Roman" w:hAnsi="Times New Roman"/>
          <w:sz w:val="24"/>
          <w:szCs w:val="24"/>
        </w:rPr>
        <w:t xml:space="preserve"> a assinatura do Tabelião de Notas com a utilização de certificado digital ICP-Brasil; e </w:t>
      </w:r>
      <w:r>
        <w:rPr>
          <w:rStyle w:val="italico"/>
          <w:rFonts w:ascii="Times New Roman" w:hAnsi="Times New Roman"/>
          <w:sz w:val="24"/>
          <w:szCs w:val="24"/>
        </w:rPr>
        <w:t>e)</w:t>
      </w:r>
      <w:r>
        <w:rPr>
          <w:rFonts w:ascii="Times New Roman" w:hAnsi="Times New Roman"/>
          <w:sz w:val="24"/>
          <w:szCs w:val="24"/>
        </w:rPr>
        <w:t xml:space="preserve"> o uso de formatos de documentos de longa duração com assinatura digital.</w:t>
      </w:r>
    </w:p>
    <w:p w14:paraId="3CA0F669" w14:textId="77777777" w:rsidR="00743A0D" w:rsidRDefault="00743A0D" w:rsidP="0058676A">
      <w:pPr>
        <w:pStyle w:val="t"/>
        <w:spacing w:before="120" w:after="120" w:line="360" w:lineRule="auto"/>
        <w:ind w:firstLine="1701"/>
        <w:rPr>
          <w:rFonts w:ascii="Times New Roman" w:hAnsi="Times New Roman" w:cs="Times New Roman"/>
          <w:sz w:val="24"/>
          <w:szCs w:val="24"/>
        </w:rPr>
      </w:pPr>
      <w:r w:rsidRPr="00DB007B">
        <w:rPr>
          <w:rFonts w:ascii="Times New Roman" w:hAnsi="Times New Roman" w:cs="Times New Roman"/>
          <w:sz w:val="24"/>
          <w:szCs w:val="24"/>
        </w:rPr>
        <w:t xml:space="preserve">Também a merecer destaque, sobre a gravação da videoconferência notarial, nos termos do parágrafo único desse art. 3.º, deverá conter ela, no mínimo: </w:t>
      </w:r>
      <w:r w:rsidRPr="00DB007B">
        <w:rPr>
          <w:rStyle w:val="italico"/>
          <w:rFonts w:ascii="Times New Roman" w:hAnsi="Times New Roman" w:cs="Times New Roman"/>
          <w:iCs/>
          <w:sz w:val="24"/>
          <w:szCs w:val="24"/>
        </w:rPr>
        <w:t>a)</w:t>
      </w:r>
      <w:r w:rsidRPr="00DB007B">
        <w:rPr>
          <w:rFonts w:ascii="Times New Roman" w:hAnsi="Times New Roman" w:cs="Times New Roman"/>
          <w:sz w:val="24"/>
          <w:szCs w:val="24"/>
        </w:rPr>
        <w:t xml:space="preserve"> a identificação, a demonstração da capacidade e a livre manifestação das partes atestadas pelo tabelião de notas; </w:t>
      </w:r>
      <w:r w:rsidRPr="00DB007B">
        <w:rPr>
          <w:rStyle w:val="italico"/>
          <w:rFonts w:ascii="Times New Roman" w:hAnsi="Times New Roman" w:cs="Times New Roman"/>
          <w:iCs/>
          <w:sz w:val="24"/>
          <w:szCs w:val="24"/>
        </w:rPr>
        <w:t>b)</w:t>
      </w:r>
      <w:r w:rsidRPr="00DB007B">
        <w:rPr>
          <w:rFonts w:ascii="Times New Roman" w:hAnsi="Times New Roman" w:cs="Times New Roman"/>
          <w:sz w:val="24"/>
          <w:szCs w:val="24"/>
        </w:rPr>
        <w:t xml:space="preserve"> o consentimento das partes e a concordância com a escritura pública; </w:t>
      </w:r>
      <w:r w:rsidRPr="00DB007B">
        <w:rPr>
          <w:rStyle w:val="italico"/>
          <w:rFonts w:ascii="Times New Roman" w:hAnsi="Times New Roman" w:cs="Times New Roman"/>
          <w:iCs/>
          <w:sz w:val="24"/>
          <w:szCs w:val="24"/>
        </w:rPr>
        <w:t>c)</w:t>
      </w:r>
      <w:r w:rsidRPr="00DB007B">
        <w:rPr>
          <w:rFonts w:ascii="Times New Roman" w:hAnsi="Times New Roman" w:cs="Times New Roman"/>
          <w:sz w:val="24"/>
          <w:szCs w:val="24"/>
        </w:rPr>
        <w:t xml:space="preserve"> o objeto e o preço do negócio pactuado; </w:t>
      </w:r>
      <w:r w:rsidRPr="00DB007B">
        <w:rPr>
          <w:rStyle w:val="italico"/>
          <w:rFonts w:ascii="Times New Roman" w:hAnsi="Times New Roman" w:cs="Times New Roman"/>
          <w:iCs/>
          <w:sz w:val="24"/>
          <w:szCs w:val="24"/>
        </w:rPr>
        <w:t>d</w:t>
      </w:r>
      <w:r w:rsidRPr="00DB007B">
        <w:rPr>
          <w:rFonts w:ascii="Times New Roman" w:hAnsi="Times New Roman" w:cs="Times New Roman"/>
          <w:sz w:val="24"/>
          <w:szCs w:val="24"/>
        </w:rPr>
        <w:t xml:space="preserve">) a declaração da data e horário da prática do ato notarial; </w:t>
      </w:r>
      <w:r>
        <w:rPr>
          <w:rFonts w:ascii="Times New Roman" w:hAnsi="Times New Roman" w:cs="Times New Roman"/>
          <w:sz w:val="24"/>
          <w:szCs w:val="24"/>
        </w:rPr>
        <w:t xml:space="preserve">e </w:t>
      </w:r>
      <w:r w:rsidRPr="00DB007B">
        <w:rPr>
          <w:rStyle w:val="italico"/>
          <w:rFonts w:ascii="Times New Roman" w:hAnsi="Times New Roman" w:cs="Times New Roman"/>
          <w:iCs/>
          <w:sz w:val="24"/>
          <w:szCs w:val="24"/>
        </w:rPr>
        <w:t>e)</w:t>
      </w:r>
      <w:r w:rsidRPr="00DB007B">
        <w:rPr>
          <w:rFonts w:ascii="Times New Roman" w:hAnsi="Times New Roman" w:cs="Times New Roman"/>
          <w:sz w:val="24"/>
          <w:szCs w:val="24"/>
        </w:rPr>
        <w:t xml:space="preserve"> a declaração acerca da indicação do livro, da página e do tabelionato onde será lavrado o ato notarial (art. 286 do CNN-CNJ). </w:t>
      </w:r>
      <w:r>
        <w:rPr>
          <w:rFonts w:ascii="Times New Roman" w:hAnsi="Times New Roman" w:cs="Times New Roman"/>
          <w:sz w:val="24"/>
          <w:szCs w:val="24"/>
        </w:rPr>
        <w:t xml:space="preserve"> </w:t>
      </w:r>
    </w:p>
    <w:p w14:paraId="708A83AE" w14:textId="26641C41" w:rsidR="0058676A" w:rsidRDefault="0058676A" w:rsidP="0058676A">
      <w:pPr>
        <w:pStyle w:val="t"/>
        <w:spacing w:before="120" w:after="120" w:line="360" w:lineRule="auto"/>
        <w:ind w:firstLine="1701"/>
        <w:rPr>
          <w:kern w:val="2"/>
          <w14:ligatures w14:val="standardContextual"/>
        </w:rPr>
      </w:pPr>
      <w:r>
        <w:rPr>
          <w:rFonts w:ascii="Times New Roman" w:hAnsi="Times New Roman"/>
          <w:sz w:val="24"/>
          <w:szCs w:val="24"/>
        </w:rPr>
        <w:t>O desrespeito a qualquer um desses requisitos de validade gera a nulidade absoluta do negócio jurídico, nos termos dos incs. IV e V do art. 166 do Código Civil, que tratam do desrespeito à forma e à solenidade, afirmação que tem especial incidência nos casos envolvendo os testamentos públicos efetivados pelo meio digital.</w:t>
      </w:r>
    </w:p>
    <w:p w14:paraId="24DEFFE2" w14:textId="441C0FD9" w:rsidR="001E287D" w:rsidRDefault="00DB007B" w:rsidP="00DB007B">
      <w:pPr>
        <w:spacing w:before="120" w:after="120" w:line="360" w:lineRule="auto"/>
        <w:ind w:firstLine="1701"/>
        <w:jc w:val="both"/>
        <w:rPr>
          <w:rFonts w:ascii="Times New Roman" w:hAnsi="Times New Roman" w:cs="Times New Roman"/>
          <w:sz w:val="24"/>
          <w:szCs w:val="24"/>
        </w:rPr>
      </w:pPr>
      <w:r w:rsidRPr="00DB007B">
        <w:rPr>
          <w:rFonts w:ascii="Times New Roman" w:hAnsi="Times New Roman" w:cs="Times New Roman"/>
          <w:sz w:val="24"/>
          <w:szCs w:val="24"/>
        </w:rPr>
        <w:t xml:space="preserve">Sobre a competência territorial para esses atos eletrônicos, destaque-se que deve ser observada uma regra específica. Conforme o art. 6.º do mesmo Provimento 100/2020 do CNJ, “a competência para a prática dos atos regulados neste Provimento é absoluta e observará a circunscrição territorial em que o tabelião recebeu sua delegação, nos termos do art. 9.º da Lei n. 8.935/1994”. </w:t>
      </w:r>
      <w:r w:rsidR="0058676A">
        <w:rPr>
          <w:rFonts w:ascii="Times New Roman" w:hAnsi="Times New Roman" w:cs="Times New Roman"/>
          <w:sz w:val="24"/>
          <w:szCs w:val="24"/>
        </w:rPr>
        <w:t xml:space="preserve"> </w:t>
      </w:r>
      <w:r w:rsidR="001E287D">
        <w:rPr>
          <w:rFonts w:ascii="Times New Roman" w:hAnsi="Times New Roman" w:cs="Times New Roman"/>
          <w:sz w:val="24"/>
          <w:szCs w:val="24"/>
        </w:rPr>
        <w:t>Importante destacar que e</w:t>
      </w:r>
      <w:r w:rsidRPr="00DB007B">
        <w:rPr>
          <w:rFonts w:ascii="Times New Roman" w:hAnsi="Times New Roman" w:cs="Times New Roman"/>
          <w:sz w:val="24"/>
          <w:szCs w:val="24"/>
        </w:rPr>
        <w:t>sse dispositivo equivale ao art. 289 do C</w:t>
      </w:r>
      <w:r w:rsidR="001E287D">
        <w:rPr>
          <w:rFonts w:ascii="Times New Roman" w:hAnsi="Times New Roman" w:cs="Times New Roman"/>
          <w:sz w:val="24"/>
          <w:szCs w:val="24"/>
        </w:rPr>
        <w:t>ódigo Nacional de Normas do CNJ</w:t>
      </w:r>
      <w:r w:rsidR="001B5392">
        <w:rPr>
          <w:rFonts w:ascii="Times New Roman" w:hAnsi="Times New Roman" w:cs="Times New Roman"/>
          <w:sz w:val="24"/>
          <w:szCs w:val="24"/>
        </w:rPr>
        <w:t>, com idêntica redação</w:t>
      </w:r>
      <w:r w:rsidRPr="00DB007B">
        <w:rPr>
          <w:rFonts w:ascii="Times New Roman" w:hAnsi="Times New Roman" w:cs="Times New Roman"/>
          <w:sz w:val="24"/>
          <w:szCs w:val="24"/>
        </w:rPr>
        <w:t xml:space="preserve">. </w:t>
      </w:r>
    </w:p>
    <w:p w14:paraId="2D467129" w14:textId="6355C933" w:rsidR="00DB007B" w:rsidRPr="00DB007B" w:rsidRDefault="00AC6D28" w:rsidP="00DB007B">
      <w:pPr>
        <w:spacing w:before="120" w:after="120" w:line="360" w:lineRule="auto"/>
        <w:ind w:firstLine="1701"/>
        <w:jc w:val="both"/>
        <w:rPr>
          <w:rFonts w:ascii="Times New Roman" w:hAnsi="Times New Roman" w:cs="Times New Roman"/>
          <w:sz w:val="24"/>
          <w:szCs w:val="24"/>
        </w:rPr>
      </w:pPr>
      <w:r>
        <w:rPr>
          <w:rFonts w:ascii="Times New Roman" w:hAnsi="Times New Roman" w:cs="Times New Roman"/>
          <w:sz w:val="24"/>
          <w:szCs w:val="24"/>
        </w:rPr>
        <w:t xml:space="preserve">A violação </w:t>
      </w:r>
      <w:r w:rsidR="00DB007B" w:rsidRPr="00DB007B">
        <w:rPr>
          <w:rFonts w:ascii="Times New Roman" w:hAnsi="Times New Roman" w:cs="Times New Roman"/>
          <w:sz w:val="24"/>
          <w:szCs w:val="24"/>
        </w:rPr>
        <w:t xml:space="preserve">a essa regra gera </w:t>
      </w:r>
      <w:r w:rsidR="001B5392">
        <w:rPr>
          <w:rFonts w:ascii="Times New Roman" w:hAnsi="Times New Roman" w:cs="Times New Roman"/>
          <w:sz w:val="24"/>
          <w:szCs w:val="24"/>
        </w:rPr>
        <w:t xml:space="preserve">novamente </w:t>
      </w:r>
      <w:r w:rsidR="00DB007B" w:rsidRPr="00DB007B">
        <w:rPr>
          <w:rFonts w:ascii="Times New Roman" w:hAnsi="Times New Roman" w:cs="Times New Roman"/>
          <w:sz w:val="24"/>
          <w:szCs w:val="24"/>
        </w:rPr>
        <w:t>a nulidade absoluta do ato correspondente, mais uma vez por desrespeito ao que consta do art. 166, incs. IV e V, da codificação privada. A justificativa da norma está nos “considerandos” do provimento</w:t>
      </w:r>
      <w:r w:rsidR="001B5392">
        <w:rPr>
          <w:rFonts w:ascii="Times New Roman" w:hAnsi="Times New Roman" w:cs="Times New Roman"/>
          <w:sz w:val="24"/>
          <w:szCs w:val="24"/>
        </w:rPr>
        <w:t xml:space="preserve"> original</w:t>
      </w:r>
      <w:r w:rsidR="00DB007B" w:rsidRPr="00DB007B">
        <w:rPr>
          <w:rFonts w:ascii="Times New Roman" w:hAnsi="Times New Roman" w:cs="Times New Roman"/>
          <w:sz w:val="24"/>
          <w:szCs w:val="24"/>
        </w:rPr>
        <w:t>, uma vez que há “a necessidade de evitar a concorrência predatória por serviços prestados remotamente que podem ofender a fé pública notarial”.</w:t>
      </w:r>
    </w:p>
    <w:p w14:paraId="026FEA65" w14:textId="18AEF835" w:rsidR="00DB007B" w:rsidRPr="00DB007B" w:rsidRDefault="00DB007B" w:rsidP="00DB007B">
      <w:pPr>
        <w:pStyle w:val="t"/>
        <w:spacing w:before="120" w:after="120" w:line="360" w:lineRule="auto"/>
        <w:ind w:firstLine="1701"/>
        <w:rPr>
          <w:rFonts w:ascii="Times New Roman" w:hAnsi="Times New Roman" w:cs="Times New Roman"/>
          <w:sz w:val="24"/>
          <w:szCs w:val="24"/>
        </w:rPr>
      </w:pPr>
      <w:r w:rsidRPr="00DB007B">
        <w:rPr>
          <w:rFonts w:ascii="Times New Roman" w:hAnsi="Times New Roman" w:cs="Times New Roman"/>
          <w:sz w:val="24"/>
          <w:szCs w:val="24"/>
        </w:rPr>
        <w:t>Sem prejuízo de outras regras importantes</w:t>
      </w:r>
      <w:r w:rsidR="0058676A">
        <w:rPr>
          <w:rFonts w:ascii="Times New Roman" w:hAnsi="Times New Roman" w:cs="Times New Roman"/>
          <w:sz w:val="24"/>
          <w:szCs w:val="24"/>
        </w:rPr>
        <w:t xml:space="preserve"> de formalidades digitais</w:t>
      </w:r>
      <w:r w:rsidRPr="00DB007B">
        <w:rPr>
          <w:rFonts w:ascii="Times New Roman" w:hAnsi="Times New Roman" w:cs="Times New Roman"/>
          <w:sz w:val="24"/>
          <w:szCs w:val="24"/>
        </w:rPr>
        <w:t xml:space="preserve">, o art. 299 do CNN, substituição do art. 16 do Provimento n. 100, enuncia que os atos notariais eletrônicos reputam-se autênticos e detentores de fé pública, como regulado na legislação processual. </w:t>
      </w:r>
    </w:p>
    <w:p w14:paraId="1A7FD685" w14:textId="77777777" w:rsidR="001B5392" w:rsidRDefault="00DB007B" w:rsidP="00DB007B">
      <w:pPr>
        <w:pStyle w:val="t"/>
        <w:spacing w:before="120" w:after="120" w:line="360" w:lineRule="auto"/>
        <w:ind w:firstLine="1701"/>
        <w:rPr>
          <w:rFonts w:ascii="Times New Roman" w:hAnsi="Times New Roman" w:cs="Times New Roman"/>
          <w:sz w:val="24"/>
          <w:szCs w:val="24"/>
        </w:rPr>
      </w:pPr>
      <w:r w:rsidRPr="00DB007B">
        <w:rPr>
          <w:rFonts w:ascii="Times New Roman" w:hAnsi="Times New Roman" w:cs="Times New Roman"/>
          <w:sz w:val="24"/>
          <w:szCs w:val="24"/>
        </w:rPr>
        <w:t xml:space="preserve">Além disso, está previsto, como não poderia ser diferente, que os atos notariais celebrados por meio eletrônico produzirão os mesmos efeitos previstos no ordenamento jurídico quando observarem os requisitos necessários para a sua validade, estabelecidos em lei e no próprio provimento (art. 300 do CNN-CNJ, art. 17 do antigo Provimento n. 100 do CNJ). </w:t>
      </w:r>
    </w:p>
    <w:p w14:paraId="32271917" w14:textId="77777777" w:rsidR="0058676A" w:rsidRDefault="001B5392" w:rsidP="0058676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Existem outros detalhamentos necessários na normatização do CNJ, desde o anterior provimento até o atual, o que visa a trazer segurança e estabilidade para os atos notariais, com utilização crescente no âmbito do Direito de Família e das Sucessões, com vistas à prevenção e desjudicialização dos conflitos e controvérsias. </w:t>
      </w:r>
      <w:r w:rsidR="0058676A">
        <w:rPr>
          <w:rFonts w:ascii="Times New Roman" w:hAnsi="Times New Roman" w:cs="Times New Roman"/>
          <w:sz w:val="24"/>
          <w:szCs w:val="24"/>
        </w:rPr>
        <w:t xml:space="preserve"> </w:t>
      </w:r>
    </w:p>
    <w:p w14:paraId="3E13E7FF" w14:textId="58BFF28D" w:rsidR="0058676A" w:rsidRDefault="0058676A" w:rsidP="0058676A">
      <w:pPr>
        <w:pStyle w:val="t"/>
        <w:spacing w:before="120" w:after="120" w:line="360" w:lineRule="auto"/>
        <w:ind w:firstLine="1701"/>
        <w:rPr>
          <w:rFonts w:ascii="Times New Roman" w:hAnsi="Times New Roman"/>
          <w:sz w:val="24"/>
          <w:szCs w:val="24"/>
        </w:rPr>
      </w:pPr>
      <w:r>
        <w:rPr>
          <w:rFonts w:ascii="Times New Roman" w:hAnsi="Times New Roman"/>
          <w:sz w:val="24"/>
          <w:szCs w:val="24"/>
        </w:rPr>
        <w:t xml:space="preserve">Seja como for, há forte e justificada crítica quanto à falta de competência do Conselho Nacional de Justiça para tratar desses assuntos, que são de exclusividade do Poder Legislativo. Apesar de a redução de burocracias e a digitalização dos atos e negócios civis constituírem </w:t>
      </w:r>
      <w:r>
        <w:rPr>
          <w:rFonts w:ascii="Times New Roman" w:hAnsi="Times New Roman"/>
          <w:i/>
          <w:iCs/>
          <w:sz w:val="24"/>
          <w:szCs w:val="24"/>
        </w:rPr>
        <w:t>caminhos sem volta</w:t>
      </w:r>
      <w:r>
        <w:rPr>
          <w:rFonts w:ascii="Times New Roman" w:hAnsi="Times New Roman"/>
          <w:sz w:val="24"/>
          <w:szCs w:val="24"/>
        </w:rPr>
        <w:t xml:space="preserve">, com argumentos jurídicos muito fortes em seu favor, há a necessidade, superada a gravíssima pandemia e após mais de cinco anos do surgimento do Provimento n. 100 do CNJ, de se dotar de legalidade todas essas normas administrativas. </w:t>
      </w:r>
    </w:p>
    <w:p w14:paraId="13C7238C" w14:textId="67978D1A" w:rsidR="0058676A" w:rsidRDefault="0058676A" w:rsidP="0058676A">
      <w:pPr>
        <w:pStyle w:val="t"/>
        <w:spacing w:before="120" w:after="120" w:line="360" w:lineRule="auto"/>
        <w:ind w:firstLine="1701"/>
        <w:rPr>
          <w:kern w:val="2"/>
          <w14:ligatures w14:val="standardContextual"/>
        </w:rPr>
      </w:pPr>
      <w:r>
        <w:rPr>
          <w:rFonts w:ascii="Times New Roman" w:hAnsi="Times New Roman"/>
          <w:sz w:val="24"/>
          <w:szCs w:val="24"/>
        </w:rPr>
        <w:t xml:space="preserve">De fato, </w:t>
      </w:r>
      <w:r w:rsidR="00720F0E">
        <w:rPr>
          <w:rFonts w:ascii="Times New Roman" w:hAnsi="Times New Roman"/>
          <w:sz w:val="24"/>
          <w:szCs w:val="24"/>
        </w:rPr>
        <w:t xml:space="preserve">não se pode negar que </w:t>
      </w:r>
      <w:r>
        <w:rPr>
          <w:rFonts w:ascii="Times New Roman" w:hAnsi="Times New Roman"/>
          <w:sz w:val="24"/>
          <w:szCs w:val="24"/>
        </w:rPr>
        <w:t xml:space="preserve">cabe à União Federal, por meio do Congresso Nacional, legislar sobre temas afeitos ao Direito Civil e às formalidades dos atos e negócios jurídicos, nos termos do art. 22, inc. I, da Constituição Federal, sob pena até da alegação e de conclusão de inconstitucionalidade das normas administrativas em estudo. </w:t>
      </w:r>
    </w:p>
    <w:p w14:paraId="0619FEC7" w14:textId="77777777" w:rsidR="00743A0D" w:rsidRPr="00DB007B" w:rsidRDefault="00743A0D" w:rsidP="00DB007B">
      <w:pPr>
        <w:pStyle w:val="t"/>
        <w:spacing w:before="120" w:after="120" w:line="360" w:lineRule="auto"/>
        <w:ind w:firstLine="1701"/>
        <w:rPr>
          <w:rFonts w:ascii="Times New Roman" w:hAnsi="Times New Roman" w:cs="Times New Roman"/>
          <w:sz w:val="24"/>
          <w:szCs w:val="24"/>
        </w:rPr>
      </w:pPr>
      <w:r w:rsidRPr="00DB007B">
        <w:rPr>
          <w:rFonts w:ascii="Times New Roman" w:hAnsi="Times New Roman" w:cs="Times New Roman"/>
          <w:sz w:val="24"/>
          <w:szCs w:val="24"/>
        </w:rPr>
        <w:t>O Projeto de Reforma do Código Civil</w:t>
      </w:r>
      <w:r>
        <w:rPr>
          <w:rFonts w:ascii="Times New Roman" w:hAnsi="Times New Roman" w:cs="Times New Roman"/>
          <w:sz w:val="24"/>
          <w:szCs w:val="24"/>
        </w:rPr>
        <w:t xml:space="preserve"> - atual PL n. 4/2025, em discussão no Senado Federal -, </w:t>
      </w:r>
      <w:r w:rsidRPr="00DB007B">
        <w:rPr>
          <w:rFonts w:ascii="Times New Roman" w:hAnsi="Times New Roman" w:cs="Times New Roman"/>
          <w:sz w:val="24"/>
          <w:szCs w:val="24"/>
        </w:rPr>
        <w:t xml:space="preserve">pretende sanar esse problema, introduzindo no novo livro de </w:t>
      </w:r>
      <w:r w:rsidRPr="00DB007B">
        <w:rPr>
          <w:rStyle w:val="italico"/>
          <w:rFonts w:ascii="Times New Roman" w:hAnsi="Times New Roman" w:cs="Times New Roman"/>
          <w:iCs/>
          <w:sz w:val="24"/>
          <w:szCs w:val="24"/>
        </w:rPr>
        <w:t>Direito Civil Digital</w:t>
      </w:r>
      <w:r w:rsidRPr="00DB007B">
        <w:rPr>
          <w:rFonts w:ascii="Times New Roman" w:hAnsi="Times New Roman" w:cs="Times New Roman"/>
          <w:sz w:val="24"/>
          <w:szCs w:val="24"/>
        </w:rPr>
        <w:t xml:space="preserve"> todo o tratamento hoje previsto no Código Nacional de Normas, </w:t>
      </w:r>
      <w:r>
        <w:rPr>
          <w:rFonts w:ascii="Times New Roman" w:hAnsi="Times New Roman" w:cs="Times New Roman"/>
          <w:sz w:val="24"/>
          <w:szCs w:val="24"/>
        </w:rPr>
        <w:t xml:space="preserve">o que dará </w:t>
      </w:r>
      <w:r w:rsidRPr="00DB007B">
        <w:rPr>
          <w:rFonts w:ascii="Times New Roman" w:hAnsi="Times New Roman" w:cs="Times New Roman"/>
          <w:sz w:val="24"/>
          <w:szCs w:val="24"/>
        </w:rPr>
        <w:t xml:space="preserve">legalidade aos procedimentos relativos às escrituras públicas digitais e ao </w:t>
      </w:r>
      <w:r w:rsidRPr="00DB007B">
        <w:rPr>
          <w:rStyle w:val="italico"/>
          <w:rFonts w:ascii="Times New Roman" w:hAnsi="Times New Roman" w:cs="Times New Roman"/>
          <w:iCs/>
          <w:sz w:val="24"/>
          <w:szCs w:val="24"/>
        </w:rPr>
        <w:t>e-notariado</w:t>
      </w:r>
      <w:r w:rsidRPr="00DB007B">
        <w:rPr>
          <w:rFonts w:ascii="Times New Roman" w:hAnsi="Times New Roman" w:cs="Times New Roman"/>
          <w:sz w:val="24"/>
          <w:szCs w:val="24"/>
        </w:rPr>
        <w:t xml:space="preserve">, e retomando o </w:t>
      </w:r>
      <w:r w:rsidRPr="00DB007B">
        <w:rPr>
          <w:rStyle w:val="italico"/>
          <w:rFonts w:ascii="Times New Roman" w:hAnsi="Times New Roman" w:cs="Times New Roman"/>
          <w:iCs/>
          <w:sz w:val="24"/>
          <w:szCs w:val="24"/>
        </w:rPr>
        <w:t>protagonismo legislativo</w:t>
      </w:r>
      <w:r w:rsidRPr="00DB007B">
        <w:rPr>
          <w:rFonts w:ascii="Times New Roman" w:hAnsi="Times New Roman" w:cs="Times New Roman"/>
          <w:sz w:val="24"/>
          <w:szCs w:val="24"/>
        </w:rPr>
        <w:t xml:space="preserve"> da Lei Geral Privada. </w:t>
      </w:r>
      <w:r>
        <w:rPr>
          <w:rFonts w:ascii="Times New Roman" w:hAnsi="Times New Roman" w:cs="Times New Roman"/>
          <w:sz w:val="24"/>
          <w:szCs w:val="24"/>
        </w:rPr>
        <w:t xml:space="preserve">Com isso afasta-se qualquer alegação e conclusão de inconstitucionalidade, que pode chegar ao Supremo Tribunal Federal, a respeito desses necessários procedimentos. </w:t>
      </w:r>
    </w:p>
    <w:p w14:paraId="022B9120" w14:textId="77777777" w:rsidR="003E5476" w:rsidRDefault="003E5476"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opção da Comissão de Juristas foi, assim, de reproduzir na literalidade todos os comandos administrativos do Conselho Nacional de Justiça, do antigo Provimento n. 100 e do seu atual Código Nacional de Normas, entre os arts. 2.027-AY e 2.027-CH, fechando a codificação privada e o novo livro do Direito Civil Digital - Capítulo X deste livro. </w:t>
      </w:r>
    </w:p>
    <w:p w14:paraId="086EF668" w14:textId="77777777" w:rsidR="0058676A" w:rsidRDefault="003E5476" w:rsidP="0058676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De todo modo, os debates travados na Comissão Temporária do Senado Federal, de forma ampla e democrática, entre setembro de 2025 e maio de 2026, demonstraram que é necessário reduzir o texto, trazendo apenas regras mínimas a respeito dessa temática, e relegando a normatização mais detalhada ao próprio Conselho Nacional de Justiça. </w:t>
      </w:r>
    </w:p>
    <w:p w14:paraId="4246FFBE" w14:textId="77777777" w:rsidR="0058676A" w:rsidRDefault="0058676A" w:rsidP="0058676A">
      <w:pPr>
        <w:pStyle w:val="t"/>
        <w:spacing w:before="120" w:after="120" w:line="360" w:lineRule="auto"/>
        <w:ind w:firstLine="1701"/>
        <w:rPr>
          <w:rFonts w:ascii="Times New Roman" w:hAnsi="Times New Roman"/>
          <w:sz w:val="24"/>
          <w:szCs w:val="24"/>
        </w:rPr>
      </w:pPr>
      <w:r>
        <w:rPr>
          <w:rFonts w:ascii="Times New Roman" w:hAnsi="Times New Roman"/>
          <w:sz w:val="24"/>
          <w:szCs w:val="24"/>
        </w:rPr>
        <w:t xml:space="preserve">Além disso, como sustentei nas respectivas audiências públicas do Senado, seria interessante que o novo livro de Direito Civil Digital estivesse ao final da Parte Geral do Código Civil e antes da sua Parte Especial, ou seja, após o art. 232 do Código Civil, como letras desse dispositivo. Também seria interessante diminuir o número de comandos sobre o tema, como já pontuei nessas reuniões no Parlamento brasileiro, sendo primordial a manutenção desse novo livro, com regras e princípios fundamentais a orientar o intérprete. </w:t>
      </w:r>
    </w:p>
    <w:p w14:paraId="2E4FC999" w14:textId="77777777" w:rsidR="00743A0D" w:rsidRDefault="00743A0D" w:rsidP="0058676A">
      <w:pPr>
        <w:pStyle w:val="t"/>
        <w:spacing w:before="120" w:after="120" w:line="360" w:lineRule="auto"/>
        <w:ind w:firstLine="1701"/>
        <w:rPr>
          <w:kern w:val="2"/>
          <w14:ligatures w14:val="standardContextual"/>
        </w:rPr>
      </w:pPr>
      <w:r>
        <w:rPr>
          <w:rFonts w:ascii="Times New Roman" w:hAnsi="Times New Roman"/>
          <w:sz w:val="24"/>
          <w:szCs w:val="24"/>
        </w:rPr>
        <w:t xml:space="preserve">Quanto às escrituras públicas digitais e ao </w:t>
      </w:r>
      <w:r w:rsidRPr="0058676A">
        <w:rPr>
          <w:rFonts w:ascii="Times New Roman" w:hAnsi="Times New Roman"/>
          <w:i/>
          <w:iCs/>
          <w:sz w:val="24"/>
          <w:szCs w:val="24"/>
        </w:rPr>
        <w:t>e-notariado</w:t>
      </w:r>
      <w:r>
        <w:rPr>
          <w:rFonts w:ascii="Times New Roman" w:hAnsi="Times New Roman"/>
          <w:sz w:val="24"/>
          <w:szCs w:val="24"/>
        </w:rPr>
        <w:t>, portanto, com uma regulação legal mínima, proponho ao Congresso Nacional e neste estágio dos debates legislativos, como alternativa, apenas três novos dispositivos no Código Civil.</w:t>
      </w:r>
    </w:p>
    <w:p w14:paraId="45F5B9FD" w14:textId="64A80891" w:rsidR="00743A0D" w:rsidRDefault="00743A0D"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 O primeiro deles preveria a plena possibilidade jurídica das escrituras públicas digitais, com a obrigatoriedade de os Tabeliães oferecerem esse serviço, nos moldes do antes citado Provimento n. 181 do CNJ. Com isso, seria afastada qualquer alegação de ilegalidade ou mesmo de inconstitucionalidade a respeito desse tratamento digital para as formalidades e solenidades. </w:t>
      </w:r>
    </w:p>
    <w:p w14:paraId="3157330A" w14:textId="77777777" w:rsidR="003E5476" w:rsidRDefault="00E35B34" w:rsidP="00DB007B">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segundo comando estabeleceria a competência do Conselho Nacional de Justiça em regular a matéria, mais uma vez dotando de legalidade as normatizações administrativas que surgirem, sobretudo em virtude do incremento das novas tecnologias. </w:t>
      </w:r>
    </w:p>
    <w:p w14:paraId="2AFD612A" w14:textId="77777777" w:rsidR="0058676A" w:rsidRDefault="003E5476" w:rsidP="0058676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Por fim, seria interessante um </w:t>
      </w:r>
      <w:r w:rsidR="00E35B34">
        <w:rPr>
          <w:rFonts w:ascii="Times New Roman" w:hAnsi="Times New Roman" w:cs="Times New Roman"/>
          <w:sz w:val="24"/>
          <w:szCs w:val="24"/>
        </w:rPr>
        <w:t xml:space="preserve">terceiro </w:t>
      </w:r>
      <w:r>
        <w:rPr>
          <w:rFonts w:ascii="Times New Roman" w:hAnsi="Times New Roman" w:cs="Times New Roman"/>
          <w:sz w:val="24"/>
          <w:szCs w:val="24"/>
        </w:rPr>
        <w:t>preceito legal que reproduz</w:t>
      </w:r>
      <w:r w:rsidR="00E35B34">
        <w:rPr>
          <w:rFonts w:ascii="Times New Roman" w:hAnsi="Times New Roman" w:cs="Times New Roman"/>
          <w:sz w:val="24"/>
          <w:szCs w:val="24"/>
        </w:rPr>
        <w:t xml:space="preserve">isse </w:t>
      </w:r>
      <w:r>
        <w:rPr>
          <w:rFonts w:ascii="Times New Roman" w:hAnsi="Times New Roman" w:cs="Times New Roman"/>
          <w:sz w:val="24"/>
          <w:szCs w:val="24"/>
        </w:rPr>
        <w:t xml:space="preserve">o </w:t>
      </w:r>
      <w:r w:rsidR="00E35B34">
        <w:rPr>
          <w:rFonts w:ascii="Times New Roman" w:hAnsi="Times New Roman" w:cs="Times New Roman"/>
          <w:sz w:val="24"/>
          <w:szCs w:val="24"/>
        </w:rPr>
        <w:t xml:space="preserve">atual </w:t>
      </w:r>
      <w:r>
        <w:rPr>
          <w:rFonts w:ascii="Times New Roman" w:hAnsi="Times New Roman" w:cs="Times New Roman"/>
          <w:sz w:val="24"/>
          <w:szCs w:val="24"/>
        </w:rPr>
        <w:t xml:space="preserve">art. </w:t>
      </w:r>
      <w:r w:rsidRPr="003E5476">
        <w:rPr>
          <w:rFonts w:ascii="Times New Roman" w:hAnsi="Times New Roman" w:cs="Times New Roman"/>
          <w:sz w:val="24"/>
          <w:szCs w:val="24"/>
        </w:rPr>
        <w:t>299</w:t>
      </w:r>
      <w:r>
        <w:rPr>
          <w:rFonts w:ascii="Times New Roman" w:hAnsi="Times New Roman" w:cs="Times New Roman"/>
          <w:sz w:val="24"/>
          <w:szCs w:val="24"/>
        </w:rPr>
        <w:t xml:space="preserve"> do Código Nacional de Normas, estabelecendo que o</w:t>
      </w:r>
      <w:r w:rsidRPr="003E5476">
        <w:rPr>
          <w:rFonts w:ascii="Times New Roman" w:hAnsi="Times New Roman" w:cs="Times New Roman"/>
          <w:sz w:val="24"/>
          <w:szCs w:val="24"/>
        </w:rPr>
        <w:t>s atos notariais eletrônicos reputam-se autênticos e detentores de fé pública, como previsto na legislação</w:t>
      </w:r>
      <w:r>
        <w:rPr>
          <w:rFonts w:ascii="Times New Roman" w:hAnsi="Times New Roman" w:cs="Times New Roman"/>
          <w:sz w:val="24"/>
          <w:szCs w:val="24"/>
        </w:rPr>
        <w:t xml:space="preserve">. </w:t>
      </w:r>
    </w:p>
    <w:p w14:paraId="66061913" w14:textId="77777777" w:rsidR="0058676A" w:rsidRDefault="0058676A" w:rsidP="0058676A">
      <w:pPr>
        <w:pStyle w:val="t"/>
        <w:spacing w:before="120" w:after="120" w:line="360" w:lineRule="auto"/>
        <w:ind w:firstLine="1701"/>
        <w:rPr>
          <w:rFonts w:ascii="Times New Roman" w:hAnsi="Times New Roman"/>
          <w:sz w:val="24"/>
          <w:szCs w:val="24"/>
        </w:rPr>
      </w:pPr>
      <w:r>
        <w:rPr>
          <w:rFonts w:ascii="Times New Roman" w:hAnsi="Times New Roman"/>
          <w:sz w:val="24"/>
          <w:szCs w:val="24"/>
        </w:rPr>
        <w:t xml:space="preserve">Com isso, seria alcançada, a partir da estrita legalidade, a concretização plena das escrituras públicas digitais e do </w:t>
      </w:r>
      <w:r w:rsidRPr="0058676A">
        <w:rPr>
          <w:rFonts w:ascii="Times New Roman" w:hAnsi="Times New Roman"/>
          <w:i/>
          <w:iCs/>
          <w:sz w:val="24"/>
          <w:szCs w:val="24"/>
        </w:rPr>
        <w:t>e-notariado</w:t>
      </w:r>
      <w:r>
        <w:rPr>
          <w:rFonts w:ascii="Times New Roman" w:hAnsi="Times New Roman"/>
          <w:sz w:val="24"/>
          <w:szCs w:val="24"/>
        </w:rPr>
        <w:t xml:space="preserve">, em diálogo com a Lei 14.382/2022, originária da Medida Provisória 1.085/2021, que instituiu o Sistema Eletrônico dos Registros Públicos (SERP), com a digitalização dos serviços de registros de imóveis. </w:t>
      </w:r>
    </w:p>
    <w:p w14:paraId="1645D06C" w14:textId="560702DF" w:rsidR="0058676A" w:rsidRDefault="0058676A" w:rsidP="0058676A">
      <w:pPr>
        <w:pStyle w:val="t"/>
        <w:spacing w:before="120" w:after="120" w:line="360" w:lineRule="auto"/>
        <w:ind w:firstLine="1701"/>
        <w:rPr>
          <w:kern w:val="2"/>
          <w14:ligatures w14:val="standardContextual"/>
        </w:rPr>
      </w:pPr>
      <w:r>
        <w:rPr>
          <w:rFonts w:ascii="Times New Roman" w:hAnsi="Times New Roman"/>
          <w:sz w:val="24"/>
          <w:szCs w:val="24"/>
        </w:rPr>
        <w:t xml:space="preserve">Como tenho afirmado em diferentes ambientes, muito em breve, as expressões </w:t>
      </w:r>
      <w:r>
        <w:rPr>
          <w:rFonts w:ascii="Times New Roman" w:hAnsi="Times New Roman"/>
          <w:i/>
          <w:iCs/>
          <w:sz w:val="24"/>
          <w:szCs w:val="24"/>
        </w:rPr>
        <w:t>e-notariado</w:t>
      </w:r>
      <w:r>
        <w:rPr>
          <w:rFonts w:ascii="Times New Roman" w:hAnsi="Times New Roman"/>
          <w:sz w:val="24"/>
          <w:szCs w:val="24"/>
        </w:rPr>
        <w:t xml:space="preserve"> e </w:t>
      </w:r>
      <w:r>
        <w:rPr>
          <w:rFonts w:ascii="Times New Roman" w:hAnsi="Times New Roman"/>
          <w:i/>
          <w:iCs/>
          <w:sz w:val="24"/>
          <w:szCs w:val="24"/>
        </w:rPr>
        <w:t>SERP</w:t>
      </w:r>
      <w:r>
        <w:rPr>
          <w:rFonts w:ascii="Times New Roman" w:hAnsi="Times New Roman"/>
          <w:sz w:val="24"/>
          <w:szCs w:val="24"/>
        </w:rPr>
        <w:t xml:space="preserve"> substituirão de forma definitiva os termos </w:t>
      </w:r>
      <w:r>
        <w:rPr>
          <w:rFonts w:ascii="Times New Roman" w:hAnsi="Times New Roman"/>
          <w:i/>
          <w:iCs/>
          <w:sz w:val="24"/>
          <w:szCs w:val="24"/>
        </w:rPr>
        <w:t>escritura</w:t>
      </w:r>
      <w:r>
        <w:rPr>
          <w:rFonts w:ascii="Times New Roman" w:hAnsi="Times New Roman"/>
          <w:sz w:val="24"/>
          <w:szCs w:val="24"/>
        </w:rPr>
        <w:t xml:space="preserve"> e </w:t>
      </w:r>
      <w:r>
        <w:rPr>
          <w:rFonts w:ascii="Times New Roman" w:hAnsi="Times New Roman"/>
          <w:i/>
          <w:iCs/>
          <w:sz w:val="24"/>
          <w:szCs w:val="24"/>
        </w:rPr>
        <w:t>registro</w:t>
      </w:r>
      <w:r>
        <w:rPr>
          <w:rFonts w:ascii="Times New Roman" w:hAnsi="Times New Roman"/>
          <w:sz w:val="24"/>
          <w:szCs w:val="24"/>
        </w:rPr>
        <w:t xml:space="preserve">. E, para que se concretize, com eficiência e lastro jurídico, essa importante transformação do Direito Civil pelo uso das novas tecnologias, é mais do que necessário dotar o primeiro de legalidade, o que não há neste momento, sendo o Código Civil o </w:t>
      </w:r>
      <w:r>
        <w:rPr>
          <w:rFonts w:ascii="Times New Roman" w:hAnsi="Times New Roman"/>
          <w:i/>
          <w:iCs/>
          <w:sz w:val="24"/>
          <w:szCs w:val="24"/>
        </w:rPr>
        <w:t>locus</w:t>
      </w:r>
      <w:r>
        <w:rPr>
          <w:rFonts w:ascii="Times New Roman" w:hAnsi="Times New Roman"/>
          <w:sz w:val="24"/>
          <w:szCs w:val="24"/>
        </w:rPr>
        <w:t xml:space="preserve"> adequado para o tratamento desse tema e de outros do chamado Direito Civil Digital, retomando-se o protagonismo perdido da codificação privada de 2002.</w:t>
      </w:r>
    </w:p>
    <w:p w14:paraId="69F888CD" w14:textId="77777777" w:rsidR="00DB007B" w:rsidRPr="00DB007B" w:rsidRDefault="00DB007B" w:rsidP="00DB007B">
      <w:pPr>
        <w:rPr>
          <w:lang w:eastAsia="pt-BR"/>
        </w:rPr>
      </w:pPr>
    </w:p>
    <w:sectPr w:rsidR="00DB007B" w:rsidRPr="00DB007B"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312FB" w14:textId="77777777" w:rsidR="004C1837" w:rsidRPr="00506A24" w:rsidRDefault="004C1837" w:rsidP="00B15AD0">
      <w:pPr>
        <w:spacing w:after="0" w:line="240" w:lineRule="auto"/>
      </w:pPr>
      <w:r w:rsidRPr="00506A24">
        <w:separator/>
      </w:r>
    </w:p>
  </w:endnote>
  <w:endnote w:type="continuationSeparator" w:id="0">
    <w:p w14:paraId="2724955F" w14:textId="77777777" w:rsidR="004C1837" w:rsidRPr="00506A24" w:rsidRDefault="004C1837" w:rsidP="00B15AD0">
      <w:pPr>
        <w:spacing w:after="0" w:line="240" w:lineRule="auto"/>
      </w:pPr>
      <w:r w:rsidRPr="00506A2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MyriadPro-Regular">
    <w:altName w:val="Malgun Goth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919016"/>
      <w:docPartObj>
        <w:docPartGallery w:val="Page Numbers (Bottom of Page)"/>
        <w:docPartUnique/>
      </w:docPartObj>
    </w:sdtPr>
    <w:sdtContent>
      <w:p w14:paraId="2433B30C" w14:textId="77777777" w:rsidR="003E5476" w:rsidRPr="00506A24" w:rsidRDefault="00E35B34">
        <w:pPr>
          <w:pStyle w:val="Rodap"/>
          <w:jc w:val="right"/>
        </w:pPr>
        <w:r>
          <w:fldChar w:fldCharType="begin"/>
        </w:r>
        <w:r>
          <w:instrText xml:space="preserve"> PAGE   \* MERGEFORMAT </w:instrText>
        </w:r>
        <w:r>
          <w:fldChar w:fldCharType="separate"/>
        </w:r>
        <w:r>
          <w:rPr>
            <w:noProof/>
          </w:rPr>
          <w:t>1</w:t>
        </w:r>
        <w:r>
          <w:rPr>
            <w:noProof/>
          </w:rPr>
          <w:fldChar w:fldCharType="end"/>
        </w:r>
      </w:p>
    </w:sdtContent>
  </w:sdt>
  <w:p w14:paraId="6E68A687" w14:textId="77777777" w:rsidR="003E5476" w:rsidRPr="00506A24" w:rsidRDefault="003E547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102AB" w14:textId="77777777" w:rsidR="004C1837" w:rsidRPr="00506A24" w:rsidRDefault="004C1837" w:rsidP="00B15AD0">
      <w:pPr>
        <w:spacing w:after="0" w:line="240" w:lineRule="auto"/>
      </w:pPr>
      <w:r w:rsidRPr="00506A24">
        <w:separator/>
      </w:r>
    </w:p>
  </w:footnote>
  <w:footnote w:type="continuationSeparator" w:id="0">
    <w:p w14:paraId="1EBD9C95" w14:textId="77777777" w:rsidR="004C1837" w:rsidRPr="00506A24" w:rsidRDefault="004C1837" w:rsidP="00B15AD0">
      <w:pPr>
        <w:spacing w:after="0" w:line="240" w:lineRule="auto"/>
      </w:pPr>
      <w:r w:rsidRPr="00506A24">
        <w:continuationSeparator/>
      </w:r>
    </w:p>
  </w:footnote>
  <w:footnote w:id="1">
    <w:p w14:paraId="450C736C" w14:textId="37BD15FD" w:rsidR="003E5476" w:rsidRPr="00197971" w:rsidRDefault="003E5476" w:rsidP="00B15AD0">
      <w:pPr>
        <w:pStyle w:val="Textodenotaderodap"/>
        <w:jc w:val="both"/>
      </w:pPr>
      <w:r w:rsidRPr="00506A24">
        <w:rPr>
          <w:rStyle w:val="Refdenotaderodap"/>
        </w:rPr>
        <w:footnoteRef/>
      </w:r>
      <w:r w:rsidRPr="00506A24">
        <w:t xml:space="preserve"> Pós-Doutor e Doutor em Direito Civil pela USP. Mestre em Direito Civil Comparado pela PUCSP. Professor Titular permanente e coordenador do mestrado da Escola Paulista de Direito (EPD). Professor e coordenador dos cursos de pós-graduação </w:t>
      </w:r>
      <w:r w:rsidRPr="00506A24">
        <w:rPr>
          <w:i/>
        </w:rPr>
        <w:t>lato sensu</w:t>
      </w:r>
      <w:r w:rsidRPr="00506A24">
        <w:t xml:space="preserve"> em Direito Privado da EPD. Relator do Projeto de Reforma do Código Civil</w:t>
      </w:r>
      <w:r w:rsidR="005674C9">
        <w:t xml:space="preserve"> na Comissão de Juristas do Senado Federal</w:t>
      </w:r>
      <w:r w:rsidRPr="00506A24">
        <w:t xml:space="preserve">. Primeiro Presidente e Fundador do Instituto Brasileiro de Direito Contratual (IBDCONT). Conselheiro Federal da OAB, pela OABSP. Advogado em São Paulo, parecerista, árbitro e consultor jurídico.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979652618">
    <w:abstractNumId w:val="1"/>
  </w:num>
  <w:num w:numId="2" w16cid:durableId="1878271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0E"/>
    <w:rsid w:val="00061D24"/>
    <w:rsid w:val="00061D89"/>
    <w:rsid w:val="00065809"/>
    <w:rsid w:val="00081B5A"/>
    <w:rsid w:val="00081F89"/>
    <w:rsid w:val="00084038"/>
    <w:rsid w:val="00090984"/>
    <w:rsid w:val="00091C4D"/>
    <w:rsid w:val="00092468"/>
    <w:rsid w:val="000967F8"/>
    <w:rsid w:val="000A0500"/>
    <w:rsid w:val="000A1BE1"/>
    <w:rsid w:val="000A1DAE"/>
    <w:rsid w:val="000A20A3"/>
    <w:rsid w:val="000A4AFE"/>
    <w:rsid w:val="000A6A8E"/>
    <w:rsid w:val="000B0D00"/>
    <w:rsid w:val="000B199E"/>
    <w:rsid w:val="000B3C12"/>
    <w:rsid w:val="000B4F9A"/>
    <w:rsid w:val="000B6EDD"/>
    <w:rsid w:val="000C0579"/>
    <w:rsid w:val="000C5F8E"/>
    <w:rsid w:val="000D4EB5"/>
    <w:rsid w:val="000D5EE0"/>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74761"/>
    <w:rsid w:val="00176E7D"/>
    <w:rsid w:val="001A1246"/>
    <w:rsid w:val="001A33D9"/>
    <w:rsid w:val="001A3BB7"/>
    <w:rsid w:val="001A3C52"/>
    <w:rsid w:val="001B0CD7"/>
    <w:rsid w:val="001B36E1"/>
    <w:rsid w:val="001B45D7"/>
    <w:rsid w:val="001B5392"/>
    <w:rsid w:val="001B648E"/>
    <w:rsid w:val="001C0743"/>
    <w:rsid w:val="001C0BF5"/>
    <w:rsid w:val="001C20B6"/>
    <w:rsid w:val="001C3F9C"/>
    <w:rsid w:val="001D10F0"/>
    <w:rsid w:val="001D23C5"/>
    <w:rsid w:val="001D248B"/>
    <w:rsid w:val="001D26B5"/>
    <w:rsid w:val="001D2D3A"/>
    <w:rsid w:val="001D2FCE"/>
    <w:rsid w:val="001D4C59"/>
    <w:rsid w:val="001E287D"/>
    <w:rsid w:val="001E3A72"/>
    <w:rsid w:val="001E5FD0"/>
    <w:rsid w:val="001F0B30"/>
    <w:rsid w:val="001F7416"/>
    <w:rsid w:val="00204797"/>
    <w:rsid w:val="002057D0"/>
    <w:rsid w:val="00216BE4"/>
    <w:rsid w:val="002173DE"/>
    <w:rsid w:val="00223883"/>
    <w:rsid w:val="00226F9E"/>
    <w:rsid w:val="00227988"/>
    <w:rsid w:val="00231DBA"/>
    <w:rsid w:val="00231DCF"/>
    <w:rsid w:val="00234405"/>
    <w:rsid w:val="00240103"/>
    <w:rsid w:val="00240B32"/>
    <w:rsid w:val="002628DD"/>
    <w:rsid w:val="0027030E"/>
    <w:rsid w:val="00270AAC"/>
    <w:rsid w:val="00275DC5"/>
    <w:rsid w:val="0027678B"/>
    <w:rsid w:val="00276D6A"/>
    <w:rsid w:val="0027700F"/>
    <w:rsid w:val="002809A2"/>
    <w:rsid w:val="00283304"/>
    <w:rsid w:val="00283C6E"/>
    <w:rsid w:val="0028639A"/>
    <w:rsid w:val="002876ED"/>
    <w:rsid w:val="00295705"/>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CA8"/>
    <w:rsid w:val="002D7126"/>
    <w:rsid w:val="002D75F5"/>
    <w:rsid w:val="002E0A51"/>
    <w:rsid w:val="002E174E"/>
    <w:rsid w:val="002E2013"/>
    <w:rsid w:val="002F013F"/>
    <w:rsid w:val="002F1032"/>
    <w:rsid w:val="002F1121"/>
    <w:rsid w:val="002F1277"/>
    <w:rsid w:val="002F6BCE"/>
    <w:rsid w:val="00310780"/>
    <w:rsid w:val="00311DC8"/>
    <w:rsid w:val="00313722"/>
    <w:rsid w:val="003156EB"/>
    <w:rsid w:val="00316B68"/>
    <w:rsid w:val="00325274"/>
    <w:rsid w:val="0032631E"/>
    <w:rsid w:val="00331477"/>
    <w:rsid w:val="003358E3"/>
    <w:rsid w:val="00341469"/>
    <w:rsid w:val="00341F09"/>
    <w:rsid w:val="00351820"/>
    <w:rsid w:val="00353FDF"/>
    <w:rsid w:val="00354174"/>
    <w:rsid w:val="00356BC1"/>
    <w:rsid w:val="00357109"/>
    <w:rsid w:val="0037094A"/>
    <w:rsid w:val="0038223F"/>
    <w:rsid w:val="003869F0"/>
    <w:rsid w:val="00394C9F"/>
    <w:rsid w:val="003964F7"/>
    <w:rsid w:val="00396C5B"/>
    <w:rsid w:val="003A2D67"/>
    <w:rsid w:val="003B0F36"/>
    <w:rsid w:val="003C0ADC"/>
    <w:rsid w:val="003D1130"/>
    <w:rsid w:val="003D758C"/>
    <w:rsid w:val="003E5476"/>
    <w:rsid w:val="003E6BFA"/>
    <w:rsid w:val="00416565"/>
    <w:rsid w:val="00416BAE"/>
    <w:rsid w:val="00420F7D"/>
    <w:rsid w:val="00421AAD"/>
    <w:rsid w:val="004231D8"/>
    <w:rsid w:val="004263CC"/>
    <w:rsid w:val="00440E97"/>
    <w:rsid w:val="0044129B"/>
    <w:rsid w:val="004459BC"/>
    <w:rsid w:val="00451CC8"/>
    <w:rsid w:val="00461BBB"/>
    <w:rsid w:val="00463CAE"/>
    <w:rsid w:val="0046464F"/>
    <w:rsid w:val="00465B35"/>
    <w:rsid w:val="004702C9"/>
    <w:rsid w:val="00473561"/>
    <w:rsid w:val="00475A7F"/>
    <w:rsid w:val="00486631"/>
    <w:rsid w:val="004B0CC8"/>
    <w:rsid w:val="004B1ABA"/>
    <w:rsid w:val="004B4344"/>
    <w:rsid w:val="004C1837"/>
    <w:rsid w:val="004C28CC"/>
    <w:rsid w:val="004C2B01"/>
    <w:rsid w:val="004C6716"/>
    <w:rsid w:val="004C6CAD"/>
    <w:rsid w:val="004D192A"/>
    <w:rsid w:val="004D3C8B"/>
    <w:rsid w:val="004E68BF"/>
    <w:rsid w:val="004F108D"/>
    <w:rsid w:val="004F5A0C"/>
    <w:rsid w:val="005019A9"/>
    <w:rsid w:val="00505C0B"/>
    <w:rsid w:val="00505F81"/>
    <w:rsid w:val="00506A24"/>
    <w:rsid w:val="00510D5E"/>
    <w:rsid w:val="0051186F"/>
    <w:rsid w:val="00513172"/>
    <w:rsid w:val="00520F3F"/>
    <w:rsid w:val="00521AD5"/>
    <w:rsid w:val="00525923"/>
    <w:rsid w:val="005264F9"/>
    <w:rsid w:val="00537B7E"/>
    <w:rsid w:val="00540A1C"/>
    <w:rsid w:val="00550067"/>
    <w:rsid w:val="00551126"/>
    <w:rsid w:val="00552DBC"/>
    <w:rsid w:val="00554A9A"/>
    <w:rsid w:val="00555174"/>
    <w:rsid w:val="00560AB1"/>
    <w:rsid w:val="00565371"/>
    <w:rsid w:val="005662A2"/>
    <w:rsid w:val="005674C9"/>
    <w:rsid w:val="00572FB3"/>
    <w:rsid w:val="005803EC"/>
    <w:rsid w:val="00581D80"/>
    <w:rsid w:val="00582E0D"/>
    <w:rsid w:val="0058340B"/>
    <w:rsid w:val="0058676A"/>
    <w:rsid w:val="005937B9"/>
    <w:rsid w:val="005A0224"/>
    <w:rsid w:val="005A13B2"/>
    <w:rsid w:val="005A1CA7"/>
    <w:rsid w:val="005A5520"/>
    <w:rsid w:val="005A5D67"/>
    <w:rsid w:val="005A6CC3"/>
    <w:rsid w:val="005B6FDC"/>
    <w:rsid w:val="005C2B81"/>
    <w:rsid w:val="005C3438"/>
    <w:rsid w:val="005C3619"/>
    <w:rsid w:val="005C4502"/>
    <w:rsid w:val="005D3299"/>
    <w:rsid w:val="005D6822"/>
    <w:rsid w:val="005E4456"/>
    <w:rsid w:val="005E4E1C"/>
    <w:rsid w:val="005E510E"/>
    <w:rsid w:val="005E5BC0"/>
    <w:rsid w:val="005F164A"/>
    <w:rsid w:val="005F1820"/>
    <w:rsid w:val="005F25C9"/>
    <w:rsid w:val="005F41FE"/>
    <w:rsid w:val="005F7883"/>
    <w:rsid w:val="006067E7"/>
    <w:rsid w:val="00606C96"/>
    <w:rsid w:val="00610691"/>
    <w:rsid w:val="00613516"/>
    <w:rsid w:val="006169A5"/>
    <w:rsid w:val="0063474C"/>
    <w:rsid w:val="00635A77"/>
    <w:rsid w:val="0063631C"/>
    <w:rsid w:val="006375E0"/>
    <w:rsid w:val="00637D4E"/>
    <w:rsid w:val="0064646B"/>
    <w:rsid w:val="006503ED"/>
    <w:rsid w:val="0065126D"/>
    <w:rsid w:val="0065327B"/>
    <w:rsid w:val="00653C19"/>
    <w:rsid w:val="00653FEF"/>
    <w:rsid w:val="006551BA"/>
    <w:rsid w:val="0065579F"/>
    <w:rsid w:val="00657203"/>
    <w:rsid w:val="00664651"/>
    <w:rsid w:val="00666DBB"/>
    <w:rsid w:val="00667AAB"/>
    <w:rsid w:val="00674CF0"/>
    <w:rsid w:val="006815B4"/>
    <w:rsid w:val="00682647"/>
    <w:rsid w:val="00684049"/>
    <w:rsid w:val="00684EAE"/>
    <w:rsid w:val="00687D4D"/>
    <w:rsid w:val="00687F6F"/>
    <w:rsid w:val="00692442"/>
    <w:rsid w:val="006931D3"/>
    <w:rsid w:val="00693231"/>
    <w:rsid w:val="0069517F"/>
    <w:rsid w:val="00696537"/>
    <w:rsid w:val="00696E45"/>
    <w:rsid w:val="006A1DE3"/>
    <w:rsid w:val="006A20BD"/>
    <w:rsid w:val="006A24C2"/>
    <w:rsid w:val="006A3397"/>
    <w:rsid w:val="006A4626"/>
    <w:rsid w:val="006A67A7"/>
    <w:rsid w:val="006B0194"/>
    <w:rsid w:val="006B4DC9"/>
    <w:rsid w:val="006B64C9"/>
    <w:rsid w:val="006D2259"/>
    <w:rsid w:val="006D389F"/>
    <w:rsid w:val="006D7C66"/>
    <w:rsid w:val="006E0C8C"/>
    <w:rsid w:val="006E1F16"/>
    <w:rsid w:val="006E434B"/>
    <w:rsid w:val="006F37FB"/>
    <w:rsid w:val="006F666B"/>
    <w:rsid w:val="006F7018"/>
    <w:rsid w:val="0070123D"/>
    <w:rsid w:val="007018A3"/>
    <w:rsid w:val="0070682D"/>
    <w:rsid w:val="00711BF6"/>
    <w:rsid w:val="0071408C"/>
    <w:rsid w:val="007154AD"/>
    <w:rsid w:val="007161E4"/>
    <w:rsid w:val="00720F0E"/>
    <w:rsid w:val="007318C7"/>
    <w:rsid w:val="007406B8"/>
    <w:rsid w:val="00741F35"/>
    <w:rsid w:val="00743A0D"/>
    <w:rsid w:val="00747200"/>
    <w:rsid w:val="0075158E"/>
    <w:rsid w:val="007522CF"/>
    <w:rsid w:val="00752FEE"/>
    <w:rsid w:val="007662FB"/>
    <w:rsid w:val="00771074"/>
    <w:rsid w:val="007745E9"/>
    <w:rsid w:val="00774964"/>
    <w:rsid w:val="00777567"/>
    <w:rsid w:val="00777A2F"/>
    <w:rsid w:val="0078277B"/>
    <w:rsid w:val="00783334"/>
    <w:rsid w:val="00784107"/>
    <w:rsid w:val="00786CE4"/>
    <w:rsid w:val="007914E9"/>
    <w:rsid w:val="0079684D"/>
    <w:rsid w:val="007A0FB1"/>
    <w:rsid w:val="007A1060"/>
    <w:rsid w:val="007A54E4"/>
    <w:rsid w:val="007A6C76"/>
    <w:rsid w:val="007B113F"/>
    <w:rsid w:val="007B2E42"/>
    <w:rsid w:val="007B3258"/>
    <w:rsid w:val="007B5E1B"/>
    <w:rsid w:val="007C17F4"/>
    <w:rsid w:val="007C1C26"/>
    <w:rsid w:val="007C517C"/>
    <w:rsid w:val="007C63D2"/>
    <w:rsid w:val="007D0849"/>
    <w:rsid w:val="007D7E1C"/>
    <w:rsid w:val="007E25B9"/>
    <w:rsid w:val="007E6471"/>
    <w:rsid w:val="007F14FB"/>
    <w:rsid w:val="00801384"/>
    <w:rsid w:val="00802F39"/>
    <w:rsid w:val="00805969"/>
    <w:rsid w:val="0080683F"/>
    <w:rsid w:val="00806EDD"/>
    <w:rsid w:val="00824E4B"/>
    <w:rsid w:val="00830464"/>
    <w:rsid w:val="00831927"/>
    <w:rsid w:val="00832AE4"/>
    <w:rsid w:val="00851514"/>
    <w:rsid w:val="00851601"/>
    <w:rsid w:val="00852A04"/>
    <w:rsid w:val="00852DEB"/>
    <w:rsid w:val="00855774"/>
    <w:rsid w:val="008674E3"/>
    <w:rsid w:val="00867E84"/>
    <w:rsid w:val="00880709"/>
    <w:rsid w:val="00880ACE"/>
    <w:rsid w:val="00880B27"/>
    <w:rsid w:val="00885120"/>
    <w:rsid w:val="00895E9B"/>
    <w:rsid w:val="008A46FF"/>
    <w:rsid w:val="008A6200"/>
    <w:rsid w:val="008B65F8"/>
    <w:rsid w:val="008C19E7"/>
    <w:rsid w:val="008D1456"/>
    <w:rsid w:val="008D1E6F"/>
    <w:rsid w:val="008E513D"/>
    <w:rsid w:val="008F63CA"/>
    <w:rsid w:val="0090223A"/>
    <w:rsid w:val="00902BB5"/>
    <w:rsid w:val="00906135"/>
    <w:rsid w:val="00907993"/>
    <w:rsid w:val="0091232E"/>
    <w:rsid w:val="00920A9B"/>
    <w:rsid w:val="00920C6E"/>
    <w:rsid w:val="0092561C"/>
    <w:rsid w:val="00925730"/>
    <w:rsid w:val="00932490"/>
    <w:rsid w:val="009368C3"/>
    <w:rsid w:val="009464A7"/>
    <w:rsid w:val="00946888"/>
    <w:rsid w:val="00953982"/>
    <w:rsid w:val="00954C6F"/>
    <w:rsid w:val="00955726"/>
    <w:rsid w:val="00956D2B"/>
    <w:rsid w:val="00960F98"/>
    <w:rsid w:val="00961295"/>
    <w:rsid w:val="00964A37"/>
    <w:rsid w:val="00965DB6"/>
    <w:rsid w:val="009661A3"/>
    <w:rsid w:val="009667C7"/>
    <w:rsid w:val="00971484"/>
    <w:rsid w:val="009715B4"/>
    <w:rsid w:val="00975C0F"/>
    <w:rsid w:val="0097659D"/>
    <w:rsid w:val="00977772"/>
    <w:rsid w:val="0098731E"/>
    <w:rsid w:val="009A40C8"/>
    <w:rsid w:val="009B666C"/>
    <w:rsid w:val="009B75BF"/>
    <w:rsid w:val="009C00DA"/>
    <w:rsid w:val="009C3361"/>
    <w:rsid w:val="009C4399"/>
    <w:rsid w:val="009C5018"/>
    <w:rsid w:val="009D12E8"/>
    <w:rsid w:val="009D17EF"/>
    <w:rsid w:val="009D6C03"/>
    <w:rsid w:val="009E1D79"/>
    <w:rsid w:val="009E65DC"/>
    <w:rsid w:val="009F1929"/>
    <w:rsid w:val="009F594A"/>
    <w:rsid w:val="009F5F3F"/>
    <w:rsid w:val="009F6476"/>
    <w:rsid w:val="00A01D37"/>
    <w:rsid w:val="00A02347"/>
    <w:rsid w:val="00A06093"/>
    <w:rsid w:val="00A07A6F"/>
    <w:rsid w:val="00A1091B"/>
    <w:rsid w:val="00A109C6"/>
    <w:rsid w:val="00A10A11"/>
    <w:rsid w:val="00A10C05"/>
    <w:rsid w:val="00A15C1C"/>
    <w:rsid w:val="00A17286"/>
    <w:rsid w:val="00A20C07"/>
    <w:rsid w:val="00A21CE5"/>
    <w:rsid w:val="00A2489D"/>
    <w:rsid w:val="00A327F6"/>
    <w:rsid w:val="00A43AFD"/>
    <w:rsid w:val="00A442CF"/>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1666"/>
    <w:rsid w:val="00AA56AC"/>
    <w:rsid w:val="00AB0E85"/>
    <w:rsid w:val="00AB462C"/>
    <w:rsid w:val="00AB7223"/>
    <w:rsid w:val="00AC193D"/>
    <w:rsid w:val="00AC5B88"/>
    <w:rsid w:val="00AC6D28"/>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06C9"/>
    <w:rsid w:val="00B01459"/>
    <w:rsid w:val="00B02847"/>
    <w:rsid w:val="00B06309"/>
    <w:rsid w:val="00B11339"/>
    <w:rsid w:val="00B15AD0"/>
    <w:rsid w:val="00B15C5A"/>
    <w:rsid w:val="00B23807"/>
    <w:rsid w:val="00B24B08"/>
    <w:rsid w:val="00B26B79"/>
    <w:rsid w:val="00B30B9D"/>
    <w:rsid w:val="00B3241B"/>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C3E"/>
    <w:rsid w:val="00B96D42"/>
    <w:rsid w:val="00B975F2"/>
    <w:rsid w:val="00BA23C3"/>
    <w:rsid w:val="00BA5F05"/>
    <w:rsid w:val="00BB1251"/>
    <w:rsid w:val="00BB144D"/>
    <w:rsid w:val="00BB541E"/>
    <w:rsid w:val="00BB60D6"/>
    <w:rsid w:val="00BB6BEE"/>
    <w:rsid w:val="00BB7705"/>
    <w:rsid w:val="00BC1801"/>
    <w:rsid w:val="00BC23E3"/>
    <w:rsid w:val="00BC3E67"/>
    <w:rsid w:val="00BD0315"/>
    <w:rsid w:val="00BD35D8"/>
    <w:rsid w:val="00BD40C8"/>
    <w:rsid w:val="00BD437B"/>
    <w:rsid w:val="00BE1CB2"/>
    <w:rsid w:val="00BE49BF"/>
    <w:rsid w:val="00BE77F7"/>
    <w:rsid w:val="00BE7A99"/>
    <w:rsid w:val="00BF00AE"/>
    <w:rsid w:val="00BF18DC"/>
    <w:rsid w:val="00BF45D8"/>
    <w:rsid w:val="00BF7D04"/>
    <w:rsid w:val="00C002DB"/>
    <w:rsid w:val="00C06F0A"/>
    <w:rsid w:val="00C11874"/>
    <w:rsid w:val="00C26650"/>
    <w:rsid w:val="00C277D6"/>
    <w:rsid w:val="00C31189"/>
    <w:rsid w:val="00C404EB"/>
    <w:rsid w:val="00C45AC9"/>
    <w:rsid w:val="00C53FB9"/>
    <w:rsid w:val="00C55C23"/>
    <w:rsid w:val="00C55F21"/>
    <w:rsid w:val="00C5797D"/>
    <w:rsid w:val="00C650C5"/>
    <w:rsid w:val="00C732C1"/>
    <w:rsid w:val="00C73DE8"/>
    <w:rsid w:val="00C75E3D"/>
    <w:rsid w:val="00C81C6B"/>
    <w:rsid w:val="00C81D18"/>
    <w:rsid w:val="00C82083"/>
    <w:rsid w:val="00C92E87"/>
    <w:rsid w:val="00C94ADB"/>
    <w:rsid w:val="00C94D42"/>
    <w:rsid w:val="00C94F2F"/>
    <w:rsid w:val="00C95750"/>
    <w:rsid w:val="00CA0E59"/>
    <w:rsid w:val="00CA24B4"/>
    <w:rsid w:val="00CA27DC"/>
    <w:rsid w:val="00CA41F7"/>
    <w:rsid w:val="00CA5D25"/>
    <w:rsid w:val="00CA6B4A"/>
    <w:rsid w:val="00CA6F54"/>
    <w:rsid w:val="00CA7E3B"/>
    <w:rsid w:val="00CB291F"/>
    <w:rsid w:val="00CB34BC"/>
    <w:rsid w:val="00CC320E"/>
    <w:rsid w:val="00CC5417"/>
    <w:rsid w:val="00CC5480"/>
    <w:rsid w:val="00CD2BEF"/>
    <w:rsid w:val="00CD50B1"/>
    <w:rsid w:val="00CE43E1"/>
    <w:rsid w:val="00CE530B"/>
    <w:rsid w:val="00CE63DB"/>
    <w:rsid w:val="00CE7C6D"/>
    <w:rsid w:val="00CF55C8"/>
    <w:rsid w:val="00D01AB6"/>
    <w:rsid w:val="00D0211A"/>
    <w:rsid w:val="00D046C6"/>
    <w:rsid w:val="00D046F1"/>
    <w:rsid w:val="00D04F1C"/>
    <w:rsid w:val="00D07EB8"/>
    <w:rsid w:val="00D13683"/>
    <w:rsid w:val="00D146BD"/>
    <w:rsid w:val="00D166F9"/>
    <w:rsid w:val="00D167BF"/>
    <w:rsid w:val="00D22AC7"/>
    <w:rsid w:val="00D2308A"/>
    <w:rsid w:val="00D26334"/>
    <w:rsid w:val="00D31F45"/>
    <w:rsid w:val="00D35C63"/>
    <w:rsid w:val="00D373E2"/>
    <w:rsid w:val="00D4240B"/>
    <w:rsid w:val="00D44E5A"/>
    <w:rsid w:val="00D57E74"/>
    <w:rsid w:val="00D57F00"/>
    <w:rsid w:val="00D61255"/>
    <w:rsid w:val="00D623D8"/>
    <w:rsid w:val="00D63892"/>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007B"/>
    <w:rsid w:val="00DB1C32"/>
    <w:rsid w:val="00DB2F2A"/>
    <w:rsid w:val="00DC0085"/>
    <w:rsid w:val="00DC17C3"/>
    <w:rsid w:val="00DC2D95"/>
    <w:rsid w:val="00DC49FD"/>
    <w:rsid w:val="00DC5ACF"/>
    <w:rsid w:val="00DD25AE"/>
    <w:rsid w:val="00DD4193"/>
    <w:rsid w:val="00DD4DDC"/>
    <w:rsid w:val="00DD65DA"/>
    <w:rsid w:val="00DE4010"/>
    <w:rsid w:val="00DF5F89"/>
    <w:rsid w:val="00DF7B7C"/>
    <w:rsid w:val="00E03BC8"/>
    <w:rsid w:val="00E0689A"/>
    <w:rsid w:val="00E10301"/>
    <w:rsid w:val="00E1042B"/>
    <w:rsid w:val="00E10CC7"/>
    <w:rsid w:val="00E10FD6"/>
    <w:rsid w:val="00E12C52"/>
    <w:rsid w:val="00E144F9"/>
    <w:rsid w:val="00E154BB"/>
    <w:rsid w:val="00E16503"/>
    <w:rsid w:val="00E16C47"/>
    <w:rsid w:val="00E209D4"/>
    <w:rsid w:val="00E24444"/>
    <w:rsid w:val="00E25C3F"/>
    <w:rsid w:val="00E25D63"/>
    <w:rsid w:val="00E32682"/>
    <w:rsid w:val="00E35493"/>
    <w:rsid w:val="00E35B34"/>
    <w:rsid w:val="00E35E71"/>
    <w:rsid w:val="00E36342"/>
    <w:rsid w:val="00E405B6"/>
    <w:rsid w:val="00E4119F"/>
    <w:rsid w:val="00E41630"/>
    <w:rsid w:val="00E44CDE"/>
    <w:rsid w:val="00E52B01"/>
    <w:rsid w:val="00E53BFA"/>
    <w:rsid w:val="00E5446C"/>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4E8D"/>
    <w:rsid w:val="00EE5673"/>
    <w:rsid w:val="00EE56AE"/>
    <w:rsid w:val="00EE67EA"/>
    <w:rsid w:val="00EF7463"/>
    <w:rsid w:val="00F049DE"/>
    <w:rsid w:val="00F11002"/>
    <w:rsid w:val="00F17013"/>
    <w:rsid w:val="00F215A0"/>
    <w:rsid w:val="00F226FD"/>
    <w:rsid w:val="00F24B9B"/>
    <w:rsid w:val="00F2527F"/>
    <w:rsid w:val="00F265DF"/>
    <w:rsid w:val="00F27A97"/>
    <w:rsid w:val="00F327F5"/>
    <w:rsid w:val="00F33B33"/>
    <w:rsid w:val="00F36722"/>
    <w:rsid w:val="00F374A4"/>
    <w:rsid w:val="00F37CBA"/>
    <w:rsid w:val="00F4508D"/>
    <w:rsid w:val="00F47016"/>
    <w:rsid w:val="00F63D06"/>
    <w:rsid w:val="00F67913"/>
    <w:rsid w:val="00F6792C"/>
    <w:rsid w:val="00F857F3"/>
    <w:rsid w:val="00F95D83"/>
    <w:rsid w:val="00F97FE1"/>
    <w:rsid w:val="00FA4B9B"/>
    <w:rsid w:val="00FA5943"/>
    <w:rsid w:val="00FB11D8"/>
    <w:rsid w:val="00FB52CB"/>
    <w:rsid w:val="00FC17DC"/>
    <w:rsid w:val="00FC70DB"/>
    <w:rsid w:val="00FD72D8"/>
    <w:rsid w:val="00FE09D7"/>
    <w:rsid w:val="00FE20A8"/>
    <w:rsid w:val="00FE3106"/>
    <w:rsid w:val="00FE55D2"/>
    <w:rsid w:val="00FF0F7C"/>
    <w:rsid w:val="00FF1A0B"/>
    <w:rsid w:val="00FF2F67"/>
    <w:rsid w:val="00FF3081"/>
    <w:rsid w:val="00FF4191"/>
    <w:rsid w:val="00FF6E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E6BD9"/>
  <w15:docId w15:val="{014F6AF1-50FE-41D0-AA18-8E78F2BA8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 w:type="paragraph" w:customStyle="1" w:styleId="boxiniciorec">
    <w:name w:val="box inicio_rec"/>
    <w:basedOn w:val="Normal"/>
    <w:uiPriority w:val="99"/>
    <w:rsid w:val="00F049DE"/>
    <w:pPr>
      <w:widowControl w:val="0"/>
      <w:shd w:val="clear" w:color="auto" w:fill="000000"/>
      <w:autoSpaceDE w:val="0"/>
      <w:autoSpaceDN w:val="0"/>
      <w:adjustRightInd w:val="0"/>
      <w:spacing w:before="283"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boxfinalrec">
    <w:name w:val="box final_rec"/>
    <w:basedOn w:val="Normal"/>
    <w:uiPriority w:val="99"/>
    <w:rsid w:val="00F049DE"/>
    <w:pPr>
      <w:widowControl w:val="0"/>
      <w:shd w:val="clear" w:color="auto" w:fill="000000"/>
      <w:autoSpaceDE w:val="0"/>
      <w:autoSpaceDN w:val="0"/>
      <w:adjustRightInd w:val="0"/>
      <w:spacing w:after="283"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350" row="3">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A0A9D35B-DD50-414C-941A-CBC6481E5AC7}">
  <we:reference id="wa200006000" version="1.2.1.0" store="pt-BR" storeType="OMEX"/>
  <we:alternateReferences>
    <we:reference id="WA200006000" version="1.2.1.0" store="WA200006000" storeType="OMEX"/>
  </we:alternateReferences>
  <we:properties>
    <we:property name="document_UID" value="&quot;c3923bb9-b6bb-4a6c-8b45-49330000d564&quot;"/>
  </we:properties>
  <we:bindings/>
  <we:snapshot xmlns:r="http://schemas.openxmlformats.org/officeDocument/2006/relationships"/>
</we:webextension>
</file>

<file path=word/webextensions/webextension2.xml><?xml version="1.0" encoding="utf-8"?>
<we:webextension xmlns:we="http://schemas.microsoft.com/office/webextensions/webextension/2010/11" id="{ECE504E4-22B1-438B-9304-A87339089849}">
  <we:reference id="wa200005502" version="1.0.0.13" store="pt-BR" storeType="OMEX"/>
  <we:alternateReferences>
    <we:reference id="wa200005502" version="1.0.0.13" store="wa200005502" storeType="OMEX"/>
  </we:alternateReferences>
  <we:properties>
    <we:property name="docId" value="&quot;7ytUyTJt7SFfkbfUIBm1j&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C32777-927E-429D-83A7-633B61433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Pages>
  <Words>1472</Words>
  <Characters>7983</Characters>
  <Application>Microsoft Office Word</Application>
  <DocSecurity>0</DocSecurity>
  <Lines>130</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15</cp:revision>
  <dcterms:created xsi:type="dcterms:W3CDTF">2026-05-16T14:52:00Z</dcterms:created>
  <dcterms:modified xsi:type="dcterms:W3CDTF">2026-05-22T19:01:00Z</dcterms:modified>
</cp:coreProperties>
</file>