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F59" w:rsidRPr="00264A05" w:rsidRDefault="00984C5F" w:rsidP="00984C5F">
      <w:pPr>
        <w:pStyle w:val="t"/>
        <w:spacing w:before="120" w:after="120" w:line="36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4A05">
        <w:rPr>
          <w:rFonts w:ascii="Times New Roman" w:hAnsi="Times New Roman" w:cs="Times New Roman"/>
          <w:b/>
          <w:sz w:val="24"/>
          <w:szCs w:val="24"/>
        </w:rPr>
        <w:t xml:space="preserve">A REFORMA DO CÓDIGO CIVIL E </w:t>
      </w:r>
      <w:r w:rsidR="00125F59" w:rsidRPr="00264A05">
        <w:rPr>
          <w:rFonts w:ascii="Times New Roman" w:hAnsi="Times New Roman" w:cs="Times New Roman"/>
          <w:b/>
          <w:sz w:val="24"/>
          <w:szCs w:val="24"/>
        </w:rPr>
        <w:t xml:space="preserve">OS </w:t>
      </w:r>
      <w:r w:rsidR="00125F59" w:rsidRPr="00264A05">
        <w:rPr>
          <w:rFonts w:ascii="Times New Roman" w:hAnsi="Times New Roman" w:cs="Times New Roman"/>
          <w:b/>
          <w:i/>
          <w:sz w:val="24"/>
          <w:szCs w:val="24"/>
        </w:rPr>
        <w:t>ALIMENTOS FAMILIARES.</w:t>
      </w:r>
      <w:r w:rsidR="00125F59" w:rsidRPr="00264A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84C5F" w:rsidRPr="00264A05" w:rsidRDefault="00B40631" w:rsidP="00984C5F">
      <w:pPr>
        <w:pStyle w:val="t"/>
        <w:spacing w:before="120" w:after="120" w:line="36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PROPOSTAS PARA A EXTINÇÃO DOS ALIMENTOS </w:t>
      </w:r>
    </w:p>
    <w:p w:rsidR="004B0C73" w:rsidRPr="00264A05" w:rsidRDefault="004B0C73" w:rsidP="003B2F06"/>
    <w:p w:rsidR="00B27CE0" w:rsidRPr="00264A05" w:rsidRDefault="00B27CE0" w:rsidP="003B2F06"/>
    <w:p w:rsidR="001C3F0B" w:rsidRPr="00264A05" w:rsidRDefault="001C3F0B" w:rsidP="003B6A73">
      <w:pPr>
        <w:jc w:val="right"/>
      </w:pPr>
    </w:p>
    <w:p w:rsidR="00470DA9" w:rsidRPr="00264A05" w:rsidRDefault="00470DA9" w:rsidP="00470DA9">
      <w:pPr>
        <w:spacing w:before="120" w:after="120" w:line="360" w:lineRule="auto"/>
        <w:jc w:val="right"/>
        <w:rPr>
          <w:bCs/>
        </w:rPr>
      </w:pPr>
      <w:r w:rsidRPr="00264A05">
        <w:rPr>
          <w:bCs/>
        </w:rPr>
        <w:t>Flávio Tartuce</w:t>
      </w:r>
      <w:r w:rsidRPr="00264A05">
        <w:rPr>
          <w:bCs/>
          <w:vertAlign w:val="superscript"/>
        </w:rPr>
        <w:footnoteReference w:id="1"/>
      </w:r>
    </w:p>
    <w:p w:rsidR="002116B9" w:rsidRDefault="002116B9" w:rsidP="002116B9"/>
    <w:p w:rsidR="00AF4A6D" w:rsidRPr="00264A05" w:rsidRDefault="00AF4A6D" w:rsidP="002116B9"/>
    <w:p w:rsidR="00B40631" w:rsidRDefault="00984C5F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264A05">
        <w:rPr>
          <w:rFonts w:ascii="Times New Roman" w:hAnsi="Times New Roman" w:cs="Times New Roman"/>
          <w:sz w:val="24"/>
          <w:szCs w:val="24"/>
        </w:rPr>
        <w:t>Seguindo na análise de algumas das propostas formuladas pelas Comissão de Juristas nomeada no âmbito do Senado Federal para</w:t>
      </w:r>
      <w:r w:rsidR="00000FCE" w:rsidRPr="00264A05">
        <w:rPr>
          <w:rFonts w:ascii="Times New Roman" w:hAnsi="Times New Roman" w:cs="Times New Roman"/>
          <w:sz w:val="24"/>
          <w:szCs w:val="24"/>
        </w:rPr>
        <w:t xml:space="preserve"> a</w:t>
      </w:r>
      <w:r w:rsidRPr="00264A05">
        <w:rPr>
          <w:rFonts w:ascii="Times New Roman" w:hAnsi="Times New Roman" w:cs="Times New Roman"/>
          <w:sz w:val="24"/>
          <w:szCs w:val="24"/>
        </w:rPr>
        <w:t xml:space="preserve"> Reforma do Código Civil, </w:t>
      </w:r>
      <w:r w:rsidR="002E4732" w:rsidRPr="00264A05">
        <w:rPr>
          <w:rFonts w:ascii="Times New Roman" w:hAnsi="Times New Roman" w:cs="Times New Roman"/>
          <w:sz w:val="24"/>
          <w:szCs w:val="24"/>
        </w:rPr>
        <w:t xml:space="preserve">tratarei </w:t>
      </w:r>
      <w:r w:rsidR="00BC049F">
        <w:rPr>
          <w:rFonts w:ascii="Times New Roman" w:hAnsi="Times New Roman" w:cs="Times New Roman"/>
          <w:sz w:val="24"/>
          <w:szCs w:val="24"/>
        </w:rPr>
        <w:t xml:space="preserve">neste texto </w:t>
      </w:r>
      <w:r w:rsidR="002E4732" w:rsidRPr="00264A05">
        <w:rPr>
          <w:rFonts w:ascii="Times New Roman" w:hAnsi="Times New Roman" w:cs="Times New Roman"/>
          <w:sz w:val="24"/>
          <w:szCs w:val="24"/>
        </w:rPr>
        <w:t>do conteúdo</w:t>
      </w:r>
      <w:r w:rsidR="00B40631">
        <w:rPr>
          <w:rFonts w:ascii="Times New Roman" w:hAnsi="Times New Roman" w:cs="Times New Roman"/>
          <w:sz w:val="24"/>
          <w:szCs w:val="24"/>
        </w:rPr>
        <w:t xml:space="preserve"> d</w:t>
      </w:r>
      <w:r w:rsidR="00BC049F">
        <w:rPr>
          <w:rFonts w:ascii="Times New Roman" w:hAnsi="Times New Roman" w:cs="Times New Roman"/>
          <w:sz w:val="24"/>
          <w:szCs w:val="24"/>
        </w:rPr>
        <w:t xml:space="preserve">e algumas </w:t>
      </w:r>
      <w:r w:rsidR="00B40631">
        <w:rPr>
          <w:rFonts w:ascii="Times New Roman" w:hAnsi="Times New Roman" w:cs="Times New Roman"/>
          <w:sz w:val="24"/>
          <w:szCs w:val="24"/>
        </w:rPr>
        <w:t xml:space="preserve">proposições relativas à extinção dos </w:t>
      </w:r>
      <w:r w:rsidR="00B40631" w:rsidRPr="00BC049F">
        <w:rPr>
          <w:rFonts w:ascii="Times New Roman" w:hAnsi="Times New Roman" w:cs="Times New Roman"/>
          <w:i/>
          <w:sz w:val="24"/>
          <w:szCs w:val="24"/>
        </w:rPr>
        <w:t>alimentos</w:t>
      </w:r>
      <w:r w:rsidR="00BC049F" w:rsidRPr="00BC049F">
        <w:rPr>
          <w:rFonts w:ascii="Times New Roman" w:hAnsi="Times New Roman" w:cs="Times New Roman"/>
          <w:i/>
          <w:sz w:val="24"/>
          <w:szCs w:val="24"/>
        </w:rPr>
        <w:t xml:space="preserve"> familiares</w:t>
      </w:r>
      <w:r w:rsidR="00BC049F">
        <w:rPr>
          <w:rFonts w:ascii="Times New Roman" w:hAnsi="Times New Roman" w:cs="Times New Roman"/>
          <w:sz w:val="24"/>
          <w:szCs w:val="24"/>
        </w:rPr>
        <w:t>, havidos entre cônjuges, conviventes e parentes.</w:t>
      </w:r>
      <w:r w:rsidR="002F15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Como se sabe, </w:t>
      </w:r>
      <w:r w:rsidR="00770B3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primeira situação </w:t>
      </w:r>
      <w:r w:rsidR="00AF4A6D">
        <w:rPr>
          <w:rFonts w:ascii="Times New Roman" w:hAnsi="Times New Roman" w:cs="Times New Roman"/>
          <w:sz w:val="24"/>
          <w:szCs w:val="24"/>
        </w:rPr>
        <w:t xml:space="preserve">a ser destacada </w:t>
      </w:r>
      <w:r>
        <w:rPr>
          <w:rFonts w:ascii="Times New Roman" w:hAnsi="Times New Roman" w:cs="Times New Roman"/>
          <w:sz w:val="24"/>
          <w:szCs w:val="24"/>
        </w:rPr>
        <w:t xml:space="preserve">de extinção dessa obrigação </w:t>
      </w:r>
      <w:r w:rsidRPr="00B40631">
        <w:rPr>
          <w:rFonts w:ascii="Times New Roman" w:hAnsi="Times New Roman" w:cs="Times New Roman"/>
          <w:sz w:val="24"/>
          <w:szCs w:val="24"/>
        </w:rPr>
        <w:t xml:space="preserve">pode ocorrer havendo uma mudança estrutural drástica no </w:t>
      </w:r>
      <w:r w:rsidRPr="00AF4A6D">
        <w:rPr>
          <w:rFonts w:ascii="Times New Roman" w:hAnsi="Times New Roman" w:cs="Times New Roman"/>
          <w:i/>
          <w:sz w:val="24"/>
          <w:szCs w:val="24"/>
        </w:rPr>
        <w:t>binômio</w:t>
      </w:r>
      <w:r w:rsidRPr="00B40631">
        <w:rPr>
          <w:rFonts w:ascii="Times New Roman" w:hAnsi="Times New Roman" w:cs="Times New Roman"/>
          <w:sz w:val="24"/>
          <w:szCs w:val="24"/>
        </w:rPr>
        <w:t xml:space="preserve"> ou </w:t>
      </w:r>
      <w:r w:rsidRPr="00AF4A6D">
        <w:rPr>
          <w:rFonts w:ascii="Times New Roman" w:hAnsi="Times New Roman" w:cs="Times New Roman"/>
          <w:i/>
          <w:sz w:val="24"/>
          <w:szCs w:val="24"/>
        </w:rPr>
        <w:t>trinômio alimentar</w:t>
      </w:r>
      <w:r w:rsidRPr="00B40631">
        <w:rPr>
          <w:rFonts w:ascii="Times New Roman" w:hAnsi="Times New Roman" w:cs="Times New Roman"/>
          <w:sz w:val="24"/>
          <w:szCs w:val="24"/>
        </w:rPr>
        <w:t>, a fundamentar ação de exoneração de alimentos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40631">
        <w:rPr>
          <w:rFonts w:ascii="Times New Roman" w:hAnsi="Times New Roman" w:cs="Times New Roman"/>
          <w:sz w:val="24"/>
          <w:szCs w:val="24"/>
        </w:rPr>
        <w:t xml:space="preserve">Essa ação, ao lado da ação revisional de alimentos, está autorizada pelo art. 1.699 da atual codificação privada, </w:t>
      </w:r>
      <w:r w:rsidR="00AE279D">
        <w:rPr>
          <w:rFonts w:ascii="Times New Roman" w:hAnsi="Times New Roman" w:cs="Times New Roman"/>
          <w:sz w:val="24"/>
          <w:szCs w:val="24"/>
        </w:rPr>
        <w:t xml:space="preserve">que </w:t>
      </w:r>
      <w:r w:rsidR="00BC049F">
        <w:rPr>
          <w:rFonts w:ascii="Times New Roman" w:hAnsi="Times New Roman" w:cs="Times New Roman"/>
          <w:sz w:val="24"/>
          <w:szCs w:val="24"/>
        </w:rPr>
        <w:t xml:space="preserve">assim </w:t>
      </w:r>
      <w:r w:rsidRPr="00B40631">
        <w:rPr>
          <w:rFonts w:ascii="Times New Roman" w:hAnsi="Times New Roman" w:cs="Times New Roman"/>
          <w:sz w:val="24"/>
          <w:szCs w:val="24"/>
        </w:rPr>
        <w:t xml:space="preserve">dispõe: “se, fixados </w:t>
      </w:r>
      <w:r w:rsidRPr="00B40631">
        <w:rPr>
          <w:rFonts w:ascii="Times New Roman" w:hAnsi="Times New Roman" w:cs="Times New Roman"/>
          <w:sz w:val="24"/>
          <w:szCs w:val="24"/>
        </w:rPr>
        <w:t xml:space="preserve">os alimentos, sobrevier mudança na situação financeira de quem os supre, ou na de quem os recebe, poderá o interessado reclamar ao juiz, conforme as circunstâncias, exoneração, redução ou majoração do encargo”. </w:t>
      </w:r>
      <w:r>
        <w:rPr>
          <w:rFonts w:ascii="Times New Roman" w:hAnsi="Times New Roman" w:cs="Times New Roman"/>
          <w:sz w:val="24"/>
          <w:szCs w:val="24"/>
        </w:rPr>
        <w:t xml:space="preserve">Em relação a esse </w:t>
      </w:r>
      <w:r w:rsidRPr="00BC049F">
        <w:rPr>
          <w:rFonts w:ascii="Times New Roman" w:hAnsi="Times New Roman" w:cs="Times New Roman"/>
          <w:i/>
          <w:sz w:val="24"/>
          <w:szCs w:val="24"/>
        </w:rPr>
        <w:t>caput</w:t>
      </w:r>
      <w:r>
        <w:rPr>
          <w:rFonts w:ascii="Times New Roman" w:hAnsi="Times New Roman" w:cs="Times New Roman"/>
          <w:sz w:val="24"/>
          <w:szCs w:val="24"/>
        </w:rPr>
        <w:t xml:space="preserve"> não é feita qualquer proposta de sua modificação, que apenas atinge os novos parágrafos </w:t>
      </w:r>
      <w:r w:rsidR="00AE279D">
        <w:rPr>
          <w:rFonts w:ascii="Times New Roman" w:hAnsi="Times New Roman" w:cs="Times New Roman"/>
          <w:sz w:val="24"/>
          <w:szCs w:val="24"/>
        </w:rPr>
        <w:t>n</w:t>
      </w:r>
      <w:r w:rsidR="00BC049F">
        <w:rPr>
          <w:rFonts w:ascii="Times New Roman" w:hAnsi="Times New Roman" w:cs="Times New Roman"/>
          <w:sz w:val="24"/>
          <w:szCs w:val="24"/>
        </w:rPr>
        <w:t>ele incluídos, como ainda se verá.</w:t>
      </w:r>
      <w:r w:rsidR="002F15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 xml:space="preserve">Tem-se entendido que a sentença de exoneração ou revisão do valor alimentar retroage à data da citação na ação correspondente. Nessa linha, a Súmula </w:t>
      </w:r>
      <w:r w:rsidR="00BC049F">
        <w:rPr>
          <w:rFonts w:ascii="Times New Roman" w:hAnsi="Times New Roman" w:cs="Times New Roman"/>
          <w:sz w:val="24"/>
          <w:szCs w:val="24"/>
        </w:rPr>
        <w:t xml:space="preserve">n. </w:t>
      </w:r>
      <w:r w:rsidRPr="00B40631">
        <w:rPr>
          <w:rFonts w:ascii="Times New Roman" w:hAnsi="Times New Roman" w:cs="Times New Roman"/>
          <w:sz w:val="24"/>
          <w:szCs w:val="24"/>
        </w:rPr>
        <w:t xml:space="preserve">621 do STJ, editada ao final de 2018: “os efeitos da sentença que reduz, majora </w:t>
      </w:r>
      <w:r w:rsidRPr="00B40631">
        <w:rPr>
          <w:rFonts w:ascii="Times New Roman" w:hAnsi="Times New Roman" w:cs="Times New Roman"/>
          <w:sz w:val="24"/>
          <w:szCs w:val="24"/>
        </w:rPr>
        <w:t>ou exonera o alimentante do pagamento retroagem à data da citação, vedadas a compensação e a repetibilidade”.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0631">
        <w:rPr>
          <w:rFonts w:ascii="Times New Roman" w:hAnsi="Times New Roman" w:cs="Times New Roman"/>
          <w:sz w:val="24"/>
          <w:szCs w:val="24"/>
        </w:rPr>
        <w:t>Ademais, a simples alteração do binômio ou trinômio alimentar, por si só, não enseja a modificação do valor alimentar ou a sua atribuição posterior ao cônjuge. Nesse sentido, entende o S</w:t>
      </w:r>
      <w:r>
        <w:rPr>
          <w:rFonts w:ascii="Times New Roman" w:hAnsi="Times New Roman" w:cs="Times New Roman"/>
          <w:sz w:val="24"/>
          <w:szCs w:val="24"/>
        </w:rPr>
        <w:t xml:space="preserve">uperior Tribunal de Justiça </w:t>
      </w:r>
      <w:r w:rsidRPr="00B40631">
        <w:rPr>
          <w:rFonts w:ascii="Times New Roman" w:hAnsi="Times New Roman" w:cs="Times New Roman"/>
          <w:sz w:val="24"/>
          <w:szCs w:val="24"/>
        </w:rPr>
        <w:t xml:space="preserve">que “a </w:t>
      </w:r>
      <w:r w:rsidRPr="00B40631">
        <w:rPr>
          <w:rFonts w:ascii="Times New Roman" w:hAnsi="Times New Roman" w:cs="Times New Roman"/>
          <w:sz w:val="24"/>
          <w:szCs w:val="24"/>
        </w:rPr>
        <w:lastRenderedPageBreak/>
        <w:t>concessão do pensionamento não está limitada somente à prova da alteração do binômio necessidade-</w:t>
      </w:r>
      <w:r w:rsidRPr="00B40631">
        <w:rPr>
          <w:rFonts w:ascii="Times New Roman" w:hAnsi="Times New Roman" w:cs="Times New Roman"/>
          <w:sz w:val="24"/>
          <w:szCs w:val="24"/>
        </w:rPr>
        <w:t xml:space="preserve">possibilidade, devendo ser consideradas outras circunstâncias, tais como a capacidade potencial para o trabalho e o tempo decorrido entre o seu início e a data do pedido de desoneração” (STJ, </w:t>
      </w:r>
      <w:r w:rsidR="00770B3F" w:rsidRPr="00B40631">
        <w:rPr>
          <w:rFonts w:ascii="Times New Roman" w:hAnsi="Times New Roman" w:cs="Times New Roman"/>
          <w:sz w:val="24"/>
          <w:szCs w:val="24"/>
        </w:rPr>
        <w:t>R</w:t>
      </w:r>
      <w:r w:rsidR="00770B3F">
        <w:rPr>
          <w:rFonts w:ascii="Times New Roman" w:hAnsi="Times New Roman" w:cs="Times New Roman"/>
          <w:sz w:val="24"/>
          <w:szCs w:val="24"/>
        </w:rPr>
        <w:t>E</w:t>
      </w:r>
      <w:r w:rsidR="00770B3F" w:rsidRPr="00B40631">
        <w:rPr>
          <w:rFonts w:ascii="Times New Roman" w:hAnsi="Times New Roman" w:cs="Times New Roman"/>
          <w:sz w:val="24"/>
          <w:szCs w:val="24"/>
        </w:rPr>
        <w:t xml:space="preserve">sp </w:t>
      </w:r>
      <w:r w:rsidRPr="00B40631">
        <w:rPr>
          <w:rFonts w:ascii="Times New Roman" w:hAnsi="Times New Roman" w:cs="Times New Roman"/>
          <w:sz w:val="24"/>
          <w:szCs w:val="24"/>
        </w:rPr>
        <w:t>1.829.295/SC, 3.ª Turma, Rel. Min. Paulo de Tarso Sanseverino, j. 10.03.2020, DJe 13.03.2020).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049F">
        <w:rPr>
          <w:rFonts w:ascii="Times New Roman" w:hAnsi="Times New Roman" w:cs="Times New Roman"/>
          <w:sz w:val="24"/>
          <w:szCs w:val="24"/>
        </w:rPr>
        <w:t xml:space="preserve">Esses entendimentos tendem a ser mantidos, pois retirados da atual redação do art. 1.699 da Lei Geral Privada. </w:t>
      </w:r>
    </w:p>
    <w:p w:rsidR="00B40631" w:rsidRP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Nos casos envolvendo os menores de dezoito anos, crianças e adolescentes, </w:t>
      </w:r>
      <w:r w:rsidRPr="00B40631">
        <w:rPr>
          <w:rFonts w:ascii="Times New Roman" w:hAnsi="Times New Roman" w:cs="Times New Roman"/>
          <w:sz w:val="24"/>
          <w:szCs w:val="24"/>
        </w:rPr>
        <w:t xml:space="preserve">a obrigação alimentar é extinta quando esses atingem a maioridade. Porém, </w:t>
      </w:r>
      <w:r>
        <w:rPr>
          <w:rFonts w:ascii="Times New Roman" w:hAnsi="Times New Roman" w:cs="Times New Roman"/>
          <w:sz w:val="24"/>
          <w:szCs w:val="24"/>
        </w:rPr>
        <w:t xml:space="preserve">tem-se entendido há tempos que </w:t>
      </w:r>
      <w:r w:rsidRPr="00B40631">
        <w:rPr>
          <w:rFonts w:ascii="Times New Roman" w:hAnsi="Times New Roman" w:cs="Times New Roman"/>
          <w:sz w:val="24"/>
          <w:szCs w:val="24"/>
        </w:rPr>
        <w:t>essa extinção não ocorre de forma automática, sendo necessária uma ação de exoneração para tanto. Nessa linha de pensamento, o Superior Tribunal de Justiça editou</w:t>
      </w:r>
      <w:r w:rsidR="00BC049F">
        <w:rPr>
          <w:rFonts w:ascii="Times New Roman" w:hAnsi="Times New Roman" w:cs="Times New Roman"/>
          <w:sz w:val="24"/>
          <w:szCs w:val="24"/>
        </w:rPr>
        <w:t xml:space="preserve">, em 2008, </w:t>
      </w:r>
      <w:r w:rsidRPr="00B40631">
        <w:rPr>
          <w:rFonts w:ascii="Times New Roman" w:hAnsi="Times New Roman" w:cs="Times New Roman"/>
          <w:sz w:val="24"/>
          <w:szCs w:val="24"/>
        </w:rPr>
        <w:t xml:space="preserve">a </w:t>
      </w:r>
      <w:r w:rsidR="00BC049F">
        <w:rPr>
          <w:rFonts w:ascii="Times New Roman" w:hAnsi="Times New Roman" w:cs="Times New Roman"/>
          <w:sz w:val="24"/>
          <w:szCs w:val="24"/>
        </w:rPr>
        <w:t xml:space="preserve">sua </w:t>
      </w:r>
      <w:r w:rsidRPr="00B40631">
        <w:rPr>
          <w:rFonts w:ascii="Times New Roman" w:hAnsi="Times New Roman" w:cs="Times New Roman"/>
          <w:sz w:val="24"/>
          <w:szCs w:val="24"/>
        </w:rPr>
        <w:t xml:space="preserve">Súmula </w:t>
      </w:r>
      <w:r w:rsidR="00BC049F">
        <w:rPr>
          <w:rFonts w:ascii="Times New Roman" w:hAnsi="Times New Roman" w:cs="Times New Roman"/>
          <w:sz w:val="24"/>
          <w:szCs w:val="24"/>
        </w:rPr>
        <w:t xml:space="preserve">n. </w:t>
      </w:r>
      <w:r w:rsidRPr="00B40631">
        <w:rPr>
          <w:rFonts w:ascii="Times New Roman" w:hAnsi="Times New Roman" w:cs="Times New Roman"/>
          <w:sz w:val="24"/>
          <w:szCs w:val="24"/>
        </w:rPr>
        <w:t>358, estabelecendo que “o cancelamento de pensão alimentícia de filho que atingiu a maioridade está sujeito à decisão judicial, mediante contraditório, ainda que nos próprios autos”.</w:t>
      </w:r>
    </w:p>
    <w:p w:rsidR="00B40631" w:rsidRPr="00B40631" w:rsidRDefault="00BC049F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Ressalve-se, contudo, que a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obrigação alimentar do genitor pode continuar, tratando-se de filho universitário, até que </w:t>
      </w:r>
      <w:r>
        <w:rPr>
          <w:rFonts w:ascii="Times New Roman" w:hAnsi="Times New Roman" w:cs="Times New Roman"/>
          <w:sz w:val="24"/>
          <w:szCs w:val="24"/>
        </w:rPr>
        <w:t>ele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 encerre os seus estudos e </w:t>
      </w:r>
      <w:r>
        <w:rPr>
          <w:rFonts w:ascii="Times New Roman" w:hAnsi="Times New Roman" w:cs="Times New Roman"/>
          <w:sz w:val="24"/>
          <w:szCs w:val="24"/>
        </w:rPr>
        <w:t>cesse a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 situação de dependência. Nesse sentido consolidou-se o Superior Tribunal de Justiça</w:t>
      </w:r>
      <w:r w:rsidR="00B40631">
        <w:rPr>
          <w:rFonts w:ascii="Times New Roman" w:hAnsi="Times New Roman" w:cs="Times New Roman"/>
          <w:sz w:val="24"/>
          <w:szCs w:val="24"/>
        </w:rPr>
        <w:t xml:space="preserve">, </w:t>
      </w:r>
      <w:r w:rsidR="003C3729">
        <w:rPr>
          <w:rFonts w:ascii="Times New Roman" w:hAnsi="Times New Roman" w:cs="Times New Roman"/>
          <w:sz w:val="24"/>
          <w:szCs w:val="24"/>
        </w:rPr>
        <w:t>constando a seguinte assertiva na Edição n. 65 da</w:t>
      </w:r>
      <w:r w:rsidR="00770B3F">
        <w:rPr>
          <w:rFonts w:ascii="Times New Roman" w:hAnsi="Times New Roman" w:cs="Times New Roman"/>
          <w:sz w:val="24"/>
          <w:szCs w:val="24"/>
        </w:rPr>
        <w:t xml:space="preserve"> sua</w:t>
      </w:r>
      <w:r w:rsidR="003C3729">
        <w:rPr>
          <w:rFonts w:ascii="Times New Roman" w:hAnsi="Times New Roman" w:cs="Times New Roman"/>
          <w:sz w:val="24"/>
          <w:szCs w:val="24"/>
        </w:rPr>
        <w:t xml:space="preserve"> ferramenta </w:t>
      </w:r>
      <w:r w:rsidR="003C3729" w:rsidRPr="003C3729">
        <w:rPr>
          <w:rFonts w:ascii="Times New Roman" w:hAnsi="Times New Roman" w:cs="Times New Roman"/>
          <w:i/>
          <w:sz w:val="24"/>
          <w:szCs w:val="24"/>
        </w:rPr>
        <w:t>Jurisprudência em Teses</w:t>
      </w:r>
      <w:r w:rsidR="003C3729">
        <w:rPr>
          <w:rFonts w:ascii="Times New Roman" w:hAnsi="Times New Roman" w:cs="Times New Roman"/>
          <w:sz w:val="24"/>
          <w:szCs w:val="24"/>
        </w:rPr>
        <w:t>, dedicada aos alimentos: "é</w:t>
      </w:r>
      <w:r w:rsidR="003C3729" w:rsidRPr="003C3729">
        <w:rPr>
          <w:rFonts w:ascii="Times New Roman" w:hAnsi="Times New Roman" w:cs="Times New Roman"/>
          <w:sz w:val="24"/>
          <w:szCs w:val="24"/>
        </w:rPr>
        <w:t xml:space="preserve"> devido alimentos ao filho maior quando comprovada a frequência em curso universitário ou técnico, por força da obrigação parental de promover adequada formação profissional</w:t>
      </w:r>
      <w:r w:rsidR="003C3729">
        <w:rPr>
          <w:rFonts w:ascii="Times New Roman" w:hAnsi="Times New Roman" w:cs="Times New Roman"/>
          <w:sz w:val="24"/>
          <w:szCs w:val="24"/>
        </w:rPr>
        <w:t xml:space="preserve">" (Tese n. 4). No mesmo sentido, no âmbito da doutrina,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na </w:t>
      </w:r>
      <w:r w:rsidR="00B40631" w:rsidRPr="003C3729">
        <w:rPr>
          <w:rFonts w:ascii="Times New Roman" w:hAnsi="Times New Roman" w:cs="Times New Roman"/>
          <w:i/>
          <w:sz w:val="24"/>
          <w:szCs w:val="24"/>
        </w:rPr>
        <w:t>IV Jornada de Direito Civil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 foi aprovado o Enunciado n. 344, determinando que “a obrigação alimentar originada do poder familiar, especialmente para atender às necessidades educacionais, pode não cessar com a maioridade”. </w:t>
      </w:r>
    </w:p>
    <w:p w:rsidR="00B40631" w:rsidRP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 xml:space="preserve">Todavia, ressalve-se que o </w:t>
      </w:r>
      <w:r w:rsidR="003C3729">
        <w:rPr>
          <w:rFonts w:ascii="Times New Roman" w:hAnsi="Times New Roman" w:cs="Times New Roman"/>
          <w:sz w:val="24"/>
          <w:szCs w:val="24"/>
        </w:rPr>
        <w:t xml:space="preserve">próprio </w:t>
      </w:r>
      <w:r w:rsidRPr="00B40631">
        <w:rPr>
          <w:rFonts w:ascii="Times New Roman" w:hAnsi="Times New Roman" w:cs="Times New Roman"/>
          <w:sz w:val="24"/>
          <w:szCs w:val="24"/>
        </w:rPr>
        <w:t xml:space="preserve">Superior Tribunal de Justiça </w:t>
      </w:r>
      <w:r w:rsidR="003C3729">
        <w:rPr>
          <w:rFonts w:ascii="Times New Roman" w:hAnsi="Times New Roman" w:cs="Times New Roman"/>
          <w:sz w:val="24"/>
          <w:szCs w:val="24"/>
        </w:rPr>
        <w:t xml:space="preserve">tem entendido </w:t>
      </w:r>
      <w:r w:rsidRPr="00B40631">
        <w:rPr>
          <w:rFonts w:ascii="Times New Roman" w:hAnsi="Times New Roman" w:cs="Times New Roman"/>
          <w:sz w:val="24"/>
          <w:szCs w:val="24"/>
        </w:rPr>
        <w:t>que o</w:t>
      </w:r>
      <w:r w:rsidR="003C3729">
        <w:rPr>
          <w:rFonts w:ascii="Times New Roman" w:hAnsi="Times New Roman" w:cs="Times New Roman"/>
          <w:sz w:val="24"/>
          <w:szCs w:val="24"/>
        </w:rPr>
        <w:t>s</w:t>
      </w:r>
      <w:r w:rsidRPr="00B40631">
        <w:rPr>
          <w:rFonts w:ascii="Times New Roman" w:hAnsi="Times New Roman" w:cs="Times New Roman"/>
          <w:sz w:val="24"/>
          <w:szCs w:val="24"/>
        </w:rPr>
        <w:t xml:space="preserve"> pai</w:t>
      </w:r>
      <w:r w:rsidR="003C3729">
        <w:rPr>
          <w:rFonts w:ascii="Times New Roman" w:hAnsi="Times New Roman" w:cs="Times New Roman"/>
          <w:sz w:val="24"/>
          <w:szCs w:val="24"/>
        </w:rPr>
        <w:t>s</w:t>
      </w:r>
      <w:r w:rsidRPr="00B40631">
        <w:rPr>
          <w:rFonts w:ascii="Times New Roman" w:hAnsi="Times New Roman" w:cs="Times New Roman"/>
          <w:sz w:val="24"/>
          <w:szCs w:val="24"/>
        </w:rPr>
        <w:t xml:space="preserve"> não </w:t>
      </w:r>
      <w:r w:rsidR="003C3729">
        <w:rPr>
          <w:rFonts w:ascii="Times New Roman" w:hAnsi="Times New Roman" w:cs="Times New Roman"/>
          <w:sz w:val="24"/>
          <w:szCs w:val="24"/>
        </w:rPr>
        <w:t>são</w:t>
      </w:r>
      <w:r w:rsidRPr="00B40631">
        <w:rPr>
          <w:rFonts w:ascii="Times New Roman" w:hAnsi="Times New Roman" w:cs="Times New Roman"/>
          <w:sz w:val="24"/>
          <w:szCs w:val="24"/>
        </w:rPr>
        <w:t xml:space="preserve"> obrigado</w:t>
      </w:r>
      <w:r w:rsidR="003C3729">
        <w:rPr>
          <w:rFonts w:ascii="Times New Roman" w:hAnsi="Times New Roman" w:cs="Times New Roman"/>
          <w:sz w:val="24"/>
          <w:szCs w:val="24"/>
        </w:rPr>
        <w:t>s</w:t>
      </w:r>
      <w:r w:rsidRPr="00B40631">
        <w:rPr>
          <w:rFonts w:ascii="Times New Roman" w:hAnsi="Times New Roman" w:cs="Times New Roman"/>
          <w:sz w:val="24"/>
          <w:szCs w:val="24"/>
        </w:rPr>
        <w:t xml:space="preserve"> a custear o ensino pós-universitário do filho, como no caso de curso de especialização, mestrado ou doutorado. </w:t>
      </w:r>
      <w:r w:rsidR="003C3729">
        <w:rPr>
          <w:rFonts w:ascii="Times New Roman" w:hAnsi="Times New Roman" w:cs="Times New Roman"/>
          <w:sz w:val="24"/>
          <w:szCs w:val="24"/>
        </w:rPr>
        <w:t xml:space="preserve">Nesse sentido, vejamos o que </w:t>
      </w:r>
      <w:r w:rsidRPr="00B40631">
        <w:rPr>
          <w:rFonts w:ascii="Times New Roman" w:hAnsi="Times New Roman" w:cs="Times New Roman"/>
          <w:sz w:val="24"/>
          <w:szCs w:val="24"/>
        </w:rPr>
        <w:t xml:space="preserve">se extrai de decisão publicada no </w:t>
      </w:r>
      <w:r w:rsidRPr="003C3729">
        <w:rPr>
          <w:rFonts w:ascii="Times New Roman" w:hAnsi="Times New Roman" w:cs="Times New Roman"/>
          <w:i/>
          <w:sz w:val="24"/>
          <w:szCs w:val="24"/>
        </w:rPr>
        <w:t xml:space="preserve">Informativo </w:t>
      </w:r>
      <w:r w:rsidR="00C81DE1" w:rsidRPr="00C81DE1">
        <w:rPr>
          <w:rFonts w:ascii="Times New Roman" w:hAnsi="Times New Roman" w:cs="Times New Roman"/>
          <w:iCs/>
          <w:sz w:val="24"/>
          <w:szCs w:val="24"/>
        </w:rPr>
        <w:t>n</w:t>
      </w:r>
      <w:r w:rsidRPr="00A87B11">
        <w:rPr>
          <w:rFonts w:ascii="Times New Roman" w:hAnsi="Times New Roman" w:cs="Times New Roman"/>
          <w:iCs/>
          <w:sz w:val="24"/>
          <w:szCs w:val="24"/>
        </w:rPr>
        <w:t>.</w:t>
      </w:r>
      <w:r w:rsidRPr="00B40631">
        <w:rPr>
          <w:rFonts w:ascii="Times New Roman" w:hAnsi="Times New Roman" w:cs="Times New Roman"/>
          <w:sz w:val="24"/>
          <w:szCs w:val="24"/>
        </w:rPr>
        <w:t xml:space="preserve"> 484 </w:t>
      </w:r>
      <w:r w:rsidR="003C3729">
        <w:rPr>
          <w:rFonts w:ascii="Times New Roman" w:hAnsi="Times New Roman" w:cs="Times New Roman"/>
          <w:sz w:val="24"/>
          <w:szCs w:val="24"/>
        </w:rPr>
        <w:t>da</w:t>
      </w:r>
      <w:r w:rsidRPr="00B40631">
        <w:rPr>
          <w:rFonts w:ascii="Times New Roman" w:hAnsi="Times New Roman" w:cs="Times New Roman"/>
          <w:sz w:val="24"/>
          <w:szCs w:val="24"/>
        </w:rPr>
        <w:t xml:space="preserve"> Corte:</w:t>
      </w:r>
    </w:p>
    <w:p w:rsidR="00B40631" w:rsidRPr="003C3729" w:rsidRDefault="00B40631" w:rsidP="003C3729">
      <w:pPr>
        <w:pStyle w:val="t"/>
        <w:spacing w:before="120" w:after="120" w:line="360" w:lineRule="auto"/>
        <w:ind w:left="567" w:firstLine="0"/>
        <w:rPr>
          <w:rFonts w:ascii="Times New Roman" w:hAnsi="Times New Roman" w:cs="Times New Roman"/>
        </w:rPr>
      </w:pPr>
      <w:r w:rsidRPr="003C3729">
        <w:rPr>
          <w:rFonts w:ascii="Times New Roman" w:hAnsi="Times New Roman" w:cs="Times New Roman"/>
        </w:rPr>
        <w:t>“</w:t>
      </w:r>
      <w:r w:rsidR="003C3729" w:rsidRPr="003C3729">
        <w:rPr>
          <w:rFonts w:ascii="Times New Roman" w:hAnsi="Times New Roman" w:cs="Times New Roman"/>
        </w:rPr>
        <w:t xml:space="preserve">(...). </w:t>
      </w:r>
      <w:r w:rsidRPr="003C3729">
        <w:rPr>
          <w:rFonts w:ascii="Times New Roman" w:hAnsi="Times New Roman" w:cs="Times New Roman"/>
        </w:rPr>
        <w:t xml:space="preserve">O estímulo à qualificação profissional dos filhos não pode ser imposto aos pais de forma perene, sob pena de subverter o instituto da obrigação alimentar oriunda das relações de parentesco, que objetiva preservar as condições mínimas de sobrevida do alimentado. Em rigor, a formação profissional completa-se com a graduação, que, de regra, permite ao bacharel o exercício da profissão para a qual se graduou, independentemente de posterior especialização, podendo assim, em tese, prover o próprio </w:t>
      </w:r>
      <w:r w:rsidRPr="003C3729">
        <w:rPr>
          <w:rFonts w:ascii="Times New Roman" w:hAnsi="Times New Roman" w:cs="Times New Roman"/>
        </w:rPr>
        <w:lastRenderedPageBreak/>
        <w:t xml:space="preserve">sustento, circunstância que afasta, por si só, a presunção </w:t>
      </w:r>
      <w:r w:rsidR="00C81DE1" w:rsidRPr="00C81DE1">
        <w:rPr>
          <w:rFonts w:ascii="Times New Roman" w:hAnsi="Times New Roman" w:cs="Times New Roman"/>
          <w:i/>
          <w:iCs/>
        </w:rPr>
        <w:t>iuris tantum</w:t>
      </w:r>
      <w:r w:rsidRPr="003C3729">
        <w:rPr>
          <w:rFonts w:ascii="Times New Roman" w:hAnsi="Times New Roman" w:cs="Times New Roman"/>
        </w:rPr>
        <w:t xml:space="preserve"> de necessidade do filho estudante. Assim, considerando o princípio da razoabilidade e o momento socioeconômico do país, depreende-se que a missão de criar os filhos se prorroga mesmo após o término do poder familiar, porém finda com a conclusão, pelo alimentado, de curso de graduação. A partir daí persistem as relações de parentesco que ainda possibilitam a busca de alimentos, desde que presente a prova da efetiva necessidade. Com essas e outras considerações, a Turma deu provimento ao recurso para desonerar o recorrente da obrigação de prestar alimentos à sua filha” (STJ, </w:t>
      </w:r>
      <w:r w:rsidR="00AE279D" w:rsidRPr="003C3729">
        <w:rPr>
          <w:rFonts w:ascii="Times New Roman" w:hAnsi="Times New Roman" w:cs="Times New Roman"/>
        </w:rPr>
        <w:t>R</w:t>
      </w:r>
      <w:r w:rsidR="00AE279D">
        <w:rPr>
          <w:rFonts w:ascii="Times New Roman" w:hAnsi="Times New Roman" w:cs="Times New Roman"/>
        </w:rPr>
        <w:t>E</w:t>
      </w:r>
      <w:r w:rsidR="00AE279D" w:rsidRPr="003C3729">
        <w:rPr>
          <w:rFonts w:ascii="Times New Roman" w:hAnsi="Times New Roman" w:cs="Times New Roman"/>
        </w:rPr>
        <w:t xml:space="preserve">sp </w:t>
      </w:r>
      <w:r w:rsidRPr="003C3729">
        <w:rPr>
          <w:rFonts w:ascii="Times New Roman" w:hAnsi="Times New Roman" w:cs="Times New Roman"/>
        </w:rPr>
        <w:t>1.218.510/SP, Rel. Min. Nancy Andrighi, j. 27.09.2011).</w:t>
      </w:r>
    </w:p>
    <w:p w:rsidR="00B40631" w:rsidRPr="00B40631" w:rsidRDefault="003C3729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 verdade, há omissão legislativa a respeito dessas </w:t>
      </w:r>
      <w:r w:rsidR="00AF4A6D">
        <w:rPr>
          <w:rFonts w:ascii="Times New Roman" w:hAnsi="Times New Roman" w:cs="Times New Roman"/>
          <w:sz w:val="24"/>
          <w:szCs w:val="24"/>
        </w:rPr>
        <w:t xml:space="preserve">hipóteses, </w:t>
      </w:r>
      <w:r w:rsidR="00B40631" w:rsidRPr="00B40631">
        <w:rPr>
          <w:rFonts w:ascii="Times New Roman" w:hAnsi="Times New Roman" w:cs="Times New Roman"/>
          <w:sz w:val="24"/>
          <w:szCs w:val="24"/>
        </w:rPr>
        <w:t>o que</w:t>
      </w:r>
      <w:r w:rsidR="002F15D2">
        <w:rPr>
          <w:rFonts w:ascii="Times New Roman" w:hAnsi="Times New Roman" w:cs="Times New Roman"/>
          <w:sz w:val="24"/>
          <w:szCs w:val="24"/>
        </w:rPr>
        <w:t xml:space="preserve">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revela uma situação </w:t>
      </w:r>
      <w:r>
        <w:rPr>
          <w:rFonts w:ascii="Times New Roman" w:hAnsi="Times New Roman" w:cs="Times New Roman"/>
          <w:sz w:val="24"/>
          <w:szCs w:val="24"/>
        </w:rPr>
        <w:t xml:space="preserve">jurídica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insegura a respeito do pagamento dos alimentos aos filhos, sobretudo quando atingem a maioridade mas ainda necessitam de ajuda financeira de seus ascendentes. Por isso, é preciso melhorar o texto da lei, com o fim de trazer mais segurança jurídica e estabilidade a respeito do tema, o que está sendo proposto pelo Projeto de Reforma do Código Civil elaborado pela Comissão de Juristas. </w:t>
      </w:r>
    </w:p>
    <w:p w:rsidR="003C3729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 xml:space="preserve">Nesse contexto, </w:t>
      </w:r>
      <w:r w:rsidR="003A3A25">
        <w:rPr>
          <w:rFonts w:ascii="Times New Roman" w:hAnsi="Times New Roman" w:cs="Times New Roman"/>
          <w:sz w:val="24"/>
          <w:szCs w:val="24"/>
        </w:rPr>
        <w:t>reitere-se a sugestão de manter</w:t>
      </w:r>
      <w:r w:rsidRPr="00B40631">
        <w:rPr>
          <w:rFonts w:ascii="Times New Roman" w:hAnsi="Times New Roman" w:cs="Times New Roman"/>
          <w:sz w:val="24"/>
          <w:szCs w:val="24"/>
        </w:rPr>
        <w:t xml:space="preserve"> o </w:t>
      </w:r>
      <w:r w:rsidRPr="003C3729">
        <w:rPr>
          <w:rFonts w:ascii="Times New Roman" w:hAnsi="Times New Roman" w:cs="Times New Roman"/>
          <w:i/>
          <w:sz w:val="24"/>
          <w:szCs w:val="24"/>
        </w:rPr>
        <w:t>caput</w:t>
      </w:r>
      <w:r w:rsidRPr="00B40631">
        <w:rPr>
          <w:rFonts w:ascii="Times New Roman" w:hAnsi="Times New Roman" w:cs="Times New Roman"/>
          <w:sz w:val="24"/>
          <w:szCs w:val="24"/>
        </w:rPr>
        <w:t xml:space="preserve"> do </w:t>
      </w:r>
      <w:r w:rsidR="003C3729">
        <w:rPr>
          <w:rFonts w:ascii="Times New Roman" w:hAnsi="Times New Roman" w:cs="Times New Roman"/>
          <w:sz w:val="24"/>
          <w:szCs w:val="24"/>
        </w:rPr>
        <w:t xml:space="preserve">seu </w:t>
      </w:r>
      <w:r w:rsidRPr="00B40631">
        <w:rPr>
          <w:rFonts w:ascii="Times New Roman" w:hAnsi="Times New Roman" w:cs="Times New Roman"/>
          <w:sz w:val="24"/>
          <w:szCs w:val="24"/>
        </w:rPr>
        <w:t>art. 1.699, com a inclusão de dois novos parágrafos. Nos termos do § 1º, “nas hipóteses de alimentos pleiteados por crianças e adolescentes, cessa a obrigação alimentar com a maioridade, mas é do alimentante o ônus de pleitear a cessação do pagamento”. Portanto, como hoje já entende a jurisprudência superior, e</w:t>
      </w:r>
      <w:r w:rsidR="003C3729">
        <w:rPr>
          <w:rFonts w:ascii="Times New Roman" w:hAnsi="Times New Roman" w:cs="Times New Roman"/>
          <w:sz w:val="24"/>
          <w:szCs w:val="24"/>
        </w:rPr>
        <w:t xml:space="preserve"> como está na Súmula n. 358 do Tribunal da Cidadania, </w:t>
      </w:r>
      <w:r w:rsidRPr="00B40631">
        <w:rPr>
          <w:rFonts w:ascii="Times New Roman" w:hAnsi="Times New Roman" w:cs="Times New Roman"/>
          <w:sz w:val="24"/>
          <w:szCs w:val="24"/>
        </w:rPr>
        <w:t>a maioridade cessa a obrigação de alimentos, mas não de forma automática</w:t>
      </w:r>
      <w:r w:rsidR="003A3A25">
        <w:rPr>
          <w:rFonts w:ascii="Times New Roman" w:hAnsi="Times New Roman" w:cs="Times New Roman"/>
          <w:sz w:val="24"/>
          <w:szCs w:val="24"/>
        </w:rPr>
        <w:t>, cabendo ao devedor o ônus de pleitear a extinção, em demanda própria</w:t>
      </w:r>
      <w:r w:rsidRPr="00B4063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40631" w:rsidRP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 xml:space="preserve">Ademais, consoante o </w:t>
      </w:r>
      <w:r w:rsidR="003A3A25">
        <w:rPr>
          <w:rFonts w:ascii="Times New Roman" w:hAnsi="Times New Roman" w:cs="Times New Roman"/>
          <w:sz w:val="24"/>
          <w:szCs w:val="24"/>
        </w:rPr>
        <w:t xml:space="preserve">seu </w:t>
      </w:r>
      <w:r w:rsidRPr="00B40631">
        <w:rPr>
          <w:rFonts w:ascii="Times New Roman" w:hAnsi="Times New Roman" w:cs="Times New Roman"/>
          <w:sz w:val="24"/>
          <w:szCs w:val="24"/>
        </w:rPr>
        <w:t>projetado § 2º, “atingida a maioridade por pessoa apta ao trabalho, o direito de pleitear alimentos será prorrogado por tempo razoável para que encerre a sua formação educacional, compreendida como aquela necessária à conclusão de curso de ensino superior, técnico ou profissionalizante”. Confirma-se, portanto, o entendimento majoritário da doutrina e da jurisprudência, aqui antes exposto</w:t>
      </w:r>
      <w:r w:rsidR="003A3A25">
        <w:rPr>
          <w:rFonts w:ascii="Times New Roman" w:hAnsi="Times New Roman" w:cs="Times New Roman"/>
          <w:sz w:val="24"/>
          <w:szCs w:val="24"/>
        </w:rPr>
        <w:t xml:space="preserve">, </w:t>
      </w:r>
      <w:r w:rsidRPr="00B40631">
        <w:rPr>
          <w:rFonts w:ascii="Times New Roman" w:hAnsi="Times New Roman" w:cs="Times New Roman"/>
          <w:sz w:val="24"/>
          <w:szCs w:val="24"/>
        </w:rPr>
        <w:t>assegurando-se o pagamento dos alimentos ao filho até o encerramento de curso de ensino superior, e não além disso.</w:t>
      </w:r>
    </w:p>
    <w:p w:rsidR="003A3A25" w:rsidRDefault="003C3729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 outro tema de relevo a respeito da extinção dos alimentos,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estabelece </w:t>
      </w:r>
      <w:r w:rsidR="003A3A25">
        <w:rPr>
          <w:rFonts w:ascii="Times New Roman" w:hAnsi="Times New Roman" w:cs="Times New Roman"/>
          <w:sz w:val="24"/>
          <w:szCs w:val="24"/>
        </w:rPr>
        <w:t xml:space="preserve">atualmente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o </w:t>
      </w:r>
      <w:r w:rsidR="00B40631" w:rsidRPr="003C3729">
        <w:rPr>
          <w:rFonts w:ascii="Times New Roman" w:hAnsi="Times New Roman" w:cs="Times New Roman"/>
          <w:i/>
          <w:sz w:val="24"/>
          <w:szCs w:val="24"/>
        </w:rPr>
        <w:t>caput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 do art. 1.708 do Código Civil que o casamento, a união estável ou o concubinato do credor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alimentando faz cessar o dever de prestar </w:t>
      </w:r>
      <w:r w:rsidR="00B40631" w:rsidRPr="00B40631">
        <w:rPr>
          <w:rFonts w:ascii="Times New Roman" w:hAnsi="Times New Roman" w:cs="Times New Roman"/>
          <w:sz w:val="24"/>
          <w:szCs w:val="24"/>
        </w:rPr>
        <w:lastRenderedPageBreak/>
        <w:t xml:space="preserve">alimentos. </w:t>
      </w:r>
      <w:r>
        <w:rPr>
          <w:rFonts w:ascii="Times New Roman" w:hAnsi="Times New Roman" w:cs="Times New Roman"/>
          <w:sz w:val="24"/>
          <w:szCs w:val="24"/>
        </w:rPr>
        <w:t xml:space="preserve">Sobre o concubinato, há um enunciado doutrinário da </w:t>
      </w:r>
      <w:r w:rsidRPr="003C3729">
        <w:rPr>
          <w:rFonts w:ascii="Times New Roman" w:hAnsi="Times New Roman" w:cs="Times New Roman"/>
          <w:i/>
          <w:sz w:val="24"/>
          <w:szCs w:val="24"/>
        </w:rPr>
        <w:t>III Jornada de Direito Civi</w:t>
      </w:r>
      <w:r w:rsidR="00C81DE1" w:rsidRPr="00C81DE1">
        <w:rPr>
          <w:rFonts w:ascii="Times New Roman" w:hAnsi="Times New Roman" w:cs="Times New Roman"/>
          <w:i/>
          <w:iCs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, do </w:t>
      </w:r>
      <w:r w:rsidR="00B40631" w:rsidRPr="00B40631">
        <w:rPr>
          <w:rFonts w:ascii="Times New Roman" w:hAnsi="Times New Roman" w:cs="Times New Roman"/>
          <w:sz w:val="24"/>
          <w:szCs w:val="24"/>
        </w:rPr>
        <w:t>Conselho da Justiça Federal e do Superior Tribunal de Justiça</w:t>
      </w:r>
      <w:r>
        <w:rPr>
          <w:rFonts w:ascii="Times New Roman" w:hAnsi="Times New Roman" w:cs="Times New Roman"/>
          <w:sz w:val="24"/>
          <w:szCs w:val="24"/>
        </w:rPr>
        <w:t>,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 tot</w:t>
      </w:r>
      <w:r>
        <w:rPr>
          <w:rFonts w:ascii="Times New Roman" w:hAnsi="Times New Roman" w:cs="Times New Roman"/>
          <w:sz w:val="24"/>
          <w:szCs w:val="24"/>
        </w:rPr>
        <w:t xml:space="preserve">almente justo e lógico, </w:t>
      </w:r>
      <w:r w:rsidR="00B40631" w:rsidRPr="00B40631">
        <w:rPr>
          <w:rFonts w:ascii="Times New Roman" w:hAnsi="Times New Roman" w:cs="Times New Roman"/>
          <w:sz w:val="24"/>
          <w:szCs w:val="24"/>
        </w:rPr>
        <w:t>o de número 265, que determina: “na hipótese de concubinato, haverá necessidade de demonstração de assistência material pelo concubino a quem o credor de alimentos se uniu”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40631" w:rsidRPr="00B40631">
        <w:rPr>
          <w:rFonts w:ascii="Times New Roman" w:hAnsi="Times New Roman" w:cs="Times New Roman"/>
          <w:sz w:val="24"/>
          <w:szCs w:val="24"/>
        </w:rPr>
        <w:t>O que o enunciado doutrinário ressalva é que a sua mera existência em relação ao credor de alimentos não tem o condão de gerar a extinção da obrigação alimentar. Por óbvio, é necessário provar o sustento por parte do concubino, caso, por exemplo, de um homem casado.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0631" w:rsidRP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>O parágrafo único do art. 1.708 do Código Privado tem redação muito interessante</w:t>
      </w:r>
      <w:r w:rsidR="003A3A25">
        <w:rPr>
          <w:rFonts w:ascii="Times New Roman" w:hAnsi="Times New Roman" w:cs="Times New Roman"/>
          <w:sz w:val="24"/>
          <w:szCs w:val="24"/>
        </w:rPr>
        <w:t xml:space="preserve"> e polêmica</w:t>
      </w:r>
      <w:r w:rsidRPr="00B40631">
        <w:rPr>
          <w:rFonts w:ascii="Times New Roman" w:hAnsi="Times New Roman" w:cs="Times New Roman"/>
          <w:sz w:val="24"/>
          <w:szCs w:val="24"/>
        </w:rPr>
        <w:t xml:space="preserve">, </w:t>
      </w:r>
      <w:r w:rsidR="003C3729">
        <w:rPr>
          <w:rFonts w:ascii="Times New Roman" w:hAnsi="Times New Roman" w:cs="Times New Roman"/>
          <w:sz w:val="24"/>
          <w:szCs w:val="24"/>
        </w:rPr>
        <w:t xml:space="preserve">tendo sido muito debatido nos mais </w:t>
      </w:r>
      <w:r w:rsidR="00A87B11">
        <w:rPr>
          <w:rFonts w:ascii="Times New Roman" w:hAnsi="Times New Roman" w:cs="Times New Roman"/>
          <w:sz w:val="24"/>
          <w:szCs w:val="24"/>
        </w:rPr>
        <w:t xml:space="preserve">de </w:t>
      </w:r>
      <w:r w:rsidR="003C3729">
        <w:rPr>
          <w:rFonts w:ascii="Times New Roman" w:hAnsi="Times New Roman" w:cs="Times New Roman"/>
          <w:sz w:val="24"/>
          <w:szCs w:val="24"/>
        </w:rPr>
        <w:t xml:space="preserve">vinte anos de sua vigência, e </w:t>
      </w:r>
      <w:r w:rsidRPr="00B40631">
        <w:rPr>
          <w:rFonts w:ascii="Times New Roman" w:hAnsi="Times New Roman" w:cs="Times New Roman"/>
          <w:sz w:val="24"/>
          <w:szCs w:val="24"/>
        </w:rPr>
        <w:t>com relação direta ao princípio da boa-fé objetiva</w:t>
      </w:r>
      <w:r w:rsidR="003C3729">
        <w:rPr>
          <w:rFonts w:ascii="Times New Roman" w:hAnsi="Times New Roman" w:cs="Times New Roman"/>
          <w:sz w:val="24"/>
          <w:szCs w:val="24"/>
        </w:rPr>
        <w:t xml:space="preserve">. </w:t>
      </w:r>
      <w:r w:rsidRPr="00B40631">
        <w:rPr>
          <w:rFonts w:ascii="Times New Roman" w:hAnsi="Times New Roman" w:cs="Times New Roman"/>
          <w:sz w:val="24"/>
          <w:szCs w:val="24"/>
        </w:rPr>
        <w:t>Enuncia o comando legal em questão que “com relação ao credor cessa, também, o direito a alimentos, se tiver procedimento indigno em relação ao devedor”</w:t>
      </w:r>
      <w:r w:rsidR="003C372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40631" w:rsidRP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 xml:space="preserve">A </w:t>
      </w:r>
      <w:r w:rsidR="003A3A25">
        <w:rPr>
          <w:rFonts w:ascii="Times New Roman" w:hAnsi="Times New Roman" w:cs="Times New Roman"/>
          <w:sz w:val="24"/>
          <w:szCs w:val="24"/>
        </w:rPr>
        <w:t xml:space="preserve">principal </w:t>
      </w:r>
      <w:r w:rsidRPr="00B40631">
        <w:rPr>
          <w:rFonts w:ascii="Times New Roman" w:hAnsi="Times New Roman" w:cs="Times New Roman"/>
          <w:sz w:val="24"/>
          <w:szCs w:val="24"/>
        </w:rPr>
        <w:t xml:space="preserve">previsão a ser debatida </w:t>
      </w:r>
      <w:r w:rsidR="003C3729">
        <w:rPr>
          <w:rFonts w:ascii="Times New Roman" w:hAnsi="Times New Roman" w:cs="Times New Roman"/>
          <w:sz w:val="24"/>
          <w:szCs w:val="24"/>
        </w:rPr>
        <w:t xml:space="preserve">no texto é a menção ao </w:t>
      </w:r>
      <w:r w:rsidR="003C3729" w:rsidRPr="003C3729">
        <w:rPr>
          <w:rFonts w:ascii="Times New Roman" w:hAnsi="Times New Roman" w:cs="Times New Roman"/>
          <w:i/>
          <w:sz w:val="24"/>
          <w:szCs w:val="24"/>
        </w:rPr>
        <w:t>procedimento indigno</w:t>
      </w:r>
      <w:r w:rsidR="003C3729">
        <w:rPr>
          <w:rFonts w:ascii="Times New Roman" w:hAnsi="Times New Roman" w:cs="Times New Roman"/>
          <w:sz w:val="24"/>
          <w:szCs w:val="24"/>
        </w:rPr>
        <w:t xml:space="preserve">, </w:t>
      </w:r>
      <w:r w:rsidRPr="00B40631">
        <w:rPr>
          <w:rFonts w:ascii="Times New Roman" w:hAnsi="Times New Roman" w:cs="Times New Roman"/>
          <w:sz w:val="24"/>
          <w:szCs w:val="24"/>
        </w:rPr>
        <w:t>que faz cessar a obrigação alimentar</w:t>
      </w:r>
      <w:r w:rsidR="003A3A25">
        <w:rPr>
          <w:rFonts w:ascii="Times New Roman" w:hAnsi="Times New Roman" w:cs="Times New Roman"/>
          <w:sz w:val="24"/>
          <w:szCs w:val="24"/>
        </w:rPr>
        <w:t>, sem mencionar em qual montante</w:t>
      </w:r>
      <w:r w:rsidRPr="00B40631">
        <w:rPr>
          <w:rFonts w:ascii="Times New Roman" w:hAnsi="Times New Roman" w:cs="Times New Roman"/>
          <w:sz w:val="24"/>
          <w:szCs w:val="24"/>
        </w:rPr>
        <w:t xml:space="preserve">. A grande dúvida é saber </w:t>
      </w:r>
      <w:r w:rsidR="003C3729">
        <w:rPr>
          <w:rFonts w:ascii="Times New Roman" w:hAnsi="Times New Roman" w:cs="Times New Roman"/>
          <w:sz w:val="24"/>
          <w:szCs w:val="24"/>
        </w:rPr>
        <w:t>como preencher esse conceito legal indeterminado, o que gerou muit</w:t>
      </w:r>
      <w:r w:rsidR="003A3A25">
        <w:rPr>
          <w:rFonts w:ascii="Times New Roman" w:hAnsi="Times New Roman" w:cs="Times New Roman"/>
          <w:sz w:val="24"/>
          <w:szCs w:val="24"/>
        </w:rPr>
        <w:t xml:space="preserve">as discussões </w:t>
      </w:r>
      <w:r w:rsidR="003C3729">
        <w:rPr>
          <w:rFonts w:ascii="Times New Roman" w:hAnsi="Times New Roman" w:cs="Times New Roman"/>
          <w:sz w:val="24"/>
          <w:szCs w:val="24"/>
        </w:rPr>
        <w:t xml:space="preserve">nos últimos anos, quanto ao seu correto preenchimento. Com essa finalidade, </w:t>
      </w:r>
      <w:r w:rsidRPr="00B40631">
        <w:rPr>
          <w:rFonts w:ascii="Times New Roman" w:hAnsi="Times New Roman" w:cs="Times New Roman"/>
          <w:sz w:val="24"/>
          <w:szCs w:val="24"/>
        </w:rPr>
        <w:t xml:space="preserve">foi aprovado na </w:t>
      </w:r>
      <w:r w:rsidRPr="003C3729">
        <w:rPr>
          <w:rFonts w:ascii="Times New Roman" w:hAnsi="Times New Roman" w:cs="Times New Roman"/>
          <w:i/>
          <w:sz w:val="24"/>
          <w:szCs w:val="24"/>
        </w:rPr>
        <w:t>III Jornada de Direito Civil</w:t>
      </w:r>
      <w:r w:rsidRPr="00B40631">
        <w:rPr>
          <w:rFonts w:ascii="Times New Roman" w:hAnsi="Times New Roman" w:cs="Times New Roman"/>
          <w:sz w:val="24"/>
          <w:szCs w:val="24"/>
        </w:rPr>
        <w:t xml:space="preserve"> o Enunciado n. 264, em que se estabelece</w:t>
      </w:r>
      <w:r w:rsidR="003C3729">
        <w:rPr>
          <w:rFonts w:ascii="Times New Roman" w:hAnsi="Times New Roman" w:cs="Times New Roman"/>
          <w:sz w:val="24"/>
          <w:szCs w:val="24"/>
        </w:rPr>
        <w:t xml:space="preserve"> que</w:t>
      </w:r>
      <w:r w:rsidRPr="00B40631">
        <w:rPr>
          <w:rFonts w:ascii="Times New Roman" w:hAnsi="Times New Roman" w:cs="Times New Roman"/>
          <w:sz w:val="24"/>
          <w:szCs w:val="24"/>
        </w:rPr>
        <w:t xml:space="preserve"> “na interpretação do que seja procedimento indigno do credor, apto a fazer cessar o direito a alimentos, aplicam-se, por analogia, as hipóteses dos incisos I e II do art. 1.814 do Código Civil”.</w:t>
      </w:r>
    </w:p>
    <w:p w:rsidR="00B40631" w:rsidRP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>A partir desse enunciado doutrinário, interpretado restritivamente, apenas gerariam a extinção da obrigação alimentar o homicídio doloso, ou sua tentativa, praticado pelo credor contra o devedor, a calúnia ou outro crime contra a honra</w:t>
      </w:r>
      <w:r w:rsidR="003C3729">
        <w:rPr>
          <w:rFonts w:ascii="Times New Roman" w:hAnsi="Times New Roman" w:cs="Times New Roman"/>
          <w:sz w:val="24"/>
          <w:szCs w:val="24"/>
        </w:rPr>
        <w:t xml:space="preserve">, como está consagrado nos últimos comandos citados, que tratam da indignidade sucessória. </w:t>
      </w:r>
      <w:r w:rsidRPr="00B40631">
        <w:rPr>
          <w:rFonts w:ascii="Times New Roman" w:hAnsi="Times New Roman" w:cs="Times New Roman"/>
          <w:sz w:val="24"/>
          <w:szCs w:val="24"/>
        </w:rPr>
        <w:t xml:space="preserve">Por uma questão lógica, o inc. III do </w:t>
      </w:r>
      <w:r w:rsidR="003A3A25">
        <w:rPr>
          <w:rFonts w:ascii="Times New Roman" w:hAnsi="Times New Roman" w:cs="Times New Roman"/>
          <w:sz w:val="24"/>
          <w:szCs w:val="24"/>
        </w:rPr>
        <w:t xml:space="preserve">último </w:t>
      </w:r>
      <w:r w:rsidRPr="00B40631">
        <w:rPr>
          <w:rFonts w:ascii="Times New Roman" w:hAnsi="Times New Roman" w:cs="Times New Roman"/>
          <w:sz w:val="24"/>
          <w:szCs w:val="24"/>
        </w:rPr>
        <w:t xml:space="preserve">comando legal </w:t>
      </w:r>
      <w:r w:rsidR="003A3A25">
        <w:rPr>
          <w:rFonts w:ascii="Times New Roman" w:hAnsi="Times New Roman" w:cs="Times New Roman"/>
          <w:sz w:val="24"/>
          <w:szCs w:val="24"/>
        </w:rPr>
        <w:t>citado</w:t>
      </w:r>
      <w:r w:rsidRPr="00B40631">
        <w:rPr>
          <w:rFonts w:ascii="Times New Roman" w:hAnsi="Times New Roman" w:cs="Times New Roman"/>
          <w:sz w:val="24"/>
          <w:szCs w:val="24"/>
        </w:rPr>
        <w:t xml:space="preserve"> foi excluído de aplicação pelo Enunciado n. 264</w:t>
      </w:r>
      <w:r w:rsidR="003C3729">
        <w:rPr>
          <w:rFonts w:ascii="Times New Roman" w:hAnsi="Times New Roman" w:cs="Times New Roman"/>
          <w:sz w:val="24"/>
          <w:szCs w:val="24"/>
        </w:rPr>
        <w:t xml:space="preserve">, por não ter pertinência para o tema dos alimentos. </w:t>
      </w:r>
    </w:p>
    <w:p w:rsidR="00B40631" w:rsidRPr="00B40631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 xml:space="preserve">Outro dispositivo do Código Civil que trata da indignidade de forma indireta, utilizando a palavra </w:t>
      </w:r>
      <w:r w:rsidRPr="003C3729">
        <w:rPr>
          <w:rFonts w:ascii="Times New Roman" w:hAnsi="Times New Roman" w:cs="Times New Roman"/>
          <w:i/>
          <w:sz w:val="24"/>
          <w:szCs w:val="24"/>
        </w:rPr>
        <w:t>ingratidão</w:t>
      </w:r>
      <w:r w:rsidRPr="00B40631">
        <w:rPr>
          <w:rFonts w:ascii="Times New Roman" w:hAnsi="Times New Roman" w:cs="Times New Roman"/>
          <w:sz w:val="24"/>
          <w:szCs w:val="24"/>
        </w:rPr>
        <w:t xml:space="preserve">, é o art. 557, que enuncia a revogação da doação se o donatário: </w:t>
      </w:r>
      <w:r w:rsidRPr="003C3729">
        <w:rPr>
          <w:rFonts w:ascii="Times New Roman" w:hAnsi="Times New Roman" w:cs="Times New Roman"/>
          <w:i/>
          <w:sz w:val="24"/>
          <w:szCs w:val="24"/>
        </w:rPr>
        <w:t xml:space="preserve">a) </w:t>
      </w:r>
      <w:r w:rsidRPr="00B40631">
        <w:rPr>
          <w:rFonts w:ascii="Times New Roman" w:hAnsi="Times New Roman" w:cs="Times New Roman"/>
          <w:sz w:val="24"/>
          <w:szCs w:val="24"/>
        </w:rPr>
        <w:t xml:space="preserve">atentar contra a vida do doador ou cometer crime de homicídio doloso contra ele; </w:t>
      </w:r>
      <w:r w:rsidRPr="003C3729">
        <w:rPr>
          <w:rFonts w:ascii="Times New Roman" w:hAnsi="Times New Roman" w:cs="Times New Roman"/>
          <w:i/>
          <w:sz w:val="24"/>
          <w:szCs w:val="24"/>
        </w:rPr>
        <w:t>b)</w:t>
      </w:r>
      <w:r w:rsidRPr="00B40631">
        <w:rPr>
          <w:rFonts w:ascii="Times New Roman" w:hAnsi="Times New Roman" w:cs="Times New Roman"/>
          <w:sz w:val="24"/>
          <w:szCs w:val="24"/>
        </w:rPr>
        <w:t xml:space="preserve"> cometer ofensa física contra o doador; </w:t>
      </w:r>
      <w:r w:rsidRPr="003C3729">
        <w:rPr>
          <w:rFonts w:ascii="Times New Roman" w:hAnsi="Times New Roman" w:cs="Times New Roman"/>
          <w:i/>
          <w:sz w:val="24"/>
          <w:szCs w:val="24"/>
        </w:rPr>
        <w:t>c)</w:t>
      </w:r>
      <w:r w:rsidRPr="00B40631">
        <w:rPr>
          <w:rFonts w:ascii="Times New Roman" w:hAnsi="Times New Roman" w:cs="Times New Roman"/>
          <w:sz w:val="24"/>
          <w:szCs w:val="24"/>
        </w:rPr>
        <w:t xml:space="preserve"> injuriar gravemente ou caluniar o doador; </w:t>
      </w:r>
      <w:r w:rsidRPr="003C3729">
        <w:rPr>
          <w:rFonts w:ascii="Times New Roman" w:hAnsi="Times New Roman" w:cs="Times New Roman"/>
          <w:i/>
          <w:sz w:val="24"/>
          <w:szCs w:val="24"/>
        </w:rPr>
        <w:t>d)</w:t>
      </w:r>
      <w:r w:rsidRPr="00B40631">
        <w:rPr>
          <w:rFonts w:ascii="Times New Roman" w:hAnsi="Times New Roman" w:cs="Times New Roman"/>
          <w:sz w:val="24"/>
          <w:szCs w:val="24"/>
        </w:rPr>
        <w:t xml:space="preserve"> recusar-se a prestar alimentos ao doador, que deles necessitava. Substituindo as expressões </w:t>
      </w:r>
      <w:r w:rsidRPr="003A3A25">
        <w:rPr>
          <w:rFonts w:ascii="Times New Roman" w:hAnsi="Times New Roman" w:cs="Times New Roman"/>
          <w:i/>
          <w:sz w:val="24"/>
          <w:szCs w:val="24"/>
        </w:rPr>
        <w:t xml:space="preserve">doador </w:t>
      </w:r>
      <w:r w:rsidRPr="00B40631">
        <w:rPr>
          <w:rFonts w:ascii="Times New Roman" w:hAnsi="Times New Roman" w:cs="Times New Roman"/>
          <w:sz w:val="24"/>
          <w:szCs w:val="24"/>
        </w:rPr>
        <w:t>por</w:t>
      </w:r>
      <w:r w:rsidRPr="003A3A25">
        <w:rPr>
          <w:rFonts w:ascii="Times New Roman" w:hAnsi="Times New Roman" w:cs="Times New Roman"/>
          <w:i/>
          <w:sz w:val="24"/>
          <w:szCs w:val="24"/>
        </w:rPr>
        <w:t xml:space="preserve"> credor</w:t>
      </w:r>
      <w:r w:rsidRPr="00B40631">
        <w:rPr>
          <w:rFonts w:ascii="Times New Roman" w:hAnsi="Times New Roman" w:cs="Times New Roman"/>
          <w:sz w:val="24"/>
          <w:szCs w:val="24"/>
        </w:rPr>
        <w:t xml:space="preserve"> e </w:t>
      </w:r>
      <w:r w:rsidRPr="003A3A25">
        <w:rPr>
          <w:rFonts w:ascii="Times New Roman" w:hAnsi="Times New Roman" w:cs="Times New Roman"/>
          <w:i/>
          <w:sz w:val="24"/>
          <w:szCs w:val="24"/>
        </w:rPr>
        <w:t xml:space="preserve">donatário </w:t>
      </w:r>
      <w:r w:rsidRPr="00B40631">
        <w:rPr>
          <w:rFonts w:ascii="Times New Roman" w:hAnsi="Times New Roman" w:cs="Times New Roman"/>
          <w:sz w:val="24"/>
          <w:szCs w:val="24"/>
        </w:rPr>
        <w:t xml:space="preserve">por </w:t>
      </w:r>
      <w:r w:rsidRPr="003A3A25">
        <w:rPr>
          <w:rFonts w:ascii="Times New Roman" w:hAnsi="Times New Roman" w:cs="Times New Roman"/>
          <w:i/>
          <w:sz w:val="24"/>
          <w:szCs w:val="24"/>
        </w:rPr>
        <w:t>devedor</w:t>
      </w:r>
      <w:r w:rsidRPr="00B40631">
        <w:rPr>
          <w:rFonts w:ascii="Times New Roman" w:hAnsi="Times New Roman" w:cs="Times New Roman"/>
          <w:sz w:val="24"/>
          <w:szCs w:val="24"/>
        </w:rPr>
        <w:t xml:space="preserve">, </w:t>
      </w:r>
      <w:r w:rsidR="003A3A25">
        <w:rPr>
          <w:rFonts w:ascii="Times New Roman" w:hAnsi="Times New Roman" w:cs="Times New Roman"/>
          <w:sz w:val="24"/>
          <w:szCs w:val="24"/>
        </w:rPr>
        <w:lastRenderedPageBreak/>
        <w:t xml:space="preserve">tem-se sustentado </w:t>
      </w:r>
      <w:r w:rsidR="003C3729">
        <w:rPr>
          <w:rFonts w:ascii="Times New Roman" w:hAnsi="Times New Roman" w:cs="Times New Roman"/>
          <w:sz w:val="24"/>
          <w:szCs w:val="24"/>
        </w:rPr>
        <w:t xml:space="preserve">que essa regra relativa à doação também pode auxiliar no preenchimento do procedimento indigno tratado no parágrafo único do art. 1.708 da Lei Privada. </w:t>
      </w:r>
    </w:p>
    <w:p w:rsidR="00BC049F" w:rsidRDefault="003A3A25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B40631" w:rsidRPr="00B40631">
        <w:rPr>
          <w:rFonts w:ascii="Times New Roman" w:hAnsi="Times New Roman" w:cs="Times New Roman"/>
          <w:sz w:val="24"/>
          <w:szCs w:val="24"/>
        </w:rPr>
        <w:t>objetivo de uma interpretação restritiva é impedir a aplicação do parágrafo único do art. 1.708 do C</w:t>
      </w:r>
      <w:r w:rsidR="00BC049F">
        <w:rPr>
          <w:rFonts w:ascii="Times New Roman" w:hAnsi="Times New Roman" w:cs="Times New Roman"/>
          <w:sz w:val="24"/>
          <w:szCs w:val="24"/>
        </w:rPr>
        <w:t xml:space="preserve">ódigo Civil </w:t>
      </w:r>
      <w:r w:rsidR="00B40631" w:rsidRPr="00B40631">
        <w:rPr>
          <w:rFonts w:ascii="Times New Roman" w:hAnsi="Times New Roman" w:cs="Times New Roman"/>
          <w:sz w:val="24"/>
          <w:szCs w:val="24"/>
        </w:rPr>
        <w:t>em hipóteses nas quais o ex-cônjuge ou ex-companheiro que recebe os alimentos tenha relacionamentos amorosos com outras pessoas</w:t>
      </w:r>
      <w:r w:rsidR="00BC049F">
        <w:rPr>
          <w:rFonts w:ascii="Times New Roman" w:hAnsi="Times New Roman" w:cs="Times New Roman"/>
          <w:sz w:val="24"/>
          <w:szCs w:val="24"/>
        </w:rPr>
        <w:t>,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 após a dissolução da união com a pessoa que lhe paga os alimentos.</w:t>
      </w:r>
      <w:r w:rsidR="00B40631">
        <w:rPr>
          <w:rFonts w:ascii="Times New Roman" w:hAnsi="Times New Roman" w:cs="Times New Roman"/>
          <w:sz w:val="24"/>
          <w:szCs w:val="24"/>
        </w:rPr>
        <w:t xml:space="preserve"> </w:t>
      </w:r>
      <w:r w:rsidR="00BC049F">
        <w:rPr>
          <w:rFonts w:ascii="Times New Roman" w:hAnsi="Times New Roman" w:cs="Times New Roman"/>
          <w:sz w:val="24"/>
          <w:szCs w:val="24"/>
        </w:rPr>
        <w:t>E d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iante de todas as divergências </w:t>
      </w:r>
      <w:r w:rsidR="00BC049F">
        <w:rPr>
          <w:rFonts w:ascii="Times New Roman" w:hAnsi="Times New Roman" w:cs="Times New Roman"/>
          <w:sz w:val="24"/>
          <w:szCs w:val="24"/>
        </w:rPr>
        <w:t xml:space="preserve">relativas ao comando,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novamente em prol da segurança jurídica, a Comissão de Juristas nomeada para a Reforma do Código Civil propõe mudanças substanciais </w:t>
      </w:r>
      <w:r w:rsidR="00BC049F">
        <w:rPr>
          <w:rFonts w:ascii="Times New Roman" w:hAnsi="Times New Roman" w:cs="Times New Roman"/>
          <w:sz w:val="24"/>
          <w:szCs w:val="24"/>
        </w:rPr>
        <w:t>para o preceito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, que hoje são mais do que necessárias, diante das dificuldades e dos intensos debates práticos sobre o preenchimento da </w:t>
      </w:r>
      <w:r w:rsidR="00BC049F">
        <w:rPr>
          <w:rFonts w:ascii="Times New Roman" w:hAnsi="Times New Roman" w:cs="Times New Roman"/>
          <w:sz w:val="24"/>
          <w:szCs w:val="24"/>
        </w:rPr>
        <w:t xml:space="preserve">ideia de </w:t>
      </w:r>
      <w:r w:rsidR="00B40631" w:rsidRPr="00BC049F">
        <w:rPr>
          <w:rFonts w:ascii="Times New Roman" w:hAnsi="Times New Roman" w:cs="Times New Roman"/>
          <w:i/>
          <w:sz w:val="24"/>
          <w:szCs w:val="24"/>
        </w:rPr>
        <w:t>comportamento indigno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40631" w:rsidRPr="00B40631" w:rsidRDefault="003A3A25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Inicialmente, altera-se substancialmente a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 atual redação do </w:t>
      </w:r>
      <w:r w:rsidR="00B40631" w:rsidRPr="00BC049F">
        <w:rPr>
          <w:rFonts w:ascii="Times New Roman" w:hAnsi="Times New Roman" w:cs="Times New Roman"/>
          <w:i/>
          <w:sz w:val="24"/>
          <w:szCs w:val="24"/>
        </w:rPr>
        <w:t>caput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, para que não haja qualquer possibilidade do pleito dos </w:t>
      </w:r>
      <w:r w:rsidR="00B40631" w:rsidRPr="00BC049F">
        <w:rPr>
          <w:rFonts w:ascii="Times New Roman" w:hAnsi="Times New Roman" w:cs="Times New Roman"/>
          <w:i/>
          <w:sz w:val="24"/>
          <w:szCs w:val="24"/>
        </w:rPr>
        <w:t>alimentos pós-divórcio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, o que é igualmente consagrado pela projeção </w:t>
      </w:r>
      <w:r w:rsidR="00A87B11" w:rsidRPr="00B40631">
        <w:rPr>
          <w:rFonts w:ascii="Times New Roman" w:hAnsi="Times New Roman" w:cs="Times New Roman"/>
          <w:sz w:val="24"/>
          <w:szCs w:val="24"/>
        </w:rPr>
        <w:t>d</w:t>
      </w:r>
      <w:r w:rsidR="00A87B11">
        <w:rPr>
          <w:rFonts w:ascii="Times New Roman" w:hAnsi="Times New Roman" w:cs="Times New Roman"/>
          <w:sz w:val="24"/>
          <w:szCs w:val="24"/>
        </w:rPr>
        <w:t>o</w:t>
      </w:r>
      <w:r w:rsidR="00A87B11" w:rsidRPr="00B40631">
        <w:rPr>
          <w:rFonts w:ascii="Times New Roman" w:hAnsi="Times New Roman" w:cs="Times New Roman"/>
          <w:sz w:val="24"/>
          <w:szCs w:val="24"/>
        </w:rPr>
        <w:t xml:space="preserve"> 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novo art. 1.704, </w:t>
      </w:r>
      <w:r w:rsidR="00BC049F">
        <w:rPr>
          <w:rFonts w:ascii="Times New Roman" w:hAnsi="Times New Roman" w:cs="Times New Roman"/>
          <w:sz w:val="24"/>
          <w:szCs w:val="24"/>
        </w:rPr>
        <w:t>que será analisado por mim em outro texto</w:t>
      </w:r>
      <w:r w:rsidR="00B40631" w:rsidRPr="00B40631">
        <w:rPr>
          <w:rFonts w:ascii="Times New Roman" w:hAnsi="Times New Roman" w:cs="Times New Roman"/>
          <w:sz w:val="24"/>
          <w:szCs w:val="24"/>
        </w:rPr>
        <w:t>. Nesse contexto, o novo art. 1.708 passará a ter a seguinte redação: “</w:t>
      </w:r>
      <w:r w:rsidR="00BC049F">
        <w:rPr>
          <w:rFonts w:ascii="Times New Roman" w:hAnsi="Times New Roman" w:cs="Times New Roman"/>
          <w:sz w:val="24"/>
          <w:szCs w:val="24"/>
        </w:rPr>
        <w:t>o</w:t>
      </w:r>
      <w:r w:rsidR="00B40631" w:rsidRPr="00B40631">
        <w:rPr>
          <w:rFonts w:ascii="Times New Roman" w:hAnsi="Times New Roman" w:cs="Times New Roman"/>
          <w:sz w:val="24"/>
          <w:szCs w:val="24"/>
        </w:rPr>
        <w:t xml:space="preserve"> direito de receber alimentos poderá ser extinto ou reduzido, caso o credor tenha causado ou venha a causar ao devedor danos psíquicos ou grave constrangimento, incluindo as hipóteses de violência doméstica, perda da autoridade parental e abandono afetivo e material. Parágrafo único. A extinção total ou parcial do direito aos alimentos dependerá da gravidade dos atos praticados”. </w:t>
      </w:r>
    </w:p>
    <w:p w:rsidR="00BC049F" w:rsidRDefault="00B40631" w:rsidP="00B40631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>De acordo com a Subcomissão de Direito de Família</w:t>
      </w:r>
      <w:r w:rsidR="00BC049F">
        <w:rPr>
          <w:rFonts w:ascii="Times New Roman" w:hAnsi="Times New Roman" w:cs="Times New Roman"/>
          <w:sz w:val="24"/>
          <w:szCs w:val="24"/>
        </w:rPr>
        <w:t xml:space="preserve"> </w:t>
      </w:r>
      <w:r w:rsidR="00AE279D">
        <w:rPr>
          <w:rFonts w:ascii="Times New Roman" w:hAnsi="Times New Roman" w:cs="Times New Roman"/>
          <w:sz w:val="24"/>
          <w:szCs w:val="24"/>
        </w:rPr>
        <w:t xml:space="preserve">– </w:t>
      </w:r>
      <w:r w:rsidR="00BC049F">
        <w:rPr>
          <w:rFonts w:ascii="Times New Roman" w:hAnsi="Times New Roman" w:cs="Times New Roman"/>
          <w:sz w:val="24"/>
          <w:szCs w:val="24"/>
        </w:rPr>
        <w:t xml:space="preserve">formada por Pablo Stolze Gagliano, Maria Berenice Dias, Rolf Madaleno e </w:t>
      </w:r>
      <w:r w:rsidR="003A3A25">
        <w:rPr>
          <w:rFonts w:ascii="Times New Roman" w:hAnsi="Times New Roman" w:cs="Times New Roman"/>
          <w:sz w:val="24"/>
          <w:szCs w:val="24"/>
        </w:rPr>
        <w:t xml:space="preserve">pelo </w:t>
      </w:r>
      <w:r w:rsidR="00BC049F">
        <w:rPr>
          <w:rFonts w:ascii="Times New Roman" w:hAnsi="Times New Roman" w:cs="Times New Roman"/>
          <w:sz w:val="24"/>
          <w:szCs w:val="24"/>
        </w:rPr>
        <w:t xml:space="preserve">Ministro Marco Buzzi </w:t>
      </w:r>
      <w:r w:rsidR="00AE279D">
        <w:rPr>
          <w:rFonts w:ascii="Times New Roman" w:hAnsi="Times New Roman" w:cs="Times New Roman"/>
          <w:sz w:val="24"/>
          <w:szCs w:val="24"/>
        </w:rPr>
        <w:t xml:space="preserve">–, </w:t>
      </w:r>
      <w:r w:rsidR="003A3A25">
        <w:rPr>
          <w:rFonts w:ascii="Times New Roman" w:hAnsi="Times New Roman" w:cs="Times New Roman"/>
          <w:sz w:val="24"/>
          <w:szCs w:val="24"/>
        </w:rPr>
        <w:t xml:space="preserve">almejou-se </w:t>
      </w:r>
      <w:r w:rsidRPr="00B40631">
        <w:rPr>
          <w:rFonts w:ascii="Times New Roman" w:hAnsi="Times New Roman" w:cs="Times New Roman"/>
          <w:sz w:val="24"/>
          <w:szCs w:val="24"/>
        </w:rPr>
        <w:t>afastar qualquer debate sobre a culpa na questão de alimentos</w:t>
      </w:r>
      <w:r w:rsidR="00BC049F">
        <w:rPr>
          <w:rFonts w:ascii="Times New Roman" w:hAnsi="Times New Roman" w:cs="Times New Roman"/>
          <w:sz w:val="24"/>
          <w:szCs w:val="24"/>
        </w:rPr>
        <w:t xml:space="preserve">. Vejamos as suas justificativas: </w:t>
      </w:r>
    </w:p>
    <w:p w:rsidR="00BC049F" w:rsidRPr="00BC049F" w:rsidRDefault="00B40631" w:rsidP="00BC049F">
      <w:pPr>
        <w:pStyle w:val="t"/>
        <w:spacing w:before="120" w:after="120" w:line="360" w:lineRule="auto"/>
        <w:ind w:left="567" w:firstLine="0"/>
        <w:rPr>
          <w:rFonts w:ascii="Times New Roman" w:hAnsi="Times New Roman" w:cs="Times New Roman"/>
        </w:rPr>
      </w:pPr>
      <w:r w:rsidRPr="00BC049F">
        <w:rPr>
          <w:rFonts w:ascii="Times New Roman" w:hAnsi="Times New Roman" w:cs="Times New Roman"/>
        </w:rPr>
        <w:t>“</w:t>
      </w:r>
      <w:r w:rsidR="00BC049F" w:rsidRPr="00BC049F">
        <w:rPr>
          <w:rFonts w:ascii="Times New Roman" w:hAnsi="Times New Roman" w:cs="Times New Roman"/>
        </w:rPr>
        <w:t xml:space="preserve">A proposta do artigo e parágrafos tem por objetivo reunir em uma normativa conjunta </w:t>
      </w:r>
      <w:r w:rsidRPr="00BC049F">
        <w:rPr>
          <w:rFonts w:ascii="Times New Roman" w:hAnsi="Times New Roman" w:cs="Times New Roman"/>
        </w:rPr>
        <w:t xml:space="preserve">os casos que determinam a perda do direito alimentar, por indignidade, ou mesmo a fixação de alimentos naturais, por força de alguma conduta praticada pelo credor contra o devedor. Evita-se a indesejável menção a ‘culpa’, adotando-se redação mais objetiva. A ideia proposta está prevista atualmente no parágrafo único do artigo 1.708 do CC, de forma bastante incipiente. Por outro lado, o código trata da culpa do cônjuge pelo fim de relacionamento conjugal como uma hipótese de ‘redução’ do direito de alimentos, prevendo que o culpado receberá os alimentos naturais, ou seja, somente recursos </w:t>
      </w:r>
      <w:r w:rsidRPr="00BC049F">
        <w:rPr>
          <w:rFonts w:ascii="Times New Roman" w:hAnsi="Times New Roman" w:cs="Times New Roman"/>
        </w:rPr>
        <w:lastRenderedPageBreak/>
        <w:t xml:space="preserve">necessários à sua subsistência, o que, como dito, não é adequado. Tendo em mente a premente necessidade de se afastar a questão da culpa pelo fim de relacionamento conjugal como fato a ser valorado na fixação de alimentos, busca-se então substituir tal regime por uma cláusula mais objetiva, passível de abarcar melhor uma vasta gama de casos, a serem analisados ao prudente critério do julgado”. </w:t>
      </w:r>
    </w:p>
    <w:p w:rsidR="003A3A25" w:rsidRDefault="00B40631" w:rsidP="00BC049F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>De fato, têm total razão os juristas</w:t>
      </w:r>
      <w:r w:rsidR="00BC049F">
        <w:rPr>
          <w:rFonts w:ascii="Times New Roman" w:hAnsi="Times New Roman" w:cs="Times New Roman"/>
          <w:sz w:val="24"/>
          <w:szCs w:val="24"/>
        </w:rPr>
        <w:t>, sendo certo que a</w:t>
      </w:r>
      <w:r w:rsidRPr="00B40631">
        <w:rPr>
          <w:rFonts w:ascii="Times New Roman" w:hAnsi="Times New Roman" w:cs="Times New Roman"/>
          <w:sz w:val="24"/>
          <w:szCs w:val="24"/>
        </w:rPr>
        <w:t xml:space="preserve"> menção à violência doméstica como geradora da ext</w:t>
      </w:r>
      <w:r w:rsidR="00BC049F">
        <w:rPr>
          <w:rFonts w:ascii="Times New Roman" w:hAnsi="Times New Roman" w:cs="Times New Roman"/>
          <w:sz w:val="24"/>
          <w:szCs w:val="24"/>
        </w:rPr>
        <w:t xml:space="preserve">inção dos alimentos atende à proteção e </w:t>
      </w:r>
      <w:r w:rsidR="001A0233">
        <w:rPr>
          <w:rFonts w:ascii="Times New Roman" w:hAnsi="Times New Roman" w:cs="Times New Roman"/>
          <w:sz w:val="24"/>
          <w:szCs w:val="24"/>
        </w:rPr>
        <w:t xml:space="preserve">à </w:t>
      </w:r>
      <w:r w:rsidR="00BC049F">
        <w:rPr>
          <w:rFonts w:ascii="Times New Roman" w:hAnsi="Times New Roman" w:cs="Times New Roman"/>
          <w:sz w:val="24"/>
          <w:szCs w:val="24"/>
        </w:rPr>
        <w:t>tutela dos direitos das mulheres</w:t>
      </w:r>
      <w:r w:rsidRPr="00B40631">
        <w:rPr>
          <w:rFonts w:ascii="Times New Roman" w:hAnsi="Times New Roman" w:cs="Times New Roman"/>
          <w:sz w:val="24"/>
          <w:szCs w:val="24"/>
        </w:rPr>
        <w:t xml:space="preserve">, um dos fundamentos do Anteprojeto. </w:t>
      </w:r>
    </w:p>
    <w:p w:rsidR="00BC049F" w:rsidRDefault="00B40631" w:rsidP="00BC049F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 w:rsidRPr="00B40631">
        <w:rPr>
          <w:rFonts w:ascii="Times New Roman" w:hAnsi="Times New Roman" w:cs="Times New Roman"/>
          <w:sz w:val="24"/>
          <w:szCs w:val="24"/>
        </w:rPr>
        <w:t>Por seu turno, a redução do valor dos alimentos, de acordo com a gravidade da conduta, é retirada do Enunciado n. 345</w:t>
      </w:r>
      <w:r w:rsidR="00BC049F">
        <w:rPr>
          <w:rFonts w:ascii="Times New Roman" w:hAnsi="Times New Roman" w:cs="Times New Roman"/>
          <w:sz w:val="24"/>
          <w:szCs w:val="24"/>
        </w:rPr>
        <w:t xml:space="preserve">, </w:t>
      </w:r>
      <w:r w:rsidRPr="00B40631">
        <w:rPr>
          <w:rFonts w:ascii="Times New Roman" w:hAnsi="Times New Roman" w:cs="Times New Roman"/>
          <w:sz w:val="24"/>
          <w:szCs w:val="24"/>
        </w:rPr>
        <w:t xml:space="preserve">da </w:t>
      </w:r>
      <w:r w:rsidRPr="00BC049F">
        <w:rPr>
          <w:rFonts w:ascii="Times New Roman" w:hAnsi="Times New Roman" w:cs="Times New Roman"/>
          <w:i/>
          <w:sz w:val="24"/>
          <w:szCs w:val="24"/>
        </w:rPr>
        <w:t>IV Jornada de Direito Civil</w:t>
      </w:r>
      <w:r w:rsidR="00BC049F">
        <w:rPr>
          <w:rFonts w:ascii="Times New Roman" w:hAnsi="Times New Roman" w:cs="Times New Roman"/>
          <w:sz w:val="24"/>
          <w:szCs w:val="24"/>
        </w:rPr>
        <w:t xml:space="preserve">, que tem a seguinte redação: </w:t>
      </w:r>
      <w:r w:rsidR="001A0233">
        <w:rPr>
          <w:rFonts w:ascii="Times New Roman" w:hAnsi="Times New Roman" w:cs="Times New Roman"/>
          <w:sz w:val="24"/>
          <w:szCs w:val="24"/>
        </w:rPr>
        <w:t>“</w:t>
      </w:r>
      <w:r w:rsidR="00BC049F">
        <w:rPr>
          <w:rFonts w:ascii="Times New Roman" w:hAnsi="Times New Roman" w:cs="Times New Roman"/>
          <w:sz w:val="24"/>
          <w:szCs w:val="24"/>
        </w:rPr>
        <w:t xml:space="preserve">o </w:t>
      </w:r>
      <w:r w:rsidR="00A87B11">
        <w:rPr>
          <w:rFonts w:ascii="Times New Roman" w:hAnsi="Times New Roman" w:cs="Times New Roman"/>
          <w:sz w:val="24"/>
          <w:szCs w:val="24"/>
        </w:rPr>
        <w:t>‘</w:t>
      </w:r>
      <w:r w:rsidR="00BC049F" w:rsidRPr="00BC049F">
        <w:rPr>
          <w:rFonts w:ascii="Times New Roman" w:hAnsi="Times New Roman" w:cs="Times New Roman"/>
          <w:sz w:val="24"/>
          <w:szCs w:val="24"/>
        </w:rPr>
        <w:t>procedimento indigno</w:t>
      </w:r>
      <w:r w:rsidR="001A0233">
        <w:rPr>
          <w:rFonts w:ascii="Times New Roman" w:hAnsi="Times New Roman" w:cs="Times New Roman"/>
          <w:sz w:val="24"/>
          <w:szCs w:val="24"/>
        </w:rPr>
        <w:t>’</w:t>
      </w:r>
      <w:r w:rsidR="001A0233" w:rsidRPr="00BC049F">
        <w:rPr>
          <w:rFonts w:ascii="Times New Roman" w:hAnsi="Times New Roman" w:cs="Times New Roman"/>
          <w:sz w:val="24"/>
          <w:szCs w:val="24"/>
        </w:rPr>
        <w:t xml:space="preserve"> </w:t>
      </w:r>
      <w:r w:rsidR="00BC049F" w:rsidRPr="00BC049F">
        <w:rPr>
          <w:rFonts w:ascii="Times New Roman" w:hAnsi="Times New Roman" w:cs="Times New Roman"/>
          <w:sz w:val="24"/>
          <w:szCs w:val="24"/>
        </w:rPr>
        <w:t>do credor em relação ao devedor, previsto no parágrafo único do art. 1.708 do Código Civil, pode ensejar a exoneração ou apenas a redução do valor da pensão alimentícia para quantia indispensável à sobrevivência do credor</w:t>
      </w:r>
      <w:r w:rsidR="00A87B11">
        <w:rPr>
          <w:rFonts w:ascii="Times New Roman" w:hAnsi="Times New Roman" w:cs="Times New Roman"/>
          <w:sz w:val="24"/>
          <w:szCs w:val="24"/>
        </w:rPr>
        <w:t>”</w:t>
      </w:r>
      <w:r w:rsidR="00A87B11" w:rsidRPr="00BC049F">
        <w:rPr>
          <w:rFonts w:ascii="Times New Roman" w:hAnsi="Times New Roman" w:cs="Times New Roman"/>
          <w:sz w:val="24"/>
          <w:szCs w:val="24"/>
        </w:rPr>
        <w:t>.</w:t>
      </w:r>
      <w:r w:rsidR="00A87B11">
        <w:rPr>
          <w:rFonts w:ascii="Times New Roman" w:hAnsi="Times New Roman" w:cs="Times New Roman"/>
          <w:sz w:val="24"/>
          <w:szCs w:val="24"/>
        </w:rPr>
        <w:t xml:space="preserve"> </w:t>
      </w:r>
      <w:r w:rsidR="003A3A25">
        <w:rPr>
          <w:rFonts w:ascii="Times New Roman" w:hAnsi="Times New Roman" w:cs="Times New Roman"/>
          <w:sz w:val="24"/>
          <w:szCs w:val="24"/>
        </w:rPr>
        <w:t xml:space="preserve">Com isso, </w:t>
      </w:r>
      <w:r w:rsidR="00A87B11">
        <w:rPr>
          <w:rFonts w:ascii="Times New Roman" w:hAnsi="Times New Roman" w:cs="Times New Roman"/>
          <w:sz w:val="24"/>
          <w:szCs w:val="24"/>
        </w:rPr>
        <w:t>abre</w:t>
      </w:r>
      <w:r w:rsidR="003A3A25">
        <w:rPr>
          <w:rFonts w:ascii="Times New Roman" w:hAnsi="Times New Roman" w:cs="Times New Roman"/>
          <w:sz w:val="24"/>
          <w:szCs w:val="24"/>
        </w:rPr>
        <w:t xml:space="preserve">-se a possibilidade de graduar a gravidade dos atos para que não ocorra sempre a extinção da obrigação de alimentos, o que virá em boa hora, suprindo uma lacuna hoje existente. </w:t>
      </w:r>
    </w:p>
    <w:p w:rsidR="00BC049F" w:rsidRPr="00BC049F" w:rsidRDefault="00BC049F" w:rsidP="00BC049F">
      <w:pPr>
        <w:pStyle w:val="t"/>
        <w:spacing w:before="120" w:after="120" w:line="360" w:lineRule="auto"/>
        <w:ind w:firstLine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Como se pode notar por este texto, as proposições aqui analisadas apenas trazem para o a norma o entendimento hoje majoritário da doutrina e da jurisprudência nacionais, resolvendo-se alguns dos dilemas, teóricos e práticos verificados nos mais de vinte anos de vigência da codificação privada de 2002. </w:t>
      </w:r>
    </w:p>
    <w:sectPr w:rsidR="00BC049F" w:rsidRPr="00BC049F" w:rsidSect="008964FA">
      <w:footerReference w:type="even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5EFB042B" w15:done="0"/>
  <w15:commentEx w15:paraId="6E4D129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3E341FF" w16cex:dateUtc="2024-11-22T11:11:00Z"/>
  <w16cex:commentExtensible w16cex:durableId="2ABF1450" w16cex:dateUtc="2024-11-22T11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5EFB042B" w16cid:durableId="23E341FF"/>
  <w16cid:commentId w16cid:paraId="6E4D129B" w16cid:durableId="2ABF1450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5763" w:rsidRPr="00264A05" w:rsidRDefault="00A05763">
      <w:r w:rsidRPr="00264A05">
        <w:separator/>
      </w:r>
    </w:p>
  </w:endnote>
  <w:endnote w:type="continuationSeparator" w:id="0">
    <w:p w:rsidR="00A05763" w:rsidRPr="00264A05" w:rsidRDefault="00A05763">
      <w:r w:rsidRPr="00264A05"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Malgun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49F" w:rsidRPr="00264A05" w:rsidRDefault="00C81DE1" w:rsidP="008A6CB4">
    <w:pPr>
      <w:pStyle w:val="Rodap"/>
      <w:framePr w:wrap="around" w:vAnchor="text" w:hAnchor="margin" w:xAlign="right" w:y="1"/>
      <w:rPr>
        <w:rStyle w:val="Nmerodepgina"/>
      </w:rPr>
    </w:pPr>
    <w:r w:rsidRPr="00264A05">
      <w:rPr>
        <w:rStyle w:val="Nmerodepgina"/>
      </w:rPr>
      <w:fldChar w:fldCharType="begin"/>
    </w:r>
    <w:r w:rsidR="00BC049F" w:rsidRPr="00264A05">
      <w:rPr>
        <w:rStyle w:val="Nmerodepgina"/>
      </w:rPr>
      <w:instrText xml:space="preserve">PAGE  </w:instrText>
    </w:r>
    <w:r w:rsidRPr="00264A05">
      <w:rPr>
        <w:rStyle w:val="Nmerodepgina"/>
      </w:rPr>
      <w:fldChar w:fldCharType="end"/>
    </w:r>
  </w:p>
  <w:p w:rsidR="00BC049F" w:rsidRPr="00264A05" w:rsidRDefault="00BC049F" w:rsidP="008A6CB4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4698470"/>
      <w:docPartObj>
        <w:docPartGallery w:val="Page Numbers (Bottom of Page)"/>
        <w:docPartUnique/>
      </w:docPartObj>
    </w:sdtPr>
    <w:sdtContent>
      <w:p w:rsidR="00BC049F" w:rsidRPr="00264A05" w:rsidRDefault="00C81DE1">
        <w:pPr>
          <w:pStyle w:val="Rodap"/>
          <w:jc w:val="right"/>
        </w:pPr>
        <w:r>
          <w:fldChar w:fldCharType="begin"/>
        </w:r>
        <w:r w:rsidR="003A3A25">
          <w:instrText xml:space="preserve"> PAGE   \* MERGEFORMAT </w:instrText>
        </w:r>
        <w:r>
          <w:fldChar w:fldCharType="separate"/>
        </w:r>
        <w:r w:rsidR="00AF4A6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C049F" w:rsidRPr="00264A05" w:rsidRDefault="00BC049F" w:rsidP="008A6CB4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5763" w:rsidRPr="00264A05" w:rsidRDefault="00A05763">
      <w:r w:rsidRPr="00264A05">
        <w:separator/>
      </w:r>
    </w:p>
  </w:footnote>
  <w:footnote w:type="continuationSeparator" w:id="0">
    <w:p w:rsidR="00A05763" w:rsidRPr="00264A05" w:rsidRDefault="00A05763">
      <w:r w:rsidRPr="00264A05">
        <w:continuationSeparator/>
      </w:r>
    </w:p>
  </w:footnote>
  <w:footnote w:id="1">
    <w:p w:rsidR="00BC049F" w:rsidRPr="00197971" w:rsidRDefault="00BC049F" w:rsidP="00470DA9">
      <w:pPr>
        <w:pStyle w:val="Textodenotaderodap"/>
        <w:jc w:val="both"/>
      </w:pPr>
      <w:r w:rsidRPr="00264A05">
        <w:rPr>
          <w:rStyle w:val="Refdenotaderodap"/>
        </w:rPr>
        <w:footnoteRef/>
      </w:r>
      <w:r w:rsidRPr="00264A05">
        <w:t xml:space="preserve"> Pós-Doutor e Doutor em Direito Civil pela USP. Mestre em Direito Civil Comparado pela PUCSP. Professor Titular permanente e coordenador do mestrado da Escola Paulista de Direito (EPD). Professor e coordenador dos cursos de pós-graduação </w:t>
      </w:r>
      <w:r w:rsidRPr="00264A05">
        <w:rPr>
          <w:i/>
        </w:rPr>
        <w:t>lato sensu</w:t>
      </w:r>
      <w:r w:rsidRPr="00264A05">
        <w:t xml:space="preserve"> em Direito Privado da EPD. Relator do Projeto de Reforma do Código Civil. Primeiro Presidente e Fundador do Instituto Brasileiro de Direito Contratual (IBDCONT). Presidente da Comissão de Direito das Sucessões do Instituto Brasileiro de Direito de Família (IBDFAM). Conselheiro seccional da OABSP e Diretor da ESAOABSP. Advogado em São Paulo, parecerista, árbitro e consultor jurídico.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8F72AA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Revisão_KH">
    <w15:presenceInfo w15:providerId="None" w15:userId="Revisão_KH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7"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6B5F"/>
    <w:rsid w:val="000006D7"/>
    <w:rsid w:val="00000FCE"/>
    <w:rsid w:val="00002DFB"/>
    <w:rsid w:val="00003AC8"/>
    <w:rsid w:val="00004871"/>
    <w:rsid w:val="00012E1F"/>
    <w:rsid w:val="00013F07"/>
    <w:rsid w:val="00017793"/>
    <w:rsid w:val="00022FFB"/>
    <w:rsid w:val="000321C3"/>
    <w:rsid w:val="0003241B"/>
    <w:rsid w:val="0004089E"/>
    <w:rsid w:val="0004323C"/>
    <w:rsid w:val="000467E1"/>
    <w:rsid w:val="00056861"/>
    <w:rsid w:val="0005749C"/>
    <w:rsid w:val="0005756E"/>
    <w:rsid w:val="00057960"/>
    <w:rsid w:val="00064D8B"/>
    <w:rsid w:val="000666C0"/>
    <w:rsid w:val="000756D9"/>
    <w:rsid w:val="0007773C"/>
    <w:rsid w:val="00080EA6"/>
    <w:rsid w:val="0008159D"/>
    <w:rsid w:val="00096F53"/>
    <w:rsid w:val="000A2F7A"/>
    <w:rsid w:val="000A3FA9"/>
    <w:rsid w:val="000B051F"/>
    <w:rsid w:val="000B6563"/>
    <w:rsid w:val="000C1649"/>
    <w:rsid w:val="000C2117"/>
    <w:rsid w:val="000C2699"/>
    <w:rsid w:val="000D3F71"/>
    <w:rsid w:val="000D6AF0"/>
    <w:rsid w:val="000E05E6"/>
    <w:rsid w:val="000E3CAF"/>
    <w:rsid w:val="000E3DF0"/>
    <w:rsid w:val="000E65CA"/>
    <w:rsid w:val="000F615E"/>
    <w:rsid w:val="00107141"/>
    <w:rsid w:val="00107FA1"/>
    <w:rsid w:val="0011279E"/>
    <w:rsid w:val="0011532B"/>
    <w:rsid w:val="00116986"/>
    <w:rsid w:val="001230A1"/>
    <w:rsid w:val="001238FF"/>
    <w:rsid w:val="00125F59"/>
    <w:rsid w:val="001262FE"/>
    <w:rsid w:val="00126D26"/>
    <w:rsid w:val="00126E1F"/>
    <w:rsid w:val="001347DA"/>
    <w:rsid w:val="00145B34"/>
    <w:rsid w:val="001461FD"/>
    <w:rsid w:val="001509E7"/>
    <w:rsid w:val="001535FA"/>
    <w:rsid w:val="00154043"/>
    <w:rsid w:val="00155F03"/>
    <w:rsid w:val="0016083E"/>
    <w:rsid w:val="00160A14"/>
    <w:rsid w:val="00165E7A"/>
    <w:rsid w:val="00174153"/>
    <w:rsid w:val="0018146F"/>
    <w:rsid w:val="001841D1"/>
    <w:rsid w:val="001A0233"/>
    <w:rsid w:val="001A064D"/>
    <w:rsid w:val="001A07E7"/>
    <w:rsid w:val="001A202B"/>
    <w:rsid w:val="001A37EA"/>
    <w:rsid w:val="001A4407"/>
    <w:rsid w:val="001A50AF"/>
    <w:rsid w:val="001A6B5F"/>
    <w:rsid w:val="001B3220"/>
    <w:rsid w:val="001B578C"/>
    <w:rsid w:val="001B58DA"/>
    <w:rsid w:val="001B69D2"/>
    <w:rsid w:val="001C2BD2"/>
    <w:rsid w:val="001C3F0B"/>
    <w:rsid w:val="001D38EA"/>
    <w:rsid w:val="001F0631"/>
    <w:rsid w:val="001F47C3"/>
    <w:rsid w:val="001F5756"/>
    <w:rsid w:val="001F6DC5"/>
    <w:rsid w:val="00200326"/>
    <w:rsid w:val="00206C85"/>
    <w:rsid w:val="00207256"/>
    <w:rsid w:val="00207782"/>
    <w:rsid w:val="002116B9"/>
    <w:rsid w:val="00212FFA"/>
    <w:rsid w:val="0021687A"/>
    <w:rsid w:val="0022707E"/>
    <w:rsid w:val="00235D42"/>
    <w:rsid w:val="00243EF4"/>
    <w:rsid w:val="002443C4"/>
    <w:rsid w:val="00252754"/>
    <w:rsid w:val="00253155"/>
    <w:rsid w:val="002578C0"/>
    <w:rsid w:val="00261CDF"/>
    <w:rsid w:val="00264A05"/>
    <w:rsid w:val="00265BFA"/>
    <w:rsid w:val="002663C8"/>
    <w:rsid w:val="00266F36"/>
    <w:rsid w:val="00267066"/>
    <w:rsid w:val="002700B2"/>
    <w:rsid w:val="00271AFC"/>
    <w:rsid w:val="00274BC6"/>
    <w:rsid w:val="00276586"/>
    <w:rsid w:val="002802B7"/>
    <w:rsid w:val="00282E8D"/>
    <w:rsid w:val="002836B5"/>
    <w:rsid w:val="002844C0"/>
    <w:rsid w:val="0028730E"/>
    <w:rsid w:val="0028758E"/>
    <w:rsid w:val="0029490F"/>
    <w:rsid w:val="002A003E"/>
    <w:rsid w:val="002A2AF5"/>
    <w:rsid w:val="002A431B"/>
    <w:rsid w:val="002A71F3"/>
    <w:rsid w:val="002A7E0F"/>
    <w:rsid w:val="002B0136"/>
    <w:rsid w:val="002B0CBA"/>
    <w:rsid w:val="002B0D7E"/>
    <w:rsid w:val="002B4A47"/>
    <w:rsid w:val="002B5F5D"/>
    <w:rsid w:val="002C57C0"/>
    <w:rsid w:val="002D1487"/>
    <w:rsid w:val="002D1DEF"/>
    <w:rsid w:val="002D3E5B"/>
    <w:rsid w:val="002D564A"/>
    <w:rsid w:val="002E07CB"/>
    <w:rsid w:val="002E0F20"/>
    <w:rsid w:val="002E4732"/>
    <w:rsid w:val="002F15D2"/>
    <w:rsid w:val="002F2D05"/>
    <w:rsid w:val="002F6594"/>
    <w:rsid w:val="00302F58"/>
    <w:rsid w:val="00303856"/>
    <w:rsid w:val="0030419F"/>
    <w:rsid w:val="0030483C"/>
    <w:rsid w:val="00306685"/>
    <w:rsid w:val="00311887"/>
    <w:rsid w:val="00312A5C"/>
    <w:rsid w:val="003135FC"/>
    <w:rsid w:val="00314A07"/>
    <w:rsid w:val="00314C35"/>
    <w:rsid w:val="00315AA6"/>
    <w:rsid w:val="00326A1D"/>
    <w:rsid w:val="00331190"/>
    <w:rsid w:val="00332A07"/>
    <w:rsid w:val="00332BD0"/>
    <w:rsid w:val="00333A29"/>
    <w:rsid w:val="00335007"/>
    <w:rsid w:val="003404DC"/>
    <w:rsid w:val="00341202"/>
    <w:rsid w:val="003419E5"/>
    <w:rsid w:val="00347FAA"/>
    <w:rsid w:val="003516FE"/>
    <w:rsid w:val="003529EE"/>
    <w:rsid w:val="003562C5"/>
    <w:rsid w:val="00360AF2"/>
    <w:rsid w:val="00362874"/>
    <w:rsid w:val="003648FD"/>
    <w:rsid w:val="00366C65"/>
    <w:rsid w:val="0037785C"/>
    <w:rsid w:val="00381576"/>
    <w:rsid w:val="003876ED"/>
    <w:rsid w:val="00390016"/>
    <w:rsid w:val="0039603A"/>
    <w:rsid w:val="00396423"/>
    <w:rsid w:val="003A3A25"/>
    <w:rsid w:val="003B230A"/>
    <w:rsid w:val="003B2F06"/>
    <w:rsid w:val="003B42DD"/>
    <w:rsid w:val="003B4386"/>
    <w:rsid w:val="003B5C7B"/>
    <w:rsid w:val="003B62F0"/>
    <w:rsid w:val="003B6A73"/>
    <w:rsid w:val="003B727B"/>
    <w:rsid w:val="003C0520"/>
    <w:rsid w:val="003C3729"/>
    <w:rsid w:val="003C5702"/>
    <w:rsid w:val="003D0418"/>
    <w:rsid w:val="003D1CB3"/>
    <w:rsid w:val="003D4118"/>
    <w:rsid w:val="003E3529"/>
    <w:rsid w:val="003E4E5C"/>
    <w:rsid w:val="003E5A3C"/>
    <w:rsid w:val="003F01E4"/>
    <w:rsid w:val="003F1915"/>
    <w:rsid w:val="003F347D"/>
    <w:rsid w:val="00403184"/>
    <w:rsid w:val="00403C33"/>
    <w:rsid w:val="004046ED"/>
    <w:rsid w:val="004158FC"/>
    <w:rsid w:val="00415B01"/>
    <w:rsid w:val="00416567"/>
    <w:rsid w:val="0042315D"/>
    <w:rsid w:val="00425B8A"/>
    <w:rsid w:val="00427EC5"/>
    <w:rsid w:val="0043008C"/>
    <w:rsid w:val="00445471"/>
    <w:rsid w:val="00445964"/>
    <w:rsid w:val="00447FCA"/>
    <w:rsid w:val="004503B6"/>
    <w:rsid w:val="00450475"/>
    <w:rsid w:val="00450E93"/>
    <w:rsid w:val="004542E5"/>
    <w:rsid w:val="00466141"/>
    <w:rsid w:val="00467072"/>
    <w:rsid w:val="00470DA9"/>
    <w:rsid w:val="004718B4"/>
    <w:rsid w:val="00481009"/>
    <w:rsid w:val="00483462"/>
    <w:rsid w:val="00484C70"/>
    <w:rsid w:val="004950AE"/>
    <w:rsid w:val="004A104B"/>
    <w:rsid w:val="004B0C73"/>
    <w:rsid w:val="004B4706"/>
    <w:rsid w:val="004B704C"/>
    <w:rsid w:val="004C16BB"/>
    <w:rsid w:val="004C75AF"/>
    <w:rsid w:val="004D1D7C"/>
    <w:rsid w:val="004D5F7C"/>
    <w:rsid w:val="004E3553"/>
    <w:rsid w:val="004E4F19"/>
    <w:rsid w:val="004F010D"/>
    <w:rsid w:val="004F2F6E"/>
    <w:rsid w:val="004F6AF3"/>
    <w:rsid w:val="00500F66"/>
    <w:rsid w:val="00503083"/>
    <w:rsid w:val="0050336B"/>
    <w:rsid w:val="00511B17"/>
    <w:rsid w:val="005164AD"/>
    <w:rsid w:val="0051753D"/>
    <w:rsid w:val="005175CE"/>
    <w:rsid w:val="005218F3"/>
    <w:rsid w:val="00522D58"/>
    <w:rsid w:val="005432D2"/>
    <w:rsid w:val="005441F0"/>
    <w:rsid w:val="00550D67"/>
    <w:rsid w:val="005650CE"/>
    <w:rsid w:val="00566332"/>
    <w:rsid w:val="005729A9"/>
    <w:rsid w:val="00573D39"/>
    <w:rsid w:val="005813C3"/>
    <w:rsid w:val="005820A6"/>
    <w:rsid w:val="005A30BB"/>
    <w:rsid w:val="005A4C20"/>
    <w:rsid w:val="005B3F8B"/>
    <w:rsid w:val="005B6B53"/>
    <w:rsid w:val="005C4BE2"/>
    <w:rsid w:val="005C604C"/>
    <w:rsid w:val="005D0B13"/>
    <w:rsid w:val="005D31CF"/>
    <w:rsid w:val="005E1EF2"/>
    <w:rsid w:val="005E6678"/>
    <w:rsid w:val="005E709A"/>
    <w:rsid w:val="005F1A84"/>
    <w:rsid w:val="005F4DB7"/>
    <w:rsid w:val="005F51F3"/>
    <w:rsid w:val="005F5FBE"/>
    <w:rsid w:val="00600443"/>
    <w:rsid w:val="0060774F"/>
    <w:rsid w:val="006168BF"/>
    <w:rsid w:val="00621E46"/>
    <w:rsid w:val="006241B2"/>
    <w:rsid w:val="0062754A"/>
    <w:rsid w:val="00633101"/>
    <w:rsid w:val="0063311A"/>
    <w:rsid w:val="006377C1"/>
    <w:rsid w:val="00641E16"/>
    <w:rsid w:val="00650436"/>
    <w:rsid w:val="00650A0C"/>
    <w:rsid w:val="006571AD"/>
    <w:rsid w:val="006577F0"/>
    <w:rsid w:val="00660CF6"/>
    <w:rsid w:val="00661D33"/>
    <w:rsid w:val="00684C42"/>
    <w:rsid w:val="006861F8"/>
    <w:rsid w:val="00690158"/>
    <w:rsid w:val="006977E9"/>
    <w:rsid w:val="006B2243"/>
    <w:rsid w:val="006B3907"/>
    <w:rsid w:val="006C46ED"/>
    <w:rsid w:val="006C5EDA"/>
    <w:rsid w:val="006C62FC"/>
    <w:rsid w:val="006D6191"/>
    <w:rsid w:val="006E40EA"/>
    <w:rsid w:val="006E4481"/>
    <w:rsid w:val="006E4DE5"/>
    <w:rsid w:val="006E5126"/>
    <w:rsid w:val="006F61E0"/>
    <w:rsid w:val="006F6380"/>
    <w:rsid w:val="00703DBB"/>
    <w:rsid w:val="00710123"/>
    <w:rsid w:val="00710C29"/>
    <w:rsid w:val="00713BF2"/>
    <w:rsid w:val="007203E9"/>
    <w:rsid w:val="00736FBF"/>
    <w:rsid w:val="00745489"/>
    <w:rsid w:val="00753E89"/>
    <w:rsid w:val="0075661A"/>
    <w:rsid w:val="00764D23"/>
    <w:rsid w:val="00765768"/>
    <w:rsid w:val="00766AAD"/>
    <w:rsid w:val="007704C3"/>
    <w:rsid w:val="00770B3F"/>
    <w:rsid w:val="007741C1"/>
    <w:rsid w:val="00777BD2"/>
    <w:rsid w:val="00777F4E"/>
    <w:rsid w:val="00786137"/>
    <w:rsid w:val="007863FE"/>
    <w:rsid w:val="00790139"/>
    <w:rsid w:val="0079104F"/>
    <w:rsid w:val="00791DCC"/>
    <w:rsid w:val="00794B2C"/>
    <w:rsid w:val="00797E75"/>
    <w:rsid w:val="007A0620"/>
    <w:rsid w:val="007A30FB"/>
    <w:rsid w:val="007A4E85"/>
    <w:rsid w:val="007B2C8C"/>
    <w:rsid w:val="007C091E"/>
    <w:rsid w:val="007C4436"/>
    <w:rsid w:val="007C5CC7"/>
    <w:rsid w:val="007C66CE"/>
    <w:rsid w:val="007D02B9"/>
    <w:rsid w:val="007D0D12"/>
    <w:rsid w:val="007D2DB6"/>
    <w:rsid w:val="007D448F"/>
    <w:rsid w:val="007F0AD2"/>
    <w:rsid w:val="007F2532"/>
    <w:rsid w:val="007F2C2C"/>
    <w:rsid w:val="007F2F20"/>
    <w:rsid w:val="007F3FFC"/>
    <w:rsid w:val="007F68F1"/>
    <w:rsid w:val="008016D0"/>
    <w:rsid w:val="00811D73"/>
    <w:rsid w:val="00814295"/>
    <w:rsid w:val="00817226"/>
    <w:rsid w:val="00817CCB"/>
    <w:rsid w:val="00820290"/>
    <w:rsid w:val="008239EC"/>
    <w:rsid w:val="00827C6B"/>
    <w:rsid w:val="00835568"/>
    <w:rsid w:val="008376DF"/>
    <w:rsid w:val="008421B2"/>
    <w:rsid w:val="00845356"/>
    <w:rsid w:val="00851222"/>
    <w:rsid w:val="00852438"/>
    <w:rsid w:val="00854530"/>
    <w:rsid w:val="008569FC"/>
    <w:rsid w:val="008611CD"/>
    <w:rsid w:val="00871C6C"/>
    <w:rsid w:val="00873886"/>
    <w:rsid w:val="00875A56"/>
    <w:rsid w:val="00875E34"/>
    <w:rsid w:val="0088482E"/>
    <w:rsid w:val="008849A9"/>
    <w:rsid w:val="00886A93"/>
    <w:rsid w:val="00893DE8"/>
    <w:rsid w:val="00894057"/>
    <w:rsid w:val="00895C10"/>
    <w:rsid w:val="008964FA"/>
    <w:rsid w:val="008967F0"/>
    <w:rsid w:val="008973DC"/>
    <w:rsid w:val="008A02AB"/>
    <w:rsid w:val="008A4C28"/>
    <w:rsid w:val="008A6CB4"/>
    <w:rsid w:val="008B22CE"/>
    <w:rsid w:val="008B2594"/>
    <w:rsid w:val="008B29A9"/>
    <w:rsid w:val="008B432E"/>
    <w:rsid w:val="008B4368"/>
    <w:rsid w:val="008C2D79"/>
    <w:rsid w:val="008C5596"/>
    <w:rsid w:val="008D449D"/>
    <w:rsid w:val="008D567B"/>
    <w:rsid w:val="008D5C00"/>
    <w:rsid w:val="008E4D7B"/>
    <w:rsid w:val="008F2C26"/>
    <w:rsid w:val="008F2F31"/>
    <w:rsid w:val="008F37DF"/>
    <w:rsid w:val="008F7850"/>
    <w:rsid w:val="008F7FFE"/>
    <w:rsid w:val="009033DC"/>
    <w:rsid w:val="0091001B"/>
    <w:rsid w:val="00910799"/>
    <w:rsid w:val="00914DAB"/>
    <w:rsid w:val="009228A0"/>
    <w:rsid w:val="00922DF9"/>
    <w:rsid w:val="0092357D"/>
    <w:rsid w:val="00930495"/>
    <w:rsid w:val="00931FF5"/>
    <w:rsid w:val="00934036"/>
    <w:rsid w:val="00943BD4"/>
    <w:rsid w:val="00945603"/>
    <w:rsid w:val="00950BD8"/>
    <w:rsid w:val="0095470A"/>
    <w:rsid w:val="00960170"/>
    <w:rsid w:val="00962442"/>
    <w:rsid w:val="0096430E"/>
    <w:rsid w:val="009644EA"/>
    <w:rsid w:val="009705F0"/>
    <w:rsid w:val="00980F9F"/>
    <w:rsid w:val="00984C5F"/>
    <w:rsid w:val="00994731"/>
    <w:rsid w:val="009A65E6"/>
    <w:rsid w:val="009B3CEB"/>
    <w:rsid w:val="009B4B45"/>
    <w:rsid w:val="009B5857"/>
    <w:rsid w:val="009B5DA8"/>
    <w:rsid w:val="009C06C6"/>
    <w:rsid w:val="009C3C88"/>
    <w:rsid w:val="009C5CE2"/>
    <w:rsid w:val="009D1203"/>
    <w:rsid w:val="009D1958"/>
    <w:rsid w:val="009E0681"/>
    <w:rsid w:val="009E30DF"/>
    <w:rsid w:val="009E7A92"/>
    <w:rsid w:val="009F035B"/>
    <w:rsid w:val="009F0977"/>
    <w:rsid w:val="009F14C3"/>
    <w:rsid w:val="009F3416"/>
    <w:rsid w:val="009F35D0"/>
    <w:rsid w:val="009F6DA7"/>
    <w:rsid w:val="00A0182E"/>
    <w:rsid w:val="00A0538C"/>
    <w:rsid w:val="00A05763"/>
    <w:rsid w:val="00A076E5"/>
    <w:rsid w:val="00A11B9C"/>
    <w:rsid w:val="00A151DB"/>
    <w:rsid w:val="00A16B93"/>
    <w:rsid w:val="00A20F4D"/>
    <w:rsid w:val="00A2356F"/>
    <w:rsid w:val="00A2471F"/>
    <w:rsid w:val="00A333D9"/>
    <w:rsid w:val="00A35350"/>
    <w:rsid w:val="00A3554E"/>
    <w:rsid w:val="00A35F27"/>
    <w:rsid w:val="00A410E3"/>
    <w:rsid w:val="00A445F0"/>
    <w:rsid w:val="00A466B1"/>
    <w:rsid w:val="00A47AD4"/>
    <w:rsid w:val="00A534D6"/>
    <w:rsid w:val="00A53992"/>
    <w:rsid w:val="00A542B8"/>
    <w:rsid w:val="00A561DB"/>
    <w:rsid w:val="00A6189C"/>
    <w:rsid w:val="00A712CA"/>
    <w:rsid w:val="00A7386F"/>
    <w:rsid w:val="00A73F46"/>
    <w:rsid w:val="00A7512D"/>
    <w:rsid w:val="00A838EB"/>
    <w:rsid w:val="00A84653"/>
    <w:rsid w:val="00A8549C"/>
    <w:rsid w:val="00A87B11"/>
    <w:rsid w:val="00A940D9"/>
    <w:rsid w:val="00A95D4E"/>
    <w:rsid w:val="00A96EBD"/>
    <w:rsid w:val="00AA073D"/>
    <w:rsid w:val="00AA5071"/>
    <w:rsid w:val="00AA6071"/>
    <w:rsid w:val="00AB0281"/>
    <w:rsid w:val="00AB2490"/>
    <w:rsid w:val="00AB2A78"/>
    <w:rsid w:val="00AB2DB8"/>
    <w:rsid w:val="00AB330C"/>
    <w:rsid w:val="00AB51C3"/>
    <w:rsid w:val="00AB65E3"/>
    <w:rsid w:val="00AC3440"/>
    <w:rsid w:val="00AD4C2C"/>
    <w:rsid w:val="00AD5581"/>
    <w:rsid w:val="00AD57FF"/>
    <w:rsid w:val="00AD7100"/>
    <w:rsid w:val="00AE279D"/>
    <w:rsid w:val="00AE6742"/>
    <w:rsid w:val="00AF36EF"/>
    <w:rsid w:val="00AF4A6D"/>
    <w:rsid w:val="00B07E2B"/>
    <w:rsid w:val="00B120D2"/>
    <w:rsid w:val="00B15684"/>
    <w:rsid w:val="00B15A6E"/>
    <w:rsid w:val="00B22246"/>
    <w:rsid w:val="00B23902"/>
    <w:rsid w:val="00B27CE0"/>
    <w:rsid w:val="00B32B8C"/>
    <w:rsid w:val="00B362D6"/>
    <w:rsid w:val="00B40631"/>
    <w:rsid w:val="00B5550D"/>
    <w:rsid w:val="00B62AC6"/>
    <w:rsid w:val="00B6323A"/>
    <w:rsid w:val="00B6764D"/>
    <w:rsid w:val="00B72750"/>
    <w:rsid w:val="00B75A13"/>
    <w:rsid w:val="00B77056"/>
    <w:rsid w:val="00B8143A"/>
    <w:rsid w:val="00B8471F"/>
    <w:rsid w:val="00B85EF7"/>
    <w:rsid w:val="00B9312F"/>
    <w:rsid w:val="00B961A3"/>
    <w:rsid w:val="00BA0485"/>
    <w:rsid w:val="00BA2AD9"/>
    <w:rsid w:val="00BA2BB1"/>
    <w:rsid w:val="00BA3AB9"/>
    <w:rsid w:val="00BA7706"/>
    <w:rsid w:val="00BB082A"/>
    <w:rsid w:val="00BB527A"/>
    <w:rsid w:val="00BB6B55"/>
    <w:rsid w:val="00BB6C90"/>
    <w:rsid w:val="00BC049F"/>
    <w:rsid w:val="00BC32AD"/>
    <w:rsid w:val="00BC3B23"/>
    <w:rsid w:val="00BC7FAC"/>
    <w:rsid w:val="00BD008F"/>
    <w:rsid w:val="00BD438D"/>
    <w:rsid w:val="00BE2F3A"/>
    <w:rsid w:val="00BF0CC7"/>
    <w:rsid w:val="00BF22C4"/>
    <w:rsid w:val="00BF37B6"/>
    <w:rsid w:val="00BF6AD3"/>
    <w:rsid w:val="00C11598"/>
    <w:rsid w:val="00C1449B"/>
    <w:rsid w:val="00C16DC0"/>
    <w:rsid w:val="00C215F6"/>
    <w:rsid w:val="00C21FFF"/>
    <w:rsid w:val="00C23F79"/>
    <w:rsid w:val="00C27409"/>
    <w:rsid w:val="00C27770"/>
    <w:rsid w:val="00C30044"/>
    <w:rsid w:val="00C32772"/>
    <w:rsid w:val="00C332DE"/>
    <w:rsid w:val="00C36C86"/>
    <w:rsid w:val="00C4213C"/>
    <w:rsid w:val="00C53561"/>
    <w:rsid w:val="00C5361C"/>
    <w:rsid w:val="00C54A44"/>
    <w:rsid w:val="00C60023"/>
    <w:rsid w:val="00C72E02"/>
    <w:rsid w:val="00C7684F"/>
    <w:rsid w:val="00C80C5F"/>
    <w:rsid w:val="00C81DE1"/>
    <w:rsid w:val="00C83F91"/>
    <w:rsid w:val="00C8737D"/>
    <w:rsid w:val="00C920D1"/>
    <w:rsid w:val="00C9283F"/>
    <w:rsid w:val="00C93D45"/>
    <w:rsid w:val="00C9679D"/>
    <w:rsid w:val="00C96C30"/>
    <w:rsid w:val="00CA2FF0"/>
    <w:rsid w:val="00CA5DFF"/>
    <w:rsid w:val="00CA72CD"/>
    <w:rsid w:val="00CB25AF"/>
    <w:rsid w:val="00CB444A"/>
    <w:rsid w:val="00CB65C2"/>
    <w:rsid w:val="00CB70F3"/>
    <w:rsid w:val="00CB7BA8"/>
    <w:rsid w:val="00CC001F"/>
    <w:rsid w:val="00CC4E6C"/>
    <w:rsid w:val="00CC585D"/>
    <w:rsid w:val="00CD1DDD"/>
    <w:rsid w:val="00CD2F1C"/>
    <w:rsid w:val="00CE0598"/>
    <w:rsid w:val="00CE2425"/>
    <w:rsid w:val="00CF01DB"/>
    <w:rsid w:val="00CF17D5"/>
    <w:rsid w:val="00D02705"/>
    <w:rsid w:val="00D028D1"/>
    <w:rsid w:val="00D03B8F"/>
    <w:rsid w:val="00D052CF"/>
    <w:rsid w:val="00D060B1"/>
    <w:rsid w:val="00D1177D"/>
    <w:rsid w:val="00D21206"/>
    <w:rsid w:val="00D27BF2"/>
    <w:rsid w:val="00D27D1F"/>
    <w:rsid w:val="00D32449"/>
    <w:rsid w:val="00D34DB3"/>
    <w:rsid w:val="00D3547E"/>
    <w:rsid w:val="00D36702"/>
    <w:rsid w:val="00D3680D"/>
    <w:rsid w:val="00D44A29"/>
    <w:rsid w:val="00D44A99"/>
    <w:rsid w:val="00D50612"/>
    <w:rsid w:val="00D60372"/>
    <w:rsid w:val="00D61891"/>
    <w:rsid w:val="00D62A38"/>
    <w:rsid w:val="00D63AA0"/>
    <w:rsid w:val="00D76780"/>
    <w:rsid w:val="00D76989"/>
    <w:rsid w:val="00D77203"/>
    <w:rsid w:val="00D84F01"/>
    <w:rsid w:val="00D85A6B"/>
    <w:rsid w:val="00D92231"/>
    <w:rsid w:val="00D93B5C"/>
    <w:rsid w:val="00D95F5C"/>
    <w:rsid w:val="00D97CB4"/>
    <w:rsid w:val="00DA3F7A"/>
    <w:rsid w:val="00DA7D79"/>
    <w:rsid w:val="00DD2AFB"/>
    <w:rsid w:val="00DD7906"/>
    <w:rsid w:val="00DD7E05"/>
    <w:rsid w:val="00DE393D"/>
    <w:rsid w:val="00DE4472"/>
    <w:rsid w:val="00DF0866"/>
    <w:rsid w:val="00DF1B1C"/>
    <w:rsid w:val="00DF7F93"/>
    <w:rsid w:val="00E02943"/>
    <w:rsid w:val="00E03361"/>
    <w:rsid w:val="00E119CF"/>
    <w:rsid w:val="00E201A4"/>
    <w:rsid w:val="00E2022D"/>
    <w:rsid w:val="00E22692"/>
    <w:rsid w:val="00E23120"/>
    <w:rsid w:val="00E318F5"/>
    <w:rsid w:val="00E371F6"/>
    <w:rsid w:val="00E43649"/>
    <w:rsid w:val="00E44A60"/>
    <w:rsid w:val="00E530CA"/>
    <w:rsid w:val="00E611EF"/>
    <w:rsid w:val="00E629CA"/>
    <w:rsid w:val="00E64F45"/>
    <w:rsid w:val="00E6733C"/>
    <w:rsid w:val="00E710B3"/>
    <w:rsid w:val="00E72790"/>
    <w:rsid w:val="00E75838"/>
    <w:rsid w:val="00E82113"/>
    <w:rsid w:val="00E94EE5"/>
    <w:rsid w:val="00E94F11"/>
    <w:rsid w:val="00EA34FE"/>
    <w:rsid w:val="00EA5378"/>
    <w:rsid w:val="00EA6575"/>
    <w:rsid w:val="00EA6A53"/>
    <w:rsid w:val="00EB325F"/>
    <w:rsid w:val="00EB688D"/>
    <w:rsid w:val="00EC14B0"/>
    <w:rsid w:val="00ED3E85"/>
    <w:rsid w:val="00ED65FE"/>
    <w:rsid w:val="00EE2E8C"/>
    <w:rsid w:val="00EE7459"/>
    <w:rsid w:val="00EF353B"/>
    <w:rsid w:val="00EF5FB5"/>
    <w:rsid w:val="00EF62A4"/>
    <w:rsid w:val="00F03AB1"/>
    <w:rsid w:val="00F04189"/>
    <w:rsid w:val="00F04FA0"/>
    <w:rsid w:val="00F24371"/>
    <w:rsid w:val="00F25EA9"/>
    <w:rsid w:val="00F27517"/>
    <w:rsid w:val="00F35E75"/>
    <w:rsid w:val="00F40DF8"/>
    <w:rsid w:val="00F44D90"/>
    <w:rsid w:val="00F46420"/>
    <w:rsid w:val="00F50837"/>
    <w:rsid w:val="00F5362E"/>
    <w:rsid w:val="00F56A11"/>
    <w:rsid w:val="00F57FCA"/>
    <w:rsid w:val="00F60AD1"/>
    <w:rsid w:val="00F61589"/>
    <w:rsid w:val="00F63CC5"/>
    <w:rsid w:val="00F64A15"/>
    <w:rsid w:val="00F66509"/>
    <w:rsid w:val="00F67B86"/>
    <w:rsid w:val="00F77C76"/>
    <w:rsid w:val="00F8220E"/>
    <w:rsid w:val="00F827A3"/>
    <w:rsid w:val="00F90174"/>
    <w:rsid w:val="00F92372"/>
    <w:rsid w:val="00FA1C7D"/>
    <w:rsid w:val="00FB3C65"/>
    <w:rsid w:val="00FB5CA5"/>
    <w:rsid w:val="00FC1608"/>
    <w:rsid w:val="00FC5D22"/>
    <w:rsid w:val="00FD4AF4"/>
    <w:rsid w:val="00FD4FF9"/>
    <w:rsid w:val="00FD525E"/>
    <w:rsid w:val="00FD58AE"/>
    <w:rsid w:val="00FD7AB7"/>
    <w:rsid w:val="00FE222B"/>
    <w:rsid w:val="00FE4B16"/>
    <w:rsid w:val="00FE56D9"/>
    <w:rsid w:val="00FE7F0B"/>
    <w:rsid w:val="00FF4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B5F"/>
    <w:rPr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B2F06"/>
    <w:pPr>
      <w:keepNext/>
      <w:keepLines/>
      <w:spacing w:before="480" w:line="276" w:lineRule="auto"/>
      <w:outlineLvl w:val="0"/>
    </w:pPr>
    <w:rPr>
      <w:rFonts w:ascii="Calibri" w:eastAsia="MS Gothic" w:hAnsi="Calibri"/>
      <w:b/>
      <w:bCs/>
      <w:color w:val="365F91"/>
      <w:sz w:val="28"/>
      <w:szCs w:val="28"/>
      <w:lang w:val="en-US" w:eastAsia="en-US" w:bidi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">
    <w:name w:val="t"/>
    <w:basedOn w:val="Normal"/>
    <w:next w:val="Normal"/>
    <w:uiPriority w:val="99"/>
    <w:rsid w:val="001A6B5F"/>
    <w:pPr>
      <w:widowControl w:val="0"/>
      <w:autoSpaceDE w:val="0"/>
      <w:autoSpaceDN w:val="0"/>
      <w:adjustRightInd w:val="0"/>
      <w:spacing w:before="64" w:line="250" w:lineRule="atLeast"/>
      <w:ind w:firstLine="512"/>
      <w:jc w:val="both"/>
      <w:textAlignment w:val="center"/>
    </w:pPr>
    <w:rPr>
      <w:rFonts w:ascii="Calibri" w:hAnsi="Calibri" w:cs="Calibri"/>
      <w:color w:val="000000"/>
      <w:sz w:val="22"/>
      <w:szCs w:val="22"/>
    </w:rPr>
  </w:style>
  <w:style w:type="character" w:styleId="Refdecomentrio">
    <w:name w:val="annotation reference"/>
    <w:semiHidden/>
    <w:rsid w:val="001A6B5F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1A6B5F"/>
    <w:pPr>
      <w:spacing w:after="160" w:line="259" w:lineRule="auto"/>
    </w:pPr>
    <w:rPr>
      <w:rFonts w:ascii="Calibri" w:hAnsi="Calibri"/>
      <w:sz w:val="20"/>
      <w:szCs w:val="20"/>
    </w:rPr>
  </w:style>
  <w:style w:type="paragraph" w:styleId="Textodenotaderodap">
    <w:name w:val="footnote text"/>
    <w:basedOn w:val="Normal"/>
    <w:link w:val="TextodenotaderodapChar"/>
    <w:rsid w:val="001A6B5F"/>
    <w:rPr>
      <w:sz w:val="20"/>
      <w:szCs w:val="20"/>
    </w:rPr>
  </w:style>
  <w:style w:type="character" w:styleId="Refdenotaderodap">
    <w:name w:val="footnote reference"/>
    <w:semiHidden/>
    <w:rsid w:val="001A6B5F"/>
    <w:rPr>
      <w:vertAlign w:val="superscript"/>
    </w:rPr>
  </w:style>
  <w:style w:type="character" w:customStyle="1" w:styleId="TextodenotaderodapChar">
    <w:name w:val="Texto de nota de rodapé Char"/>
    <w:link w:val="Textodenotaderodap"/>
    <w:rsid w:val="001A6B5F"/>
    <w:rPr>
      <w:lang w:val="pt-BR" w:eastAsia="pt-BR" w:bidi="ar-SA"/>
    </w:rPr>
  </w:style>
  <w:style w:type="character" w:customStyle="1" w:styleId="TextodecomentrioChar">
    <w:name w:val="Texto de comentário Char"/>
    <w:link w:val="Textodecomentrio"/>
    <w:semiHidden/>
    <w:rsid w:val="001A6B5F"/>
    <w:rPr>
      <w:rFonts w:ascii="Calibri" w:hAnsi="Calibri"/>
      <w:lang w:bidi="ar-SA"/>
    </w:rPr>
  </w:style>
  <w:style w:type="paragraph" w:styleId="Textodebalo">
    <w:name w:val="Balloon Text"/>
    <w:basedOn w:val="Normal"/>
    <w:semiHidden/>
    <w:rsid w:val="001A6B5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1A6B5F"/>
    <w:pPr>
      <w:spacing w:before="100" w:beforeAutospacing="1" w:after="100" w:afterAutospacing="1"/>
    </w:pPr>
  </w:style>
  <w:style w:type="paragraph" w:customStyle="1" w:styleId="nota">
    <w:name w:val="nota"/>
    <w:basedOn w:val="t"/>
    <w:uiPriority w:val="99"/>
    <w:rsid w:val="001A6B5F"/>
    <w:pPr>
      <w:tabs>
        <w:tab w:val="left" w:pos="320"/>
      </w:tabs>
      <w:spacing w:before="0" w:line="200" w:lineRule="atLeast"/>
      <w:ind w:left="213" w:hanging="213"/>
    </w:pPr>
    <w:rPr>
      <w:rFonts w:ascii="Myriad Pro" w:hAnsi="Myriad Pro" w:cs="Myriad Pro"/>
      <w:sz w:val="17"/>
      <w:szCs w:val="17"/>
    </w:rPr>
  </w:style>
  <w:style w:type="character" w:customStyle="1" w:styleId="Ttulo1Char">
    <w:name w:val="Título 1 Char"/>
    <w:basedOn w:val="Fontepargpadro"/>
    <w:link w:val="Ttulo1"/>
    <w:uiPriority w:val="9"/>
    <w:rsid w:val="003B2F06"/>
    <w:rPr>
      <w:rFonts w:ascii="Calibri" w:eastAsia="MS Gothic" w:hAnsi="Calibri"/>
      <w:b/>
      <w:bCs/>
      <w:color w:val="365F91"/>
      <w:sz w:val="28"/>
      <w:szCs w:val="28"/>
      <w:lang w:val="en-US" w:bidi="en-US"/>
    </w:rPr>
  </w:style>
  <w:style w:type="paragraph" w:styleId="Rodap">
    <w:name w:val="footer"/>
    <w:basedOn w:val="Normal"/>
    <w:link w:val="RodapChar"/>
    <w:uiPriority w:val="99"/>
    <w:rsid w:val="008A6CB4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8A6CB4"/>
    <w:rPr>
      <w:sz w:val="24"/>
      <w:szCs w:val="24"/>
      <w:lang w:eastAsia="pt-BR"/>
    </w:rPr>
  </w:style>
  <w:style w:type="character" w:styleId="Nmerodepgina">
    <w:name w:val="page number"/>
    <w:basedOn w:val="Fontepargpadro"/>
    <w:rsid w:val="008A6CB4"/>
  </w:style>
  <w:style w:type="paragraph" w:styleId="Assuntodocomentrio">
    <w:name w:val="annotation subject"/>
    <w:basedOn w:val="Textodecomentrio"/>
    <w:next w:val="Textodecomentrio"/>
    <w:link w:val="AssuntodocomentrioChar"/>
    <w:rsid w:val="00D84F01"/>
    <w:pPr>
      <w:spacing w:after="0" w:line="240" w:lineRule="auto"/>
    </w:pPr>
    <w:rPr>
      <w:rFonts w:ascii="Times New Roman" w:hAnsi="Times New Roman"/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D84F01"/>
    <w:rPr>
      <w:rFonts w:ascii="Calibri" w:hAnsi="Calibri"/>
      <w:b/>
      <w:bCs/>
      <w:lang w:eastAsia="pt-BR" w:bidi="ar-SA"/>
    </w:rPr>
  </w:style>
  <w:style w:type="character" w:styleId="Hyperlink">
    <w:name w:val="Hyperlink"/>
    <w:basedOn w:val="Fontepargpadro"/>
    <w:unhideWhenUsed/>
    <w:rsid w:val="003B42DD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semiHidden/>
    <w:unhideWhenUsed/>
    <w:rsid w:val="007F68F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semiHidden/>
    <w:rsid w:val="007F68F1"/>
    <w:rPr>
      <w:sz w:val="24"/>
      <w:szCs w:val="24"/>
      <w:lang w:eastAsia="pt-BR"/>
    </w:rPr>
  </w:style>
  <w:style w:type="paragraph" w:styleId="Reviso">
    <w:name w:val="Revision"/>
    <w:hidden/>
    <w:uiPriority w:val="71"/>
    <w:semiHidden/>
    <w:rsid w:val="001B69D2"/>
    <w:rPr>
      <w:sz w:val="24"/>
      <w:szCs w:val="24"/>
      <w:lang w:eastAsia="pt-BR"/>
    </w:rPr>
  </w:style>
  <w:style w:type="paragraph" w:customStyle="1" w:styleId="rec">
    <w:name w:val="rec"/>
    <w:basedOn w:val="Normal"/>
    <w:uiPriority w:val="99"/>
    <w:rsid w:val="00012E1F"/>
    <w:pPr>
      <w:widowControl w:val="0"/>
      <w:autoSpaceDE w:val="0"/>
      <w:autoSpaceDN w:val="0"/>
      <w:adjustRightInd w:val="0"/>
      <w:spacing w:before="64" w:line="260" w:lineRule="atLeast"/>
      <w:ind w:left="512" w:firstLine="256"/>
      <w:jc w:val="both"/>
    </w:pPr>
    <w:rPr>
      <w:rFonts w:ascii="Times" w:hAnsi="Times" w:cs="Times"/>
      <w:sz w:val="23"/>
      <w:szCs w:val="23"/>
    </w:rPr>
  </w:style>
  <w:style w:type="paragraph" w:styleId="Recuodecorpodetexto">
    <w:name w:val="Body Text Indent"/>
    <w:basedOn w:val="Normal"/>
    <w:link w:val="RecuodecorpodetextoChar"/>
    <w:rsid w:val="00012E1F"/>
    <w:pPr>
      <w:spacing w:before="120" w:after="120" w:line="360" w:lineRule="auto"/>
      <w:ind w:firstLine="1701"/>
      <w:jc w:val="both"/>
    </w:pPr>
    <w:rPr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012E1F"/>
    <w:rPr>
      <w:sz w:val="24"/>
      <w:lang w:eastAsia="pt-BR"/>
    </w:rPr>
  </w:style>
  <w:style w:type="table" w:styleId="Tabelacomgrade">
    <w:name w:val="Table Grid"/>
    <w:basedOn w:val="Tabelanormal"/>
    <w:rsid w:val="00FC5D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oPendente1">
    <w:name w:val="Menção Pendente1"/>
    <w:basedOn w:val="Fontepargpadro"/>
    <w:uiPriority w:val="99"/>
    <w:semiHidden/>
    <w:unhideWhenUsed/>
    <w:rsid w:val="00000FC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17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A93DB3D-5461-4201-89FA-3EC907E0D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2113</Words>
  <Characters>11414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 Novo Código de Processo Civil teve a feliz opção de equalizar expressamente a união estável ao casamento em vários de seus preceitos, o que trará consequências para o modo como a comparação dessas entidades familiares é feita no âmbito do direito mater</vt:lpstr>
    </vt:vector>
  </TitlesOfParts>
  <Company>R&amp;R Informatica</Company>
  <LinksUpToDate>false</LinksUpToDate>
  <CharactersWithSpaces>13501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Novo Código de Processo Civil teve a feliz opção de equalizar expressamente a união estável ao casamento em vários de seus preceitos, o que trará consequências para o modo como a comparação dessas entidades familiares é feita no âmbito do direito mater</dc:title>
  <dc:creator>Douglas</dc:creator>
  <cp:lastModifiedBy>Flavio</cp:lastModifiedBy>
  <cp:revision>2</cp:revision>
  <cp:lastPrinted>2016-09-23T18:20:00Z</cp:lastPrinted>
  <dcterms:created xsi:type="dcterms:W3CDTF">2024-11-22T13:55:00Z</dcterms:created>
  <dcterms:modified xsi:type="dcterms:W3CDTF">2024-11-22T13:55:00Z</dcterms:modified>
</cp:coreProperties>
</file>