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C5C86" w14:textId="7FEBA771" w:rsidR="00722CAC" w:rsidRDefault="00447D60" w:rsidP="001F0B30">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 </w:t>
      </w:r>
      <w:r w:rsidRPr="009A338E">
        <w:rPr>
          <w:rFonts w:ascii="Times New Roman" w:hAnsi="Times New Roman" w:cs="Times New Roman"/>
          <w:b/>
          <w:bCs/>
          <w:i/>
          <w:iCs/>
          <w:sz w:val="24"/>
          <w:szCs w:val="24"/>
        </w:rPr>
        <w:t>X JORNADA DE DIREITO CIVIL</w:t>
      </w:r>
      <w:r>
        <w:rPr>
          <w:rFonts w:ascii="Times New Roman" w:hAnsi="Times New Roman" w:cs="Times New Roman"/>
          <w:b/>
          <w:bCs/>
          <w:sz w:val="24"/>
          <w:szCs w:val="24"/>
        </w:rPr>
        <w:t xml:space="preserve">, O DIREITO DE FAMÍLIA E SUCESSÕES. </w:t>
      </w:r>
      <w:r w:rsidR="009A338E">
        <w:rPr>
          <w:rFonts w:ascii="Times New Roman" w:hAnsi="Times New Roman" w:cs="Times New Roman"/>
          <w:b/>
          <w:bCs/>
          <w:sz w:val="24"/>
          <w:szCs w:val="24"/>
        </w:rPr>
        <w:t xml:space="preserve"> </w:t>
      </w:r>
      <w:r w:rsidR="00F268FD">
        <w:rPr>
          <w:rFonts w:ascii="Times New Roman" w:hAnsi="Times New Roman" w:cs="Times New Roman"/>
          <w:b/>
          <w:bCs/>
          <w:sz w:val="24"/>
          <w:szCs w:val="24"/>
        </w:rPr>
        <w:t>SEGUNDA</w:t>
      </w:r>
      <w:r>
        <w:rPr>
          <w:rFonts w:ascii="Times New Roman" w:hAnsi="Times New Roman" w:cs="Times New Roman"/>
          <w:b/>
          <w:bCs/>
          <w:sz w:val="24"/>
          <w:szCs w:val="24"/>
        </w:rPr>
        <w:t xml:space="preserve"> PARTE. </w:t>
      </w:r>
    </w:p>
    <w:p w14:paraId="54816AE8" w14:textId="0A5E0EFC" w:rsidR="00447D60" w:rsidRDefault="00F268FD" w:rsidP="001F0B30">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DIVÓRCIO E DISSOLUÇÃO DA UNIÃO ESTÁVEL. </w:t>
      </w:r>
    </w:p>
    <w:p w14:paraId="79328BE0" w14:textId="77777777" w:rsidR="00F268FD" w:rsidRDefault="00F268FD" w:rsidP="00447D60">
      <w:pPr>
        <w:spacing w:before="120" w:after="120" w:line="360" w:lineRule="auto"/>
        <w:ind w:firstLine="1701"/>
        <w:jc w:val="right"/>
        <w:rPr>
          <w:rFonts w:ascii="Times New Roman" w:hAnsi="Times New Roman" w:cs="Times New Roman"/>
          <w:bCs/>
          <w:sz w:val="24"/>
          <w:szCs w:val="24"/>
        </w:rPr>
      </w:pPr>
    </w:p>
    <w:p w14:paraId="490AF183" w14:textId="7F479BD7" w:rsidR="00805969" w:rsidRPr="00506A24" w:rsidRDefault="00B15AD0" w:rsidP="00447D60">
      <w:pPr>
        <w:spacing w:before="120" w:after="120" w:line="360" w:lineRule="auto"/>
        <w:ind w:firstLine="1701"/>
        <w:jc w:val="right"/>
        <w:rPr>
          <w:rFonts w:ascii="Times New Roman" w:hAnsi="Times New Roman" w:cs="Times New Roman"/>
          <w:bCs/>
          <w:sz w:val="24"/>
          <w:szCs w:val="24"/>
        </w:rPr>
      </w:pPr>
      <w:r w:rsidRPr="00506A24">
        <w:rPr>
          <w:rFonts w:ascii="Times New Roman" w:hAnsi="Times New Roman" w:cs="Times New Roman"/>
          <w:bCs/>
          <w:sz w:val="24"/>
          <w:szCs w:val="24"/>
        </w:rPr>
        <w:t>Flávio Tartuce</w:t>
      </w:r>
      <w:r w:rsidRPr="00506A24">
        <w:rPr>
          <w:rFonts w:ascii="Times New Roman" w:hAnsi="Times New Roman" w:cs="Times New Roman"/>
          <w:bCs/>
          <w:sz w:val="24"/>
          <w:szCs w:val="24"/>
          <w:vertAlign w:val="superscript"/>
        </w:rPr>
        <w:footnoteReference w:id="1"/>
      </w:r>
    </w:p>
    <w:p w14:paraId="6280604B" w14:textId="77777777" w:rsidR="00447D60" w:rsidRDefault="00447D60" w:rsidP="00447D60">
      <w:pPr>
        <w:pStyle w:val="t"/>
        <w:spacing w:before="120" w:after="120" w:line="360" w:lineRule="auto"/>
        <w:ind w:firstLine="1701"/>
        <w:rPr>
          <w:rFonts w:ascii="Times New Roman" w:hAnsi="Times New Roman" w:cs="Times New Roman"/>
          <w:sz w:val="24"/>
          <w:szCs w:val="24"/>
        </w:rPr>
      </w:pPr>
    </w:p>
    <w:p w14:paraId="62E28A7B" w14:textId="5EEC78B8" w:rsidR="00F268FD" w:rsidRDefault="00447D60" w:rsidP="00447D60">
      <w:pPr>
        <w:pStyle w:val="t"/>
        <w:spacing w:before="120" w:after="120" w:line="360" w:lineRule="auto"/>
        <w:ind w:firstLine="1701"/>
        <w:rPr>
          <w:rFonts w:ascii="Times New Roman" w:hAnsi="Times New Roman" w:cs="Times New Roman"/>
          <w:sz w:val="24"/>
          <w:szCs w:val="24"/>
        </w:rPr>
      </w:pPr>
      <w:r w:rsidRPr="00447D60">
        <w:rPr>
          <w:rFonts w:ascii="Times New Roman" w:hAnsi="Times New Roman" w:cs="Times New Roman"/>
          <w:sz w:val="24"/>
          <w:szCs w:val="24"/>
        </w:rPr>
        <w:t xml:space="preserve">Nos dias 15 e 16 de junho de 2026, </w:t>
      </w:r>
      <w:r w:rsidR="00F268FD">
        <w:rPr>
          <w:rFonts w:ascii="Times New Roman" w:hAnsi="Times New Roman" w:cs="Times New Roman"/>
          <w:sz w:val="24"/>
          <w:szCs w:val="24"/>
        </w:rPr>
        <w:t>ocorreu em Brasília a histórica</w:t>
      </w:r>
      <w:r>
        <w:rPr>
          <w:rFonts w:ascii="Times New Roman" w:hAnsi="Times New Roman" w:cs="Times New Roman"/>
          <w:sz w:val="24"/>
          <w:szCs w:val="24"/>
        </w:rPr>
        <w:t xml:space="preserve"> </w:t>
      </w:r>
      <w:r w:rsidRPr="00447D60">
        <w:rPr>
          <w:rFonts w:ascii="Times New Roman" w:hAnsi="Times New Roman" w:cs="Times New Roman"/>
          <w:i/>
          <w:iCs/>
          <w:sz w:val="24"/>
          <w:szCs w:val="24"/>
        </w:rPr>
        <w:t xml:space="preserve">X Jornada de Direito Civil, </w:t>
      </w:r>
      <w:r w:rsidRPr="00447D60">
        <w:rPr>
          <w:rFonts w:ascii="Times New Roman" w:hAnsi="Times New Roman" w:cs="Times New Roman"/>
          <w:sz w:val="24"/>
          <w:szCs w:val="24"/>
        </w:rPr>
        <w:t xml:space="preserve">na sede do Conselho da Justiça Federal, </w:t>
      </w:r>
      <w:r w:rsidR="00F268FD">
        <w:rPr>
          <w:rFonts w:ascii="Times New Roman" w:hAnsi="Times New Roman" w:cs="Times New Roman"/>
          <w:sz w:val="24"/>
          <w:szCs w:val="24"/>
        </w:rPr>
        <w:t xml:space="preserve">com a </w:t>
      </w:r>
      <w:r w:rsidR="00AA3D1E">
        <w:rPr>
          <w:rFonts w:ascii="Times New Roman" w:hAnsi="Times New Roman" w:cs="Times New Roman"/>
          <w:sz w:val="24"/>
          <w:szCs w:val="24"/>
        </w:rPr>
        <w:t>a</w:t>
      </w:r>
      <w:r w:rsidR="00F268FD">
        <w:rPr>
          <w:rFonts w:ascii="Times New Roman" w:hAnsi="Times New Roman" w:cs="Times New Roman"/>
          <w:sz w:val="24"/>
          <w:szCs w:val="24"/>
        </w:rPr>
        <w:t xml:space="preserve">provação de </w:t>
      </w:r>
      <w:r w:rsidR="00E64963">
        <w:rPr>
          <w:rFonts w:ascii="Times New Roman" w:hAnsi="Times New Roman" w:cs="Times New Roman"/>
          <w:sz w:val="24"/>
          <w:szCs w:val="24"/>
        </w:rPr>
        <w:t xml:space="preserve">cinquenta e oito </w:t>
      </w:r>
      <w:r w:rsidR="00F268FD">
        <w:rPr>
          <w:rFonts w:ascii="Times New Roman" w:hAnsi="Times New Roman" w:cs="Times New Roman"/>
          <w:sz w:val="24"/>
          <w:szCs w:val="24"/>
        </w:rPr>
        <w:t xml:space="preserve">novos enunciados doutrinários sobre os mais diversos temas de Direito Privado. </w:t>
      </w:r>
    </w:p>
    <w:p w14:paraId="0BCA6C13" w14:textId="26573EC2" w:rsidR="00F268FD" w:rsidRDefault="00F268FD" w:rsidP="00447D60">
      <w:pPr>
        <w:pStyle w:val="t"/>
        <w:spacing w:before="120" w:after="120" w:line="360" w:lineRule="auto"/>
        <w:ind w:firstLine="1701"/>
        <w:rPr>
          <w:rFonts w:ascii="Times New Roman" w:hAnsi="Times New Roman" w:cs="Times New Roman"/>
          <w:sz w:val="24"/>
          <w:szCs w:val="24"/>
        </w:rPr>
      </w:pPr>
      <w:r>
        <w:rPr>
          <w:rFonts w:ascii="Times New Roman" w:hAnsi="Times New Roman" w:cs="Times New Roman"/>
          <w:sz w:val="24"/>
          <w:szCs w:val="24"/>
        </w:rPr>
        <w:t>Neste segundo t</w:t>
      </w:r>
      <w:r w:rsidR="008354AD">
        <w:rPr>
          <w:rFonts w:ascii="Times New Roman" w:hAnsi="Times New Roman" w:cs="Times New Roman"/>
          <w:sz w:val="24"/>
          <w:szCs w:val="24"/>
        </w:rPr>
        <w:t xml:space="preserve">exto </w:t>
      </w:r>
      <w:r>
        <w:rPr>
          <w:rFonts w:ascii="Times New Roman" w:hAnsi="Times New Roman" w:cs="Times New Roman"/>
          <w:sz w:val="24"/>
          <w:szCs w:val="24"/>
        </w:rPr>
        <w:t>da série</w:t>
      </w:r>
      <w:r w:rsidR="00AA3D1E">
        <w:rPr>
          <w:rFonts w:ascii="Times New Roman" w:hAnsi="Times New Roman" w:cs="Times New Roman"/>
          <w:sz w:val="24"/>
          <w:szCs w:val="24"/>
        </w:rPr>
        <w:t>,</w:t>
      </w:r>
      <w:r>
        <w:rPr>
          <w:rFonts w:ascii="Times New Roman" w:hAnsi="Times New Roman" w:cs="Times New Roman"/>
          <w:sz w:val="24"/>
          <w:szCs w:val="24"/>
        </w:rPr>
        <w:t xml:space="preserve"> continuarei analisando algumas das propostas de ementas </w:t>
      </w:r>
      <w:r w:rsidR="00E64963">
        <w:rPr>
          <w:rFonts w:ascii="Times New Roman" w:hAnsi="Times New Roman" w:cs="Times New Roman"/>
          <w:sz w:val="24"/>
          <w:szCs w:val="24"/>
        </w:rPr>
        <w:t xml:space="preserve">que foram </w:t>
      </w:r>
      <w:r>
        <w:rPr>
          <w:rFonts w:ascii="Times New Roman" w:hAnsi="Times New Roman" w:cs="Times New Roman"/>
          <w:sz w:val="24"/>
          <w:szCs w:val="24"/>
        </w:rPr>
        <w:t>aprovadas</w:t>
      </w:r>
      <w:r w:rsidR="00E64963">
        <w:rPr>
          <w:rFonts w:ascii="Times New Roman" w:hAnsi="Times New Roman" w:cs="Times New Roman"/>
          <w:sz w:val="24"/>
          <w:szCs w:val="24"/>
        </w:rPr>
        <w:t xml:space="preserve"> nesse evento</w:t>
      </w:r>
      <w:r>
        <w:rPr>
          <w:rFonts w:ascii="Times New Roman" w:hAnsi="Times New Roman" w:cs="Times New Roman"/>
          <w:sz w:val="24"/>
          <w:szCs w:val="24"/>
        </w:rPr>
        <w:t xml:space="preserve">, </w:t>
      </w:r>
      <w:r w:rsidR="00E64963">
        <w:rPr>
          <w:rFonts w:ascii="Times New Roman" w:hAnsi="Times New Roman" w:cs="Times New Roman"/>
          <w:sz w:val="24"/>
          <w:szCs w:val="24"/>
        </w:rPr>
        <w:t xml:space="preserve">e </w:t>
      </w:r>
      <w:r>
        <w:rPr>
          <w:rFonts w:ascii="Times New Roman" w:hAnsi="Times New Roman" w:cs="Times New Roman"/>
          <w:sz w:val="24"/>
          <w:szCs w:val="24"/>
        </w:rPr>
        <w:t>que devem orientar a teoria e a prática do Direito Civil nos próximos anos, destacando assuntos relativos ao Direito de Família e das Sucessões. O tema central des</w:t>
      </w:r>
      <w:r w:rsidR="00CF5F14">
        <w:rPr>
          <w:rFonts w:ascii="Times New Roman" w:hAnsi="Times New Roman" w:cs="Times New Roman"/>
          <w:sz w:val="24"/>
          <w:szCs w:val="24"/>
        </w:rPr>
        <w:t>t</w:t>
      </w:r>
      <w:r>
        <w:rPr>
          <w:rFonts w:ascii="Times New Roman" w:hAnsi="Times New Roman" w:cs="Times New Roman"/>
          <w:sz w:val="24"/>
          <w:szCs w:val="24"/>
        </w:rPr>
        <w:t>e texto é a dissolução do casamento</w:t>
      </w:r>
      <w:r w:rsidR="00CF5F14">
        <w:rPr>
          <w:rFonts w:ascii="Times New Roman" w:hAnsi="Times New Roman" w:cs="Times New Roman"/>
          <w:sz w:val="24"/>
          <w:szCs w:val="24"/>
        </w:rPr>
        <w:t xml:space="preserve">, pelo divórcio, </w:t>
      </w:r>
      <w:r>
        <w:rPr>
          <w:rFonts w:ascii="Times New Roman" w:hAnsi="Times New Roman" w:cs="Times New Roman"/>
          <w:sz w:val="24"/>
          <w:szCs w:val="24"/>
        </w:rPr>
        <w:t>e da união estável</w:t>
      </w:r>
      <w:r w:rsidR="00CF5F14">
        <w:rPr>
          <w:rFonts w:ascii="Times New Roman" w:hAnsi="Times New Roman" w:cs="Times New Roman"/>
          <w:sz w:val="24"/>
          <w:szCs w:val="24"/>
        </w:rPr>
        <w:t xml:space="preserve">, ou seja, a </w:t>
      </w:r>
      <w:r w:rsidR="00CF5F14" w:rsidRPr="00CF5F14">
        <w:rPr>
          <w:rFonts w:ascii="Times New Roman" w:hAnsi="Times New Roman" w:cs="Times New Roman"/>
          <w:i/>
          <w:iCs/>
          <w:sz w:val="24"/>
          <w:szCs w:val="24"/>
        </w:rPr>
        <w:t xml:space="preserve">crise conjugal e </w:t>
      </w:r>
      <w:r w:rsidR="00CF5F14" w:rsidRPr="003F660D">
        <w:rPr>
          <w:rFonts w:ascii="Times New Roman" w:hAnsi="Times New Roman" w:cs="Times New Roman"/>
          <w:i/>
          <w:iCs/>
          <w:sz w:val="24"/>
          <w:szCs w:val="24"/>
        </w:rPr>
        <w:t>convivencial.</w:t>
      </w:r>
      <w:r w:rsidR="00CF5F14">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8E33154" w14:textId="047D5F20" w:rsidR="00CF5F14" w:rsidRDefault="00CF5F14" w:rsidP="00447D60">
      <w:pPr>
        <w:pStyle w:val="t"/>
        <w:spacing w:before="120" w:after="120" w:line="360" w:lineRule="auto"/>
        <w:ind w:firstLine="1701"/>
        <w:rPr>
          <w:rFonts w:ascii="Times New Roman" w:hAnsi="Times New Roman" w:cs="Times New Roman"/>
          <w:sz w:val="24"/>
          <w:szCs w:val="24"/>
        </w:rPr>
      </w:pPr>
      <w:r>
        <w:rPr>
          <w:rFonts w:ascii="Times New Roman" w:hAnsi="Times New Roman" w:cs="Times New Roman"/>
          <w:sz w:val="24"/>
          <w:szCs w:val="24"/>
        </w:rPr>
        <w:t>Como ficará claro, o</w:t>
      </w:r>
      <w:r w:rsidR="00F268FD">
        <w:rPr>
          <w:rFonts w:ascii="Times New Roman" w:hAnsi="Times New Roman" w:cs="Times New Roman"/>
          <w:sz w:val="24"/>
          <w:szCs w:val="24"/>
        </w:rPr>
        <w:t>s enunciados aprovados confirmam o entendimento de que, na atualidade, o divórcio</w:t>
      </w:r>
      <w:r w:rsidR="00E64963">
        <w:rPr>
          <w:rFonts w:ascii="Times New Roman" w:hAnsi="Times New Roman" w:cs="Times New Roman"/>
          <w:sz w:val="24"/>
          <w:szCs w:val="24"/>
        </w:rPr>
        <w:t>, com o fim do casamento</w:t>
      </w:r>
      <w:r>
        <w:rPr>
          <w:rFonts w:ascii="Times New Roman" w:hAnsi="Times New Roman" w:cs="Times New Roman"/>
          <w:sz w:val="24"/>
          <w:szCs w:val="24"/>
        </w:rPr>
        <w:t xml:space="preserve"> e do correspondente vínculo matrimonial</w:t>
      </w:r>
      <w:r w:rsidR="00E64963">
        <w:rPr>
          <w:rFonts w:ascii="Times New Roman" w:hAnsi="Times New Roman" w:cs="Times New Roman"/>
          <w:sz w:val="24"/>
          <w:szCs w:val="24"/>
        </w:rPr>
        <w:t xml:space="preserve">, </w:t>
      </w:r>
      <w:r w:rsidR="00F268FD">
        <w:rPr>
          <w:rFonts w:ascii="Times New Roman" w:hAnsi="Times New Roman" w:cs="Times New Roman"/>
          <w:sz w:val="24"/>
          <w:szCs w:val="24"/>
        </w:rPr>
        <w:t>constitui um direito potestativo</w:t>
      </w:r>
      <w:r w:rsidR="00E64963">
        <w:rPr>
          <w:rFonts w:ascii="Times New Roman" w:hAnsi="Times New Roman" w:cs="Times New Roman"/>
          <w:sz w:val="24"/>
          <w:szCs w:val="24"/>
        </w:rPr>
        <w:t xml:space="preserve"> e incondicionado</w:t>
      </w:r>
      <w:r w:rsidR="00F268FD">
        <w:rPr>
          <w:rFonts w:ascii="Times New Roman" w:hAnsi="Times New Roman" w:cs="Times New Roman"/>
          <w:sz w:val="24"/>
          <w:szCs w:val="24"/>
        </w:rPr>
        <w:t xml:space="preserve"> dos cônjuges, o que pode ser estendido </w:t>
      </w:r>
      <w:r w:rsidR="00AA3D1E">
        <w:rPr>
          <w:rFonts w:ascii="Times New Roman" w:hAnsi="Times New Roman" w:cs="Times New Roman"/>
          <w:sz w:val="24"/>
          <w:szCs w:val="24"/>
        </w:rPr>
        <w:t>à</w:t>
      </w:r>
      <w:r w:rsidR="00F268FD">
        <w:rPr>
          <w:rFonts w:ascii="Times New Roman" w:hAnsi="Times New Roman" w:cs="Times New Roman"/>
          <w:sz w:val="24"/>
          <w:szCs w:val="24"/>
        </w:rPr>
        <w:t xml:space="preserve"> união estável e </w:t>
      </w:r>
      <w:r w:rsidR="00E64963">
        <w:rPr>
          <w:rFonts w:ascii="Times New Roman" w:hAnsi="Times New Roman" w:cs="Times New Roman"/>
          <w:sz w:val="24"/>
          <w:szCs w:val="24"/>
        </w:rPr>
        <w:t>a</w:t>
      </w:r>
      <w:r w:rsidR="00F268FD">
        <w:rPr>
          <w:rFonts w:ascii="Times New Roman" w:hAnsi="Times New Roman" w:cs="Times New Roman"/>
          <w:sz w:val="24"/>
          <w:szCs w:val="24"/>
        </w:rPr>
        <w:t xml:space="preserve">os conviventes. </w:t>
      </w:r>
    </w:p>
    <w:p w14:paraId="616F5EDD" w14:textId="1F81168A" w:rsidR="00E64963" w:rsidRDefault="00F268FD" w:rsidP="00447D60">
      <w:pPr>
        <w:pStyle w:val="t"/>
        <w:spacing w:before="120" w:after="120" w:line="360" w:lineRule="auto"/>
        <w:ind w:firstLine="1701"/>
        <w:rPr>
          <w:rFonts w:ascii="Times New Roman" w:hAnsi="Times New Roman" w:cs="Times New Roman"/>
          <w:sz w:val="24"/>
          <w:szCs w:val="24"/>
        </w:rPr>
      </w:pPr>
      <w:r>
        <w:rPr>
          <w:rFonts w:ascii="Times New Roman" w:hAnsi="Times New Roman" w:cs="Times New Roman"/>
          <w:sz w:val="24"/>
          <w:szCs w:val="24"/>
        </w:rPr>
        <w:t>Essa afirmação é retirada do julgamento do Tema n. 1.053 de repercussão geral do S</w:t>
      </w:r>
      <w:r w:rsidR="00E64963">
        <w:rPr>
          <w:rFonts w:ascii="Times New Roman" w:hAnsi="Times New Roman" w:cs="Times New Roman"/>
          <w:sz w:val="24"/>
          <w:szCs w:val="24"/>
        </w:rPr>
        <w:t>upremo Tribunal Federal</w:t>
      </w:r>
      <w:r>
        <w:rPr>
          <w:rFonts w:ascii="Times New Roman" w:hAnsi="Times New Roman" w:cs="Times New Roman"/>
          <w:sz w:val="24"/>
          <w:szCs w:val="24"/>
        </w:rPr>
        <w:t xml:space="preserve">, </w:t>
      </w:r>
      <w:r w:rsidR="00E64963">
        <w:rPr>
          <w:rFonts w:ascii="Times New Roman" w:hAnsi="Times New Roman" w:cs="Times New Roman"/>
          <w:sz w:val="24"/>
          <w:szCs w:val="24"/>
        </w:rPr>
        <w:t xml:space="preserve">ao afirmar que </w:t>
      </w:r>
      <w:r w:rsidR="00E64963" w:rsidRPr="00E64963">
        <w:rPr>
          <w:rFonts w:ascii="Times New Roman" w:hAnsi="Times New Roman" w:cs="Times New Roman"/>
          <w:sz w:val="24"/>
          <w:szCs w:val="24"/>
        </w:rPr>
        <w:t>a separação judicial deixou de ser requisito para o divórcio e</w:t>
      </w:r>
      <w:r w:rsidR="00E64963">
        <w:rPr>
          <w:rFonts w:ascii="Times New Roman" w:hAnsi="Times New Roman" w:cs="Times New Roman"/>
          <w:sz w:val="24"/>
          <w:szCs w:val="24"/>
        </w:rPr>
        <w:t xml:space="preserve"> </w:t>
      </w:r>
      <w:r w:rsidR="00E64963" w:rsidRPr="00E64963">
        <w:rPr>
          <w:rFonts w:ascii="Times New Roman" w:hAnsi="Times New Roman" w:cs="Times New Roman"/>
          <w:sz w:val="24"/>
          <w:szCs w:val="24"/>
        </w:rPr>
        <w:t>não subsiste mais como figura autônoma no ordenamento jurídico brasileiro</w:t>
      </w:r>
      <w:r w:rsidR="00E64963">
        <w:rPr>
          <w:rFonts w:ascii="Times New Roman" w:hAnsi="Times New Roman" w:cs="Times New Roman"/>
          <w:sz w:val="24"/>
          <w:szCs w:val="24"/>
        </w:rPr>
        <w:t xml:space="preserve">, desde a </w:t>
      </w:r>
      <w:r>
        <w:rPr>
          <w:rFonts w:ascii="Times New Roman" w:hAnsi="Times New Roman" w:cs="Times New Roman"/>
          <w:sz w:val="24"/>
          <w:szCs w:val="24"/>
        </w:rPr>
        <w:t>Emenda Constitucional n. 66</w:t>
      </w:r>
      <w:r w:rsidR="00E64963">
        <w:rPr>
          <w:rFonts w:ascii="Times New Roman" w:hAnsi="Times New Roman" w:cs="Times New Roman"/>
          <w:sz w:val="24"/>
          <w:szCs w:val="24"/>
        </w:rPr>
        <w:t>/2010</w:t>
      </w:r>
      <w:r w:rsidR="00CF5F14">
        <w:rPr>
          <w:rFonts w:ascii="Times New Roman" w:hAnsi="Times New Roman" w:cs="Times New Roman"/>
          <w:sz w:val="24"/>
          <w:szCs w:val="24"/>
        </w:rPr>
        <w:t xml:space="preserve">, a </w:t>
      </w:r>
      <w:r w:rsidR="00CF5F14" w:rsidRPr="00CF5F14">
        <w:rPr>
          <w:rFonts w:ascii="Times New Roman" w:hAnsi="Times New Roman" w:cs="Times New Roman"/>
          <w:i/>
          <w:iCs/>
          <w:sz w:val="24"/>
          <w:szCs w:val="24"/>
        </w:rPr>
        <w:t>Emenda do Divórcio</w:t>
      </w:r>
      <w:r>
        <w:rPr>
          <w:rFonts w:ascii="Times New Roman" w:hAnsi="Times New Roman" w:cs="Times New Roman"/>
          <w:sz w:val="24"/>
          <w:szCs w:val="24"/>
        </w:rPr>
        <w:t xml:space="preserve">. </w:t>
      </w:r>
    </w:p>
    <w:p w14:paraId="61294F49" w14:textId="77777777" w:rsidR="00CF5F14" w:rsidRDefault="00CF5F14" w:rsidP="00447D60">
      <w:pPr>
        <w:pStyle w:val="t"/>
        <w:spacing w:before="120" w:after="120" w:line="360" w:lineRule="auto"/>
        <w:ind w:firstLine="1701"/>
        <w:rPr>
          <w:rFonts w:ascii="Times New Roman" w:hAnsi="Times New Roman" w:cs="Times New Roman"/>
          <w:sz w:val="24"/>
          <w:szCs w:val="24"/>
        </w:rPr>
      </w:pPr>
      <w:r>
        <w:rPr>
          <w:rFonts w:ascii="Times New Roman" w:hAnsi="Times New Roman" w:cs="Times New Roman"/>
          <w:sz w:val="24"/>
          <w:szCs w:val="24"/>
        </w:rPr>
        <w:t>A esse propósito, n</w:t>
      </w:r>
      <w:r w:rsidR="00F268FD">
        <w:rPr>
          <w:rFonts w:ascii="Times New Roman" w:hAnsi="Times New Roman" w:cs="Times New Roman"/>
          <w:sz w:val="24"/>
          <w:szCs w:val="24"/>
        </w:rPr>
        <w:t>o mesmo sentido, há proposta de se incluir um dispositivo no Código Civil, por força do Projeto de Lei n. 4/2025</w:t>
      </w:r>
      <w:r w:rsidR="00E64963">
        <w:rPr>
          <w:rFonts w:ascii="Times New Roman" w:hAnsi="Times New Roman" w:cs="Times New Roman"/>
          <w:sz w:val="24"/>
          <w:szCs w:val="24"/>
        </w:rPr>
        <w:t xml:space="preserve"> </w:t>
      </w:r>
      <w:r>
        <w:rPr>
          <w:rFonts w:ascii="Times New Roman" w:hAnsi="Times New Roman" w:cs="Times New Roman"/>
          <w:sz w:val="24"/>
          <w:szCs w:val="24"/>
        </w:rPr>
        <w:t xml:space="preserve">e </w:t>
      </w:r>
      <w:r w:rsidR="00E64963">
        <w:rPr>
          <w:rFonts w:ascii="Times New Roman" w:hAnsi="Times New Roman" w:cs="Times New Roman"/>
          <w:sz w:val="24"/>
          <w:szCs w:val="24"/>
        </w:rPr>
        <w:t xml:space="preserve">de sua </w:t>
      </w:r>
      <w:r>
        <w:rPr>
          <w:rFonts w:ascii="Times New Roman" w:hAnsi="Times New Roman" w:cs="Times New Roman"/>
          <w:sz w:val="24"/>
          <w:szCs w:val="24"/>
        </w:rPr>
        <w:t xml:space="preserve">necessária </w:t>
      </w:r>
      <w:r w:rsidR="00E64963">
        <w:rPr>
          <w:rFonts w:ascii="Times New Roman" w:hAnsi="Times New Roman" w:cs="Times New Roman"/>
          <w:sz w:val="24"/>
          <w:szCs w:val="24"/>
        </w:rPr>
        <w:lastRenderedPageBreak/>
        <w:t>Reforma</w:t>
      </w:r>
      <w:r w:rsidR="00F268FD">
        <w:rPr>
          <w:rFonts w:ascii="Times New Roman" w:hAnsi="Times New Roman" w:cs="Times New Roman"/>
          <w:sz w:val="24"/>
          <w:szCs w:val="24"/>
        </w:rPr>
        <w:t>, passando o</w:t>
      </w:r>
      <w:r w:rsidR="00E64963">
        <w:rPr>
          <w:rFonts w:ascii="Times New Roman" w:hAnsi="Times New Roman" w:cs="Times New Roman"/>
          <w:sz w:val="24"/>
          <w:szCs w:val="24"/>
        </w:rPr>
        <w:t xml:space="preserve"> </w:t>
      </w:r>
      <w:r w:rsidR="00F268FD">
        <w:rPr>
          <w:rFonts w:ascii="Times New Roman" w:hAnsi="Times New Roman" w:cs="Times New Roman"/>
          <w:sz w:val="24"/>
          <w:szCs w:val="24"/>
        </w:rPr>
        <w:t xml:space="preserve">novo art. </w:t>
      </w:r>
      <w:r w:rsidR="00E64963" w:rsidRPr="00E64963">
        <w:rPr>
          <w:rFonts w:ascii="Times New Roman" w:hAnsi="Times New Roman" w:cs="Times New Roman"/>
          <w:sz w:val="24"/>
          <w:szCs w:val="24"/>
        </w:rPr>
        <w:t>1.511-D</w:t>
      </w:r>
      <w:r w:rsidR="00E64963">
        <w:rPr>
          <w:rFonts w:ascii="Times New Roman" w:hAnsi="Times New Roman" w:cs="Times New Roman"/>
          <w:sz w:val="24"/>
          <w:szCs w:val="24"/>
        </w:rPr>
        <w:t xml:space="preserve"> da codificação a</w:t>
      </w:r>
      <w:r>
        <w:rPr>
          <w:rFonts w:ascii="Times New Roman" w:hAnsi="Times New Roman" w:cs="Times New Roman"/>
          <w:sz w:val="24"/>
          <w:szCs w:val="24"/>
        </w:rPr>
        <w:t xml:space="preserve"> preceituar</w:t>
      </w:r>
      <w:r w:rsidR="00E64963">
        <w:rPr>
          <w:rFonts w:ascii="Times New Roman" w:hAnsi="Times New Roman" w:cs="Times New Roman"/>
          <w:sz w:val="24"/>
          <w:szCs w:val="24"/>
        </w:rPr>
        <w:t xml:space="preserve"> que “n</w:t>
      </w:r>
      <w:r w:rsidR="00E64963" w:rsidRPr="00E64963">
        <w:rPr>
          <w:rFonts w:ascii="Times New Roman" w:hAnsi="Times New Roman" w:cs="Times New Roman"/>
          <w:sz w:val="24"/>
          <w:szCs w:val="24"/>
        </w:rPr>
        <w:t>inguém pode ser obrigado a permanecer casado porque o direito ao divórcio é incondicionado, constituindo direito potestativo da pessoa”</w:t>
      </w:r>
      <w:r w:rsidR="00E64963">
        <w:rPr>
          <w:rFonts w:ascii="Times New Roman" w:hAnsi="Times New Roman" w:cs="Times New Roman"/>
          <w:sz w:val="24"/>
          <w:szCs w:val="24"/>
        </w:rPr>
        <w:t xml:space="preserve">. </w:t>
      </w:r>
    </w:p>
    <w:p w14:paraId="0676499C" w14:textId="6371A6A7" w:rsidR="00F268FD" w:rsidRDefault="00CF5F14" w:rsidP="00447D60">
      <w:pPr>
        <w:pStyle w:val="t"/>
        <w:spacing w:before="120" w:after="120" w:line="360" w:lineRule="auto"/>
        <w:ind w:firstLine="1701"/>
        <w:rPr>
          <w:rFonts w:ascii="Times New Roman" w:hAnsi="Times New Roman" w:cs="Times New Roman"/>
          <w:sz w:val="24"/>
          <w:szCs w:val="24"/>
        </w:rPr>
      </w:pPr>
      <w:r>
        <w:rPr>
          <w:rFonts w:ascii="Times New Roman" w:hAnsi="Times New Roman" w:cs="Times New Roman"/>
          <w:sz w:val="24"/>
          <w:szCs w:val="24"/>
        </w:rPr>
        <w:t>Em caminho jurídico semelhante, c</w:t>
      </w:r>
      <w:r w:rsidR="00E64963">
        <w:rPr>
          <w:rFonts w:ascii="Times New Roman" w:hAnsi="Times New Roman" w:cs="Times New Roman"/>
          <w:sz w:val="24"/>
          <w:szCs w:val="24"/>
        </w:rPr>
        <w:t xml:space="preserve">omo tem julgado reiteradamente </w:t>
      </w:r>
      <w:r>
        <w:rPr>
          <w:rFonts w:ascii="Times New Roman" w:hAnsi="Times New Roman" w:cs="Times New Roman"/>
          <w:sz w:val="24"/>
          <w:szCs w:val="24"/>
        </w:rPr>
        <w:t>o Superior Tribunal de Justiça, “</w:t>
      </w:r>
      <w:r w:rsidR="00E64963" w:rsidRPr="00E64963">
        <w:rPr>
          <w:rFonts w:ascii="Times New Roman" w:hAnsi="Times New Roman" w:cs="Times New Roman"/>
          <w:sz w:val="24"/>
          <w:szCs w:val="24"/>
        </w:rPr>
        <w:t>após a promulgação da Emenda Constitucional n. 66/2010, consolidou o entendimento de que o divórcio passou a ser um direito potestativo (ou formativo) dos cônjuges. O seu exercício é unilateral e independe de prévia separação judicial, culpa ou qualquer outra condicionante temporal, gerando um estado de sujeição do outro consorte à manifestação de vontade de quem pretende a dissolução do vínculo</w:t>
      </w:r>
      <w:r w:rsidR="00E64963">
        <w:rPr>
          <w:rFonts w:ascii="Times New Roman" w:hAnsi="Times New Roman" w:cs="Times New Roman"/>
          <w:sz w:val="24"/>
          <w:szCs w:val="24"/>
        </w:rPr>
        <w:t xml:space="preserve">” </w:t>
      </w:r>
      <w:r w:rsidR="00E64963" w:rsidRPr="00E64963">
        <w:rPr>
          <w:rFonts w:ascii="Times New Roman" w:hAnsi="Times New Roman" w:cs="Times New Roman"/>
          <w:sz w:val="24"/>
          <w:szCs w:val="24"/>
        </w:rPr>
        <w:t>(</w:t>
      </w:r>
      <w:r w:rsidR="00E64963">
        <w:rPr>
          <w:rFonts w:ascii="Times New Roman" w:hAnsi="Times New Roman" w:cs="Times New Roman"/>
          <w:sz w:val="24"/>
          <w:szCs w:val="24"/>
        </w:rPr>
        <w:t xml:space="preserve">STJ, </w:t>
      </w:r>
      <w:r w:rsidR="00E64963" w:rsidRPr="00E64963">
        <w:rPr>
          <w:rFonts w:ascii="Times New Roman" w:hAnsi="Times New Roman" w:cs="Times New Roman"/>
          <w:sz w:val="24"/>
          <w:szCs w:val="24"/>
        </w:rPr>
        <w:t>AREsp n. 3.146.872/DF, relator Ministro Raul Araújo, Quarta Turma, julgado em 4/5/2026, DJEN de 12/5/2026).</w:t>
      </w:r>
      <w:r>
        <w:rPr>
          <w:rFonts w:ascii="Times New Roman" w:hAnsi="Times New Roman" w:cs="Times New Roman"/>
          <w:sz w:val="24"/>
          <w:szCs w:val="24"/>
        </w:rPr>
        <w:t xml:space="preserve"> Destaque-se que numerosos são os acórdãos recentes com a mesma conclusão, sendo essa a posição consolidada na Corte. </w:t>
      </w:r>
    </w:p>
    <w:p w14:paraId="4DDEC1AA" w14:textId="7CD316D7" w:rsidR="00F268FD" w:rsidRPr="00F268FD" w:rsidRDefault="00E64963" w:rsidP="00F268FD">
      <w:pPr>
        <w:pStyle w:val="t"/>
        <w:spacing w:before="120" w:after="120" w:line="360" w:lineRule="auto"/>
        <w:ind w:firstLine="1701"/>
        <w:rPr>
          <w:rFonts w:ascii="Times New Roman" w:hAnsi="Times New Roman" w:cs="Times New Roman"/>
          <w:sz w:val="24"/>
          <w:szCs w:val="24"/>
        </w:rPr>
      </w:pPr>
      <w:r>
        <w:rPr>
          <w:rFonts w:ascii="Times New Roman" w:hAnsi="Times New Roman" w:cs="Times New Roman"/>
          <w:sz w:val="24"/>
          <w:szCs w:val="24"/>
        </w:rPr>
        <w:t xml:space="preserve">Pois bem, consoante o Enunciado n. </w:t>
      </w:r>
      <w:r w:rsidR="00F268FD" w:rsidRPr="00F268FD">
        <w:rPr>
          <w:rFonts w:ascii="Times New Roman" w:hAnsi="Times New Roman" w:cs="Times New Roman"/>
          <w:sz w:val="24"/>
          <w:szCs w:val="24"/>
        </w:rPr>
        <w:t>720</w:t>
      </w:r>
      <w:r>
        <w:rPr>
          <w:rFonts w:ascii="Times New Roman" w:hAnsi="Times New Roman" w:cs="Times New Roman"/>
          <w:sz w:val="24"/>
          <w:szCs w:val="24"/>
        </w:rPr>
        <w:t>, “c</w:t>
      </w:r>
      <w:r w:rsidR="00F268FD" w:rsidRPr="00F268FD">
        <w:rPr>
          <w:rFonts w:ascii="Times New Roman" w:hAnsi="Times New Roman" w:cs="Times New Roman"/>
          <w:sz w:val="24"/>
          <w:szCs w:val="24"/>
        </w:rPr>
        <w:t>om o divórcio, a alteração dos nomes dos cônjuges não obriga</w:t>
      </w:r>
      <w:r>
        <w:rPr>
          <w:rFonts w:ascii="Times New Roman" w:hAnsi="Times New Roman" w:cs="Times New Roman"/>
          <w:sz w:val="24"/>
          <w:szCs w:val="24"/>
        </w:rPr>
        <w:t xml:space="preserve"> </w:t>
      </w:r>
      <w:r w:rsidR="00F268FD" w:rsidRPr="00F268FD">
        <w:rPr>
          <w:rFonts w:ascii="Times New Roman" w:hAnsi="Times New Roman" w:cs="Times New Roman"/>
          <w:sz w:val="24"/>
          <w:szCs w:val="24"/>
        </w:rPr>
        <w:t>o regresso aos seus nomes de solteiros, cabendo o direito de simples supressão</w:t>
      </w:r>
      <w:r>
        <w:rPr>
          <w:rFonts w:ascii="Times New Roman" w:hAnsi="Times New Roman" w:cs="Times New Roman"/>
          <w:sz w:val="24"/>
          <w:szCs w:val="24"/>
        </w:rPr>
        <w:t xml:space="preserve"> </w:t>
      </w:r>
      <w:r w:rsidR="00F268FD" w:rsidRPr="00F268FD">
        <w:rPr>
          <w:rFonts w:ascii="Times New Roman" w:hAnsi="Times New Roman" w:cs="Times New Roman"/>
          <w:sz w:val="24"/>
          <w:szCs w:val="24"/>
        </w:rPr>
        <w:t>do sobrenome do outro cônjuge</w:t>
      </w:r>
      <w:r>
        <w:rPr>
          <w:rFonts w:ascii="Times New Roman" w:hAnsi="Times New Roman" w:cs="Times New Roman"/>
          <w:sz w:val="24"/>
          <w:szCs w:val="24"/>
        </w:rPr>
        <w:t>”</w:t>
      </w:r>
      <w:r w:rsidR="00F268FD" w:rsidRPr="00F268FD">
        <w:rPr>
          <w:rFonts w:ascii="Times New Roman" w:hAnsi="Times New Roman" w:cs="Times New Roman"/>
          <w:sz w:val="24"/>
          <w:szCs w:val="24"/>
        </w:rPr>
        <w:t>.</w:t>
      </w:r>
      <w:r>
        <w:rPr>
          <w:rFonts w:ascii="Times New Roman" w:hAnsi="Times New Roman" w:cs="Times New Roman"/>
          <w:sz w:val="24"/>
          <w:szCs w:val="24"/>
        </w:rPr>
        <w:t xml:space="preserve"> Confirma-se, assim, o entendimento de que não há qualquer influência da culpa nas questões relativas ao uso do nome pelo cônjuge, pois</w:t>
      </w:r>
      <w:r w:rsidR="00AA3D1E">
        <w:rPr>
          <w:rFonts w:ascii="Times New Roman" w:hAnsi="Times New Roman" w:cs="Times New Roman"/>
          <w:sz w:val="24"/>
          <w:szCs w:val="24"/>
        </w:rPr>
        <w:t xml:space="preserve"> se</w:t>
      </w:r>
      <w:r>
        <w:rPr>
          <w:rFonts w:ascii="Times New Roman" w:hAnsi="Times New Roman" w:cs="Times New Roman"/>
          <w:sz w:val="24"/>
          <w:szCs w:val="24"/>
        </w:rPr>
        <w:t xml:space="preserve"> trata</w:t>
      </w:r>
      <w:r w:rsidR="003F660D">
        <w:rPr>
          <w:rFonts w:ascii="Times New Roman" w:hAnsi="Times New Roman" w:cs="Times New Roman"/>
          <w:sz w:val="24"/>
          <w:szCs w:val="24"/>
        </w:rPr>
        <w:t xml:space="preserve"> também</w:t>
      </w:r>
      <w:r>
        <w:rPr>
          <w:rFonts w:ascii="Times New Roman" w:hAnsi="Times New Roman" w:cs="Times New Roman"/>
          <w:sz w:val="24"/>
          <w:szCs w:val="24"/>
        </w:rPr>
        <w:t xml:space="preserve"> de um direito da personalidade daquele que o incorporou, </w:t>
      </w:r>
      <w:r w:rsidR="00CF5F14">
        <w:rPr>
          <w:rFonts w:ascii="Times New Roman" w:hAnsi="Times New Roman" w:cs="Times New Roman"/>
          <w:sz w:val="24"/>
          <w:szCs w:val="24"/>
        </w:rPr>
        <w:t xml:space="preserve">conforme se retira do art. 16 do Código Civil, </w:t>
      </w:r>
      <w:r>
        <w:rPr>
          <w:rFonts w:ascii="Times New Roman" w:hAnsi="Times New Roman" w:cs="Times New Roman"/>
          <w:sz w:val="24"/>
          <w:szCs w:val="24"/>
        </w:rPr>
        <w:t>podendo</w:t>
      </w:r>
      <w:r w:rsidR="00CF5F14">
        <w:rPr>
          <w:rFonts w:ascii="Times New Roman" w:hAnsi="Times New Roman" w:cs="Times New Roman"/>
          <w:sz w:val="24"/>
          <w:szCs w:val="24"/>
        </w:rPr>
        <w:t xml:space="preserve"> o ex-consorte</w:t>
      </w:r>
      <w:r>
        <w:rPr>
          <w:rFonts w:ascii="Times New Roman" w:hAnsi="Times New Roman" w:cs="Times New Roman"/>
          <w:sz w:val="24"/>
          <w:szCs w:val="24"/>
        </w:rPr>
        <w:t xml:space="preserve"> exercer a opção de mantê-lo ou</w:t>
      </w:r>
      <w:r w:rsidR="00CF5F14">
        <w:rPr>
          <w:rFonts w:ascii="Times New Roman" w:hAnsi="Times New Roman" w:cs="Times New Roman"/>
          <w:sz w:val="24"/>
          <w:szCs w:val="24"/>
        </w:rPr>
        <w:t xml:space="preserve"> simplesmente</w:t>
      </w:r>
      <w:r>
        <w:rPr>
          <w:rFonts w:ascii="Times New Roman" w:hAnsi="Times New Roman" w:cs="Times New Roman"/>
          <w:sz w:val="24"/>
          <w:szCs w:val="24"/>
        </w:rPr>
        <w:t xml:space="preserve"> renunci</w:t>
      </w:r>
      <w:r w:rsidR="00AA3D1E">
        <w:rPr>
          <w:rFonts w:ascii="Times New Roman" w:hAnsi="Times New Roman" w:cs="Times New Roman"/>
          <w:sz w:val="24"/>
          <w:szCs w:val="24"/>
        </w:rPr>
        <w:t>ar a ele</w:t>
      </w:r>
      <w:r>
        <w:rPr>
          <w:rFonts w:ascii="Times New Roman" w:hAnsi="Times New Roman" w:cs="Times New Roman"/>
          <w:sz w:val="24"/>
          <w:szCs w:val="24"/>
        </w:rPr>
        <w:t xml:space="preserve">. </w:t>
      </w:r>
    </w:p>
    <w:p w14:paraId="3A34205B" w14:textId="77777777" w:rsidR="003F660D" w:rsidRDefault="00CF5F14" w:rsidP="00CF5F14">
      <w:pPr>
        <w:pStyle w:val="t"/>
        <w:spacing w:before="120" w:after="120" w:line="360" w:lineRule="auto"/>
        <w:ind w:firstLine="1701"/>
        <w:rPr>
          <w:rFonts w:ascii="Times New Roman" w:hAnsi="Times New Roman" w:cs="Times New Roman"/>
          <w:sz w:val="24"/>
          <w:szCs w:val="24"/>
        </w:rPr>
      </w:pPr>
      <w:r>
        <w:rPr>
          <w:rFonts w:ascii="Times New Roman" w:hAnsi="Times New Roman" w:cs="Times New Roman"/>
          <w:sz w:val="24"/>
          <w:szCs w:val="24"/>
        </w:rPr>
        <w:t>Atesta-se</w:t>
      </w:r>
      <w:r w:rsidR="00E64963">
        <w:rPr>
          <w:rFonts w:ascii="Times New Roman" w:hAnsi="Times New Roman" w:cs="Times New Roman"/>
          <w:sz w:val="24"/>
          <w:szCs w:val="24"/>
        </w:rPr>
        <w:t xml:space="preserve">, portanto, a inaplicabilidade do art. 1.578 do Código Civil, segundo o qual o </w:t>
      </w:r>
      <w:r w:rsidR="00E64963" w:rsidRPr="00E64963">
        <w:rPr>
          <w:rFonts w:ascii="Times New Roman" w:hAnsi="Times New Roman" w:cs="Times New Roman"/>
          <w:sz w:val="24"/>
          <w:szCs w:val="24"/>
        </w:rPr>
        <w:t>cônjuge declarado culpado na ação de separação judicial perde o direito de usar o sobrenome do outro,</w:t>
      </w:r>
      <w:r w:rsidR="00E64963">
        <w:rPr>
          <w:rFonts w:ascii="Times New Roman" w:hAnsi="Times New Roman" w:cs="Times New Roman"/>
          <w:sz w:val="24"/>
          <w:szCs w:val="24"/>
        </w:rPr>
        <w:t xml:space="preserve"> d</w:t>
      </w:r>
      <w:r w:rsidR="00E64963" w:rsidRPr="00E64963">
        <w:rPr>
          <w:rFonts w:ascii="Times New Roman" w:hAnsi="Times New Roman" w:cs="Times New Roman"/>
          <w:sz w:val="24"/>
          <w:szCs w:val="24"/>
        </w:rPr>
        <w:t>esde que expressamente requerido pelo cônjuge inocente e se a alteração não acarretar:</w:t>
      </w:r>
      <w:r w:rsidR="00E64963">
        <w:rPr>
          <w:rFonts w:ascii="Times New Roman" w:hAnsi="Times New Roman" w:cs="Times New Roman"/>
          <w:sz w:val="24"/>
          <w:szCs w:val="24"/>
        </w:rPr>
        <w:t xml:space="preserve"> </w:t>
      </w:r>
      <w:r w:rsidR="00E64963" w:rsidRPr="00E64963">
        <w:rPr>
          <w:rFonts w:ascii="Times New Roman" w:hAnsi="Times New Roman" w:cs="Times New Roman"/>
          <w:i/>
          <w:iCs/>
          <w:sz w:val="24"/>
          <w:szCs w:val="24"/>
        </w:rPr>
        <w:t>a)</w:t>
      </w:r>
      <w:r w:rsidR="00E64963">
        <w:rPr>
          <w:rFonts w:ascii="Times New Roman" w:hAnsi="Times New Roman" w:cs="Times New Roman"/>
          <w:sz w:val="24"/>
          <w:szCs w:val="24"/>
        </w:rPr>
        <w:t xml:space="preserve"> </w:t>
      </w:r>
      <w:r w:rsidR="00E64963" w:rsidRPr="00E64963">
        <w:rPr>
          <w:rFonts w:ascii="Times New Roman" w:hAnsi="Times New Roman" w:cs="Times New Roman"/>
          <w:sz w:val="24"/>
          <w:szCs w:val="24"/>
        </w:rPr>
        <w:t>evidente prejuízo para a sua identificação;</w:t>
      </w:r>
      <w:r w:rsidR="00E64963">
        <w:rPr>
          <w:rFonts w:ascii="Times New Roman" w:hAnsi="Times New Roman" w:cs="Times New Roman"/>
          <w:sz w:val="24"/>
          <w:szCs w:val="24"/>
        </w:rPr>
        <w:t xml:space="preserve"> </w:t>
      </w:r>
      <w:r w:rsidR="00E64963" w:rsidRPr="00E64963">
        <w:rPr>
          <w:rFonts w:ascii="Times New Roman" w:hAnsi="Times New Roman" w:cs="Times New Roman"/>
          <w:i/>
          <w:iCs/>
          <w:sz w:val="24"/>
          <w:szCs w:val="24"/>
        </w:rPr>
        <w:t>b)</w:t>
      </w:r>
      <w:r w:rsidR="00E64963">
        <w:rPr>
          <w:rFonts w:ascii="Times New Roman" w:hAnsi="Times New Roman" w:cs="Times New Roman"/>
          <w:sz w:val="24"/>
          <w:szCs w:val="24"/>
        </w:rPr>
        <w:t xml:space="preserve"> </w:t>
      </w:r>
      <w:r w:rsidR="00E64963" w:rsidRPr="00E64963">
        <w:rPr>
          <w:rFonts w:ascii="Times New Roman" w:hAnsi="Times New Roman" w:cs="Times New Roman"/>
          <w:sz w:val="24"/>
          <w:szCs w:val="24"/>
        </w:rPr>
        <w:t>manifesta distinção entre o seu nome de família e o dos filhos havidos da união dissolvida;</w:t>
      </w:r>
      <w:r w:rsidR="00E64963">
        <w:rPr>
          <w:rFonts w:ascii="Times New Roman" w:hAnsi="Times New Roman" w:cs="Times New Roman"/>
          <w:sz w:val="24"/>
          <w:szCs w:val="24"/>
        </w:rPr>
        <w:t xml:space="preserve"> e </w:t>
      </w:r>
      <w:r w:rsidR="00E64963" w:rsidRPr="00E64963">
        <w:rPr>
          <w:rFonts w:ascii="Times New Roman" w:hAnsi="Times New Roman" w:cs="Times New Roman"/>
          <w:i/>
          <w:iCs/>
          <w:sz w:val="24"/>
          <w:szCs w:val="24"/>
        </w:rPr>
        <w:t>c)</w:t>
      </w:r>
      <w:r w:rsidR="00E64963">
        <w:rPr>
          <w:rFonts w:ascii="Times New Roman" w:hAnsi="Times New Roman" w:cs="Times New Roman"/>
          <w:sz w:val="24"/>
          <w:szCs w:val="24"/>
        </w:rPr>
        <w:t xml:space="preserve"> </w:t>
      </w:r>
      <w:r w:rsidR="00E64963" w:rsidRPr="00E64963">
        <w:rPr>
          <w:rFonts w:ascii="Times New Roman" w:hAnsi="Times New Roman" w:cs="Times New Roman"/>
          <w:sz w:val="24"/>
          <w:szCs w:val="24"/>
        </w:rPr>
        <w:t xml:space="preserve"> dano grave reconhecido na decisão judicial.</w:t>
      </w:r>
      <w:r>
        <w:rPr>
          <w:rFonts w:ascii="Times New Roman" w:hAnsi="Times New Roman" w:cs="Times New Roman"/>
          <w:sz w:val="24"/>
          <w:szCs w:val="24"/>
        </w:rPr>
        <w:t xml:space="preserve"> </w:t>
      </w:r>
    </w:p>
    <w:p w14:paraId="01DB79CD" w14:textId="77777777" w:rsidR="003F660D" w:rsidRDefault="00CF5F14" w:rsidP="00CF5F14">
      <w:pPr>
        <w:pStyle w:val="t"/>
        <w:spacing w:before="120" w:after="120" w:line="360" w:lineRule="auto"/>
        <w:ind w:firstLine="1701"/>
        <w:rPr>
          <w:rFonts w:ascii="Times New Roman" w:hAnsi="Times New Roman" w:cs="Times New Roman"/>
          <w:sz w:val="24"/>
          <w:szCs w:val="24"/>
        </w:rPr>
      </w:pPr>
      <w:r>
        <w:rPr>
          <w:rFonts w:ascii="Times New Roman" w:hAnsi="Times New Roman" w:cs="Times New Roman"/>
          <w:sz w:val="24"/>
          <w:szCs w:val="24"/>
        </w:rPr>
        <w:t>Como se tem bem julgado, “o</w:t>
      </w:r>
      <w:r w:rsidRPr="00CF5F14">
        <w:rPr>
          <w:rFonts w:ascii="Times New Roman" w:hAnsi="Times New Roman" w:cs="Times New Roman"/>
          <w:sz w:val="24"/>
          <w:szCs w:val="24"/>
        </w:rPr>
        <w:t xml:space="preserve"> direito ao nome é um dos elementos estruturantes dos direitos da personalidade e da dignidade da pessoa humana, pois diz respeito à própria identidade pessoal do indivíduo, não apenas em relação a si, como também em ambiente familiar e perante a sociedade</w:t>
      </w:r>
      <w:r>
        <w:rPr>
          <w:rFonts w:ascii="Times New Roman" w:hAnsi="Times New Roman" w:cs="Times New Roman"/>
          <w:sz w:val="24"/>
          <w:szCs w:val="24"/>
        </w:rPr>
        <w:t>”</w:t>
      </w:r>
      <w:r w:rsidRPr="00CF5F14">
        <w:rPr>
          <w:rFonts w:ascii="Times New Roman" w:hAnsi="Times New Roman" w:cs="Times New Roman"/>
          <w:sz w:val="24"/>
          <w:szCs w:val="24"/>
        </w:rPr>
        <w:t>.</w:t>
      </w:r>
      <w:r>
        <w:rPr>
          <w:rFonts w:ascii="Times New Roman" w:hAnsi="Times New Roman" w:cs="Times New Roman"/>
          <w:sz w:val="24"/>
          <w:szCs w:val="24"/>
        </w:rPr>
        <w:t xml:space="preserve"> Sendo assim, </w:t>
      </w:r>
      <w:r w:rsidR="003F660D">
        <w:rPr>
          <w:rFonts w:ascii="Times New Roman" w:hAnsi="Times New Roman" w:cs="Times New Roman"/>
          <w:sz w:val="24"/>
          <w:szCs w:val="24"/>
        </w:rPr>
        <w:t xml:space="preserve">julgou-se o seguinte, sobre o caso concreto: </w:t>
      </w:r>
    </w:p>
    <w:p w14:paraId="2A9DEFD2" w14:textId="5870FE5F" w:rsidR="00E64963" w:rsidRPr="003F660D" w:rsidRDefault="00CF5F14" w:rsidP="003F660D">
      <w:pPr>
        <w:pStyle w:val="t"/>
        <w:spacing w:before="120" w:after="120" w:line="360" w:lineRule="auto"/>
        <w:ind w:left="567" w:firstLine="0"/>
        <w:rPr>
          <w:rFonts w:ascii="Times New Roman" w:hAnsi="Times New Roman" w:cs="Times New Roman"/>
          <w:sz w:val="22"/>
          <w:szCs w:val="22"/>
        </w:rPr>
      </w:pPr>
      <w:r w:rsidRPr="003F660D">
        <w:rPr>
          <w:rFonts w:ascii="Times New Roman" w:hAnsi="Times New Roman" w:cs="Times New Roman"/>
          <w:sz w:val="22"/>
          <w:szCs w:val="22"/>
        </w:rPr>
        <w:t>“</w:t>
      </w:r>
      <w:r w:rsidR="003F660D" w:rsidRPr="003F660D">
        <w:rPr>
          <w:rFonts w:ascii="Times New Roman" w:hAnsi="Times New Roman" w:cs="Times New Roman"/>
          <w:sz w:val="22"/>
          <w:szCs w:val="22"/>
        </w:rPr>
        <w:t>(...). N</w:t>
      </w:r>
      <w:r w:rsidRPr="003F660D">
        <w:rPr>
          <w:rFonts w:ascii="Times New Roman" w:hAnsi="Times New Roman" w:cs="Times New Roman"/>
          <w:sz w:val="22"/>
          <w:szCs w:val="22"/>
        </w:rPr>
        <w:t xml:space="preserve">a hipótese, a parte, que havia substituído um de seus patronímicos pelo de seu cônjuge por ocasião do matrimônio, fundamentou a sua pretensão de retomada do nome de </w:t>
      </w:r>
      <w:r w:rsidRPr="003F660D">
        <w:rPr>
          <w:rFonts w:ascii="Times New Roman" w:hAnsi="Times New Roman" w:cs="Times New Roman"/>
          <w:sz w:val="22"/>
          <w:szCs w:val="22"/>
        </w:rPr>
        <w:lastRenderedPageBreak/>
        <w:t xml:space="preserve">solteira, ainda na constância do vínculo conjugal, em virtude do sobrenome adotado ter se tornado o protagonista de seu nome civil em detrimento do sobrenome familiar, o que lhe causa dificuldades de adaptação, bem como no fato de a modificação ter lhe causado problemas psicológicos e emocionais, pois sempre foi socialmente conhecida pelo sobrenome do pai e porque os únicos familiares que ainda carregam o patronímico familiar se encontram em grave situação de saúde. Dado que as justificativas apresentadas pela parte não são frívolas, mas, ao revés, demonstram a irresignação de quem vê no horizonte a iminente perda dos seus entes próximos sem que lhe sobre uma das mais palpáveis e significativas recordações - o sobrenome -, deve ser preservada a intimidade, a autonomia da vontade, a vida privada, os valores e as crenças das pessoas, bem como a manutenção e perpetuação da herança familiar, especialmente na hipótese em que a sentença reconheceu a viabilidade, segurança e idoneidade da pretensão mediante exame de fatos e provas não infirmados pelo acórdão recorrido” (STJ, REsp n. 1.873.918/SP, relatora Ministra Nancy Andrighi, Terceira Turma, julgado em 2/3/2021, DJe de 4/3/2021.) </w:t>
      </w:r>
    </w:p>
    <w:p w14:paraId="1D676552" w14:textId="00141417" w:rsidR="00E64963" w:rsidRDefault="00E64963" w:rsidP="00F268FD">
      <w:pPr>
        <w:pStyle w:val="t"/>
        <w:spacing w:before="120" w:after="120" w:line="360" w:lineRule="auto"/>
        <w:ind w:firstLine="1701"/>
        <w:rPr>
          <w:rFonts w:ascii="Times New Roman" w:hAnsi="Times New Roman" w:cs="Times New Roman"/>
          <w:sz w:val="24"/>
          <w:szCs w:val="24"/>
        </w:rPr>
      </w:pPr>
      <w:r>
        <w:rPr>
          <w:rFonts w:ascii="Times New Roman" w:hAnsi="Times New Roman" w:cs="Times New Roman"/>
          <w:sz w:val="24"/>
          <w:szCs w:val="24"/>
        </w:rPr>
        <w:t xml:space="preserve">A verdade é que a </w:t>
      </w:r>
      <w:r w:rsidR="00CF5F14">
        <w:rPr>
          <w:rFonts w:ascii="Times New Roman" w:hAnsi="Times New Roman" w:cs="Times New Roman"/>
          <w:sz w:val="24"/>
          <w:szCs w:val="24"/>
        </w:rPr>
        <w:t xml:space="preserve">plena </w:t>
      </w:r>
      <w:r>
        <w:rPr>
          <w:rFonts w:ascii="Times New Roman" w:hAnsi="Times New Roman" w:cs="Times New Roman"/>
          <w:sz w:val="24"/>
          <w:szCs w:val="24"/>
        </w:rPr>
        <w:t xml:space="preserve">possibilidade de manutenção ou retirada do sobrenome pelo cônjuge que o incorporou foi consagrada pela Lei n. 14.382/2022, que instituiu o </w:t>
      </w:r>
      <w:r w:rsidRPr="00E64963">
        <w:rPr>
          <w:rFonts w:ascii="Times New Roman" w:hAnsi="Times New Roman" w:cs="Times New Roman"/>
          <w:sz w:val="24"/>
          <w:szCs w:val="24"/>
        </w:rPr>
        <w:t>Sistema Eletrônico dos Registros Públicos (</w:t>
      </w:r>
      <w:r>
        <w:rPr>
          <w:rFonts w:ascii="Times New Roman" w:hAnsi="Times New Roman" w:cs="Times New Roman"/>
          <w:sz w:val="24"/>
          <w:szCs w:val="24"/>
        </w:rPr>
        <w:t>SERP). Conforme o novo art. 5</w:t>
      </w:r>
      <w:r w:rsidR="0077147A">
        <w:rPr>
          <w:rFonts w:ascii="Times New Roman" w:hAnsi="Times New Roman" w:cs="Times New Roman"/>
          <w:sz w:val="24"/>
          <w:szCs w:val="24"/>
        </w:rPr>
        <w:t xml:space="preserve">7 </w:t>
      </w:r>
      <w:r>
        <w:rPr>
          <w:rFonts w:ascii="Times New Roman" w:hAnsi="Times New Roman" w:cs="Times New Roman"/>
          <w:sz w:val="24"/>
          <w:szCs w:val="24"/>
        </w:rPr>
        <w:t xml:space="preserve">da Lei de Registros Públicos (Lei n. 6.015/1973), </w:t>
      </w:r>
      <w:r w:rsidR="003F660D">
        <w:rPr>
          <w:rFonts w:ascii="Times New Roman" w:hAnsi="Times New Roman" w:cs="Times New Roman"/>
          <w:sz w:val="24"/>
          <w:szCs w:val="24"/>
        </w:rPr>
        <w:t>alterado</w:t>
      </w:r>
      <w:r>
        <w:rPr>
          <w:rFonts w:ascii="Times New Roman" w:hAnsi="Times New Roman" w:cs="Times New Roman"/>
          <w:sz w:val="24"/>
          <w:szCs w:val="24"/>
        </w:rPr>
        <w:t xml:space="preserve"> por essa nova lei, </w:t>
      </w:r>
      <w:r w:rsidR="003F660D">
        <w:rPr>
          <w:rFonts w:ascii="Times New Roman" w:hAnsi="Times New Roman" w:cs="Times New Roman"/>
          <w:sz w:val="24"/>
          <w:szCs w:val="24"/>
        </w:rPr>
        <w:t xml:space="preserve">é viável </w:t>
      </w:r>
      <w:r w:rsidR="0077147A">
        <w:rPr>
          <w:rFonts w:ascii="Times New Roman" w:hAnsi="Times New Roman" w:cs="Times New Roman"/>
          <w:sz w:val="24"/>
          <w:szCs w:val="24"/>
        </w:rPr>
        <w:t>a supressão extrajudicial ou a manutenção do sobrenome em casos de dissolução do casamento ou da união estável, opção que sempre cabe ao consorte</w:t>
      </w:r>
      <w:r w:rsidR="00CF5F14">
        <w:rPr>
          <w:rFonts w:ascii="Times New Roman" w:hAnsi="Times New Roman" w:cs="Times New Roman"/>
          <w:sz w:val="24"/>
          <w:szCs w:val="24"/>
        </w:rPr>
        <w:t xml:space="preserve"> e sem a necessidade de qualquer motivação ou justificativa</w:t>
      </w:r>
      <w:r w:rsidR="0077147A">
        <w:rPr>
          <w:rFonts w:ascii="Times New Roman" w:hAnsi="Times New Roman" w:cs="Times New Roman"/>
          <w:sz w:val="24"/>
          <w:szCs w:val="24"/>
        </w:rPr>
        <w:t xml:space="preserve">. O enunciado aprovado </w:t>
      </w:r>
      <w:r w:rsidR="004945A7">
        <w:rPr>
          <w:rFonts w:ascii="Times New Roman" w:hAnsi="Times New Roman" w:cs="Times New Roman"/>
          <w:sz w:val="24"/>
          <w:szCs w:val="24"/>
        </w:rPr>
        <w:t>apenas ratifica</w:t>
      </w:r>
      <w:r w:rsidR="0077147A">
        <w:rPr>
          <w:rFonts w:ascii="Times New Roman" w:hAnsi="Times New Roman" w:cs="Times New Roman"/>
          <w:sz w:val="24"/>
          <w:szCs w:val="24"/>
        </w:rPr>
        <w:t xml:space="preserve"> essa realidade</w:t>
      </w:r>
      <w:r w:rsidR="004945A7">
        <w:rPr>
          <w:rFonts w:ascii="Times New Roman" w:hAnsi="Times New Roman" w:cs="Times New Roman"/>
          <w:sz w:val="24"/>
          <w:szCs w:val="24"/>
        </w:rPr>
        <w:t xml:space="preserve"> jurídica</w:t>
      </w:r>
      <w:r w:rsidR="0077147A">
        <w:rPr>
          <w:rFonts w:ascii="Times New Roman" w:hAnsi="Times New Roman" w:cs="Times New Roman"/>
          <w:sz w:val="24"/>
          <w:szCs w:val="24"/>
        </w:rPr>
        <w:t xml:space="preserve">.   </w:t>
      </w:r>
    </w:p>
    <w:p w14:paraId="06F6241E" w14:textId="500747D2" w:rsidR="0077147A" w:rsidRDefault="0077147A" w:rsidP="0077147A">
      <w:pPr>
        <w:pStyle w:val="t"/>
        <w:spacing w:before="120" w:after="120" w:line="360" w:lineRule="auto"/>
        <w:ind w:firstLine="1701"/>
        <w:rPr>
          <w:rFonts w:ascii="Times New Roman" w:hAnsi="Times New Roman" w:cs="Times New Roman"/>
          <w:sz w:val="24"/>
          <w:szCs w:val="24"/>
        </w:rPr>
      </w:pPr>
      <w:r>
        <w:rPr>
          <w:rFonts w:ascii="Times New Roman" w:hAnsi="Times New Roman" w:cs="Times New Roman"/>
          <w:sz w:val="24"/>
          <w:szCs w:val="24"/>
        </w:rPr>
        <w:t>Seguindo-se com os estudos</w:t>
      </w:r>
      <w:r w:rsidR="00CF5F14">
        <w:rPr>
          <w:rFonts w:ascii="Times New Roman" w:hAnsi="Times New Roman" w:cs="Times New Roman"/>
          <w:sz w:val="24"/>
          <w:szCs w:val="24"/>
        </w:rPr>
        <w:t xml:space="preserve"> dos trabalhos da </w:t>
      </w:r>
      <w:r w:rsidR="00CF5F14" w:rsidRPr="00CF5F14">
        <w:rPr>
          <w:rFonts w:ascii="Times New Roman" w:hAnsi="Times New Roman" w:cs="Times New Roman"/>
          <w:i/>
          <w:iCs/>
          <w:sz w:val="24"/>
          <w:szCs w:val="24"/>
        </w:rPr>
        <w:t>X Jornada de Direito Civil</w:t>
      </w:r>
      <w:r>
        <w:rPr>
          <w:rFonts w:ascii="Times New Roman" w:hAnsi="Times New Roman" w:cs="Times New Roman"/>
          <w:sz w:val="24"/>
          <w:szCs w:val="24"/>
        </w:rPr>
        <w:t xml:space="preserve">, o </w:t>
      </w:r>
      <w:r w:rsidR="00CF5F14">
        <w:rPr>
          <w:rFonts w:ascii="Times New Roman" w:hAnsi="Times New Roman" w:cs="Times New Roman"/>
          <w:sz w:val="24"/>
          <w:szCs w:val="24"/>
        </w:rPr>
        <w:t xml:space="preserve">seu </w:t>
      </w:r>
      <w:r w:rsidR="00F268FD" w:rsidRPr="00F268FD">
        <w:rPr>
          <w:rFonts w:ascii="Times New Roman" w:hAnsi="Times New Roman" w:cs="Times New Roman"/>
          <w:sz w:val="24"/>
          <w:szCs w:val="24"/>
        </w:rPr>
        <w:t>Enunciado 722</w:t>
      </w:r>
      <w:r>
        <w:rPr>
          <w:rFonts w:ascii="Times New Roman" w:hAnsi="Times New Roman" w:cs="Times New Roman"/>
          <w:sz w:val="24"/>
          <w:szCs w:val="24"/>
        </w:rPr>
        <w:t xml:space="preserve"> estabelece “que a</w:t>
      </w:r>
      <w:r w:rsidR="00F268FD" w:rsidRPr="00F268FD">
        <w:rPr>
          <w:rFonts w:ascii="Times New Roman" w:hAnsi="Times New Roman" w:cs="Times New Roman"/>
          <w:sz w:val="24"/>
          <w:szCs w:val="24"/>
        </w:rPr>
        <w:t xml:space="preserve"> decisão judicial que decreta o divórcio produz efeitos imediatos</w:t>
      </w:r>
      <w:r>
        <w:rPr>
          <w:rFonts w:ascii="Times New Roman" w:hAnsi="Times New Roman" w:cs="Times New Roman"/>
          <w:sz w:val="24"/>
          <w:szCs w:val="24"/>
        </w:rPr>
        <w:t xml:space="preserve"> </w:t>
      </w:r>
      <w:r w:rsidR="00F268FD" w:rsidRPr="00F268FD">
        <w:rPr>
          <w:rFonts w:ascii="Times New Roman" w:hAnsi="Times New Roman" w:cs="Times New Roman"/>
          <w:sz w:val="24"/>
          <w:szCs w:val="24"/>
        </w:rPr>
        <w:t>quanto ao estado civil das partes, admitindo-se sua averbação independentemente do trânsito em julgado, sem prejuízo da continuidade da discussão das</w:t>
      </w:r>
      <w:r w:rsidR="00F268FD">
        <w:rPr>
          <w:rFonts w:ascii="Times New Roman" w:hAnsi="Times New Roman" w:cs="Times New Roman"/>
          <w:sz w:val="24"/>
          <w:szCs w:val="24"/>
        </w:rPr>
        <w:t xml:space="preserve"> </w:t>
      </w:r>
      <w:r>
        <w:rPr>
          <w:rFonts w:ascii="Times New Roman" w:hAnsi="Times New Roman" w:cs="Times New Roman"/>
          <w:sz w:val="24"/>
          <w:szCs w:val="24"/>
        </w:rPr>
        <w:t xml:space="preserve"> </w:t>
      </w:r>
      <w:r w:rsidR="00F268FD" w:rsidRPr="00F268FD">
        <w:rPr>
          <w:rFonts w:ascii="Times New Roman" w:hAnsi="Times New Roman" w:cs="Times New Roman"/>
          <w:sz w:val="24"/>
          <w:szCs w:val="24"/>
        </w:rPr>
        <w:t>questões patrimoniais</w:t>
      </w:r>
      <w:r>
        <w:rPr>
          <w:rFonts w:ascii="Times New Roman" w:hAnsi="Times New Roman" w:cs="Times New Roman"/>
          <w:sz w:val="24"/>
          <w:szCs w:val="24"/>
        </w:rPr>
        <w:t>”</w:t>
      </w:r>
      <w:r w:rsidR="00F268FD" w:rsidRPr="00F268FD">
        <w:rPr>
          <w:rFonts w:ascii="Times New Roman" w:hAnsi="Times New Roman" w:cs="Times New Roman"/>
          <w:sz w:val="24"/>
          <w:szCs w:val="24"/>
        </w:rPr>
        <w:t>.</w:t>
      </w:r>
      <w:r w:rsidR="00F268FD">
        <w:rPr>
          <w:rFonts w:ascii="Times New Roman" w:hAnsi="Times New Roman" w:cs="Times New Roman"/>
          <w:sz w:val="24"/>
          <w:szCs w:val="24"/>
        </w:rPr>
        <w:t xml:space="preserve"> </w:t>
      </w:r>
      <w:r>
        <w:rPr>
          <w:rFonts w:ascii="Times New Roman" w:hAnsi="Times New Roman" w:cs="Times New Roman"/>
          <w:sz w:val="24"/>
          <w:szCs w:val="24"/>
        </w:rPr>
        <w:t xml:space="preserve">Confirma-se, portanto, </w:t>
      </w:r>
      <w:r w:rsidR="00CF5F14">
        <w:rPr>
          <w:rFonts w:ascii="Times New Roman" w:hAnsi="Times New Roman" w:cs="Times New Roman"/>
          <w:sz w:val="24"/>
          <w:szCs w:val="24"/>
        </w:rPr>
        <w:t xml:space="preserve">a </w:t>
      </w:r>
      <w:r w:rsidR="003F660D">
        <w:rPr>
          <w:rFonts w:ascii="Times New Roman" w:hAnsi="Times New Roman" w:cs="Times New Roman"/>
          <w:sz w:val="24"/>
          <w:szCs w:val="24"/>
        </w:rPr>
        <w:t xml:space="preserve">citada </w:t>
      </w:r>
      <w:r w:rsidR="00CF5F14">
        <w:rPr>
          <w:rFonts w:ascii="Times New Roman" w:hAnsi="Times New Roman" w:cs="Times New Roman"/>
          <w:sz w:val="24"/>
          <w:szCs w:val="24"/>
        </w:rPr>
        <w:t>tese</w:t>
      </w:r>
      <w:r>
        <w:rPr>
          <w:rFonts w:ascii="Times New Roman" w:hAnsi="Times New Roman" w:cs="Times New Roman"/>
          <w:sz w:val="24"/>
          <w:szCs w:val="24"/>
        </w:rPr>
        <w:t xml:space="preserve"> do direito potestativo </w:t>
      </w:r>
      <w:r w:rsidR="00CF5F14">
        <w:rPr>
          <w:rFonts w:ascii="Times New Roman" w:hAnsi="Times New Roman" w:cs="Times New Roman"/>
          <w:sz w:val="24"/>
          <w:szCs w:val="24"/>
        </w:rPr>
        <w:t xml:space="preserve">e incondicionado </w:t>
      </w:r>
      <w:r>
        <w:rPr>
          <w:rFonts w:ascii="Times New Roman" w:hAnsi="Times New Roman" w:cs="Times New Roman"/>
          <w:sz w:val="24"/>
          <w:szCs w:val="24"/>
        </w:rPr>
        <w:t xml:space="preserve">dos cônjuges, sendo o divórcio </w:t>
      </w:r>
      <w:r w:rsidR="00CF5F14">
        <w:rPr>
          <w:rFonts w:ascii="Times New Roman" w:hAnsi="Times New Roman" w:cs="Times New Roman"/>
          <w:sz w:val="24"/>
          <w:szCs w:val="24"/>
        </w:rPr>
        <w:t xml:space="preserve">a máxima </w:t>
      </w:r>
      <w:r>
        <w:rPr>
          <w:rFonts w:ascii="Times New Roman" w:hAnsi="Times New Roman" w:cs="Times New Roman"/>
          <w:sz w:val="24"/>
          <w:szCs w:val="24"/>
        </w:rPr>
        <w:t>prioridade para os fins de extinção do estado civil de casados, e podendo os consortes seguir nas discussões de outros temas, como partilha</w:t>
      </w:r>
      <w:r w:rsidR="00CF5F14">
        <w:rPr>
          <w:rFonts w:ascii="Times New Roman" w:hAnsi="Times New Roman" w:cs="Times New Roman"/>
          <w:sz w:val="24"/>
          <w:szCs w:val="24"/>
        </w:rPr>
        <w:t xml:space="preserve"> de bens</w:t>
      </w:r>
      <w:r>
        <w:rPr>
          <w:rFonts w:ascii="Times New Roman" w:hAnsi="Times New Roman" w:cs="Times New Roman"/>
          <w:sz w:val="24"/>
          <w:szCs w:val="24"/>
        </w:rPr>
        <w:t xml:space="preserve"> e alimentos.  </w:t>
      </w:r>
    </w:p>
    <w:p w14:paraId="2AC9CA3D" w14:textId="30C9427B" w:rsidR="0077147A" w:rsidRPr="0077147A" w:rsidRDefault="004945A7" w:rsidP="0077147A">
      <w:pPr>
        <w:pStyle w:val="t"/>
        <w:spacing w:before="120" w:after="120" w:line="360" w:lineRule="auto"/>
        <w:ind w:firstLine="1701"/>
        <w:rPr>
          <w:rFonts w:ascii="Times New Roman" w:hAnsi="Times New Roman" w:cs="Times New Roman"/>
          <w:sz w:val="24"/>
          <w:szCs w:val="24"/>
        </w:rPr>
      </w:pPr>
      <w:r>
        <w:rPr>
          <w:rFonts w:ascii="Times New Roman" w:hAnsi="Times New Roman" w:cs="Times New Roman"/>
          <w:sz w:val="24"/>
          <w:szCs w:val="24"/>
        </w:rPr>
        <w:t>Segu</w:t>
      </w:r>
      <w:r w:rsidR="00AA3D1E">
        <w:rPr>
          <w:rFonts w:ascii="Times New Roman" w:hAnsi="Times New Roman" w:cs="Times New Roman"/>
          <w:sz w:val="24"/>
          <w:szCs w:val="24"/>
        </w:rPr>
        <w:t>e</w:t>
      </w:r>
      <w:r>
        <w:rPr>
          <w:rFonts w:ascii="Times New Roman" w:hAnsi="Times New Roman" w:cs="Times New Roman"/>
          <w:sz w:val="24"/>
          <w:szCs w:val="24"/>
        </w:rPr>
        <w:t>-se</w:t>
      </w:r>
      <w:r w:rsidR="00CF5F14">
        <w:rPr>
          <w:rFonts w:ascii="Times New Roman" w:hAnsi="Times New Roman" w:cs="Times New Roman"/>
          <w:sz w:val="24"/>
          <w:szCs w:val="24"/>
        </w:rPr>
        <w:t xml:space="preserve"> </w:t>
      </w:r>
      <w:r w:rsidR="0077147A">
        <w:rPr>
          <w:rFonts w:ascii="Times New Roman" w:hAnsi="Times New Roman" w:cs="Times New Roman"/>
          <w:sz w:val="24"/>
          <w:szCs w:val="24"/>
        </w:rPr>
        <w:t xml:space="preserve">o teor do Enunciado n. </w:t>
      </w:r>
      <w:r w:rsidR="0077147A" w:rsidRPr="0077147A">
        <w:rPr>
          <w:rFonts w:ascii="Times New Roman" w:hAnsi="Times New Roman" w:cs="Times New Roman"/>
          <w:sz w:val="24"/>
          <w:szCs w:val="24"/>
        </w:rPr>
        <w:t>18 do IBDFAM</w:t>
      </w:r>
      <w:r w:rsidR="00CF5F14">
        <w:rPr>
          <w:rFonts w:ascii="Times New Roman" w:hAnsi="Times New Roman" w:cs="Times New Roman"/>
          <w:sz w:val="24"/>
          <w:szCs w:val="24"/>
        </w:rPr>
        <w:t xml:space="preserve"> (Instituto Brasileiro de Direito de Família)</w:t>
      </w:r>
      <w:r w:rsidR="0077147A">
        <w:rPr>
          <w:rFonts w:ascii="Times New Roman" w:hAnsi="Times New Roman" w:cs="Times New Roman"/>
          <w:sz w:val="24"/>
          <w:szCs w:val="24"/>
        </w:rPr>
        <w:t xml:space="preserve">, </w:t>
      </w:r>
      <w:r w:rsidR="00CF5F14">
        <w:rPr>
          <w:rFonts w:ascii="Times New Roman" w:hAnsi="Times New Roman" w:cs="Times New Roman"/>
          <w:sz w:val="24"/>
          <w:szCs w:val="24"/>
        </w:rPr>
        <w:t>então proposto</w:t>
      </w:r>
      <w:r w:rsidR="0077147A">
        <w:rPr>
          <w:rFonts w:ascii="Times New Roman" w:hAnsi="Times New Roman" w:cs="Times New Roman"/>
          <w:sz w:val="24"/>
          <w:szCs w:val="24"/>
        </w:rPr>
        <w:t xml:space="preserve"> por mim, segundo o qual </w:t>
      </w:r>
      <w:r w:rsidR="00CF5F14">
        <w:rPr>
          <w:rFonts w:ascii="Times New Roman" w:hAnsi="Times New Roman" w:cs="Times New Roman"/>
          <w:sz w:val="24"/>
          <w:szCs w:val="24"/>
        </w:rPr>
        <w:t>“</w:t>
      </w:r>
      <w:r w:rsidR="0077147A" w:rsidRPr="0077147A">
        <w:rPr>
          <w:rFonts w:ascii="Times New Roman" w:hAnsi="Times New Roman" w:cs="Times New Roman"/>
          <w:sz w:val="24"/>
          <w:szCs w:val="24"/>
        </w:rPr>
        <w:t>nas ações de divórcio e dissolução de união estável, o julgamento parcial do mérito</w:t>
      </w:r>
      <w:r w:rsidR="0077147A">
        <w:rPr>
          <w:rFonts w:ascii="Times New Roman" w:hAnsi="Times New Roman" w:cs="Times New Roman"/>
          <w:sz w:val="24"/>
          <w:szCs w:val="24"/>
        </w:rPr>
        <w:t xml:space="preserve">, previsto no </w:t>
      </w:r>
      <w:r w:rsidR="0077147A" w:rsidRPr="0077147A">
        <w:rPr>
          <w:rFonts w:ascii="Times New Roman" w:hAnsi="Times New Roman" w:cs="Times New Roman"/>
          <w:sz w:val="24"/>
          <w:szCs w:val="24"/>
        </w:rPr>
        <w:t>art. 356 do C</w:t>
      </w:r>
      <w:r w:rsidR="0077147A">
        <w:rPr>
          <w:rFonts w:ascii="Times New Roman" w:hAnsi="Times New Roman" w:cs="Times New Roman"/>
          <w:sz w:val="24"/>
          <w:szCs w:val="24"/>
        </w:rPr>
        <w:t xml:space="preserve">ódigo de Processo Civil, </w:t>
      </w:r>
      <w:r w:rsidR="0077147A" w:rsidRPr="0077147A">
        <w:rPr>
          <w:rFonts w:ascii="Times New Roman" w:hAnsi="Times New Roman" w:cs="Times New Roman"/>
          <w:sz w:val="24"/>
          <w:szCs w:val="24"/>
        </w:rPr>
        <w:t>deve ser a regra</w:t>
      </w:r>
      <w:r w:rsidR="0077147A">
        <w:rPr>
          <w:rFonts w:ascii="Times New Roman" w:hAnsi="Times New Roman" w:cs="Times New Roman"/>
          <w:sz w:val="24"/>
          <w:szCs w:val="24"/>
        </w:rPr>
        <w:t xml:space="preserve">, </w:t>
      </w:r>
      <w:r w:rsidR="0077147A" w:rsidRPr="0077147A">
        <w:rPr>
          <w:rFonts w:ascii="Times New Roman" w:hAnsi="Times New Roman" w:cs="Times New Roman"/>
          <w:sz w:val="24"/>
          <w:szCs w:val="24"/>
        </w:rPr>
        <w:t xml:space="preserve">para que seja decretado o fim da </w:t>
      </w:r>
      <w:r w:rsidR="0077147A" w:rsidRPr="0077147A">
        <w:rPr>
          <w:rFonts w:ascii="Times New Roman" w:hAnsi="Times New Roman" w:cs="Times New Roman"/>
          <w:sz w:val="24"/>
          <w:szCs w:val="24"/>
        </w:rPr>
        <w:lastRenderedPageBreak/>
        <w:t>conjugalidade, seguindo</w:t>
      </w:r>
      <w:r w:rsidR="0077147A">
        <w:rPr>
          <w:rFonts w:ascii="Times New Roman" w:hAnsi="Times New Roman" w:cs="Times New Roman"/>
          <w:sz w:val="24"/>
          <w:szCs w:val="24"/>
        </w:rPr>
        <w:t>-se</w:t>
      </w:r>
      <w:r w:rsidR="0077147A" w:rsidRPr="0077147A">
        <w:rPr>
          <w:rFonts w:ascii="Times New Roman" w:hAnsi="Times New Roman" w:cs="Times New Roman"/>
          <w:sz w:val="24"/>
          <w:szCs w:val="24"/>
        </w:rPr>
        <w:t xml:space="preserve"> a demanda com a discussão de outros temas</w:t>
      </w:r>
      <w:r w:rsidR="00CF5F14">
        <w:rPr>
          <w:rFonts w:ascii="Times New Roman" w:hAnsi="Times New Roman" w:cs="Times New Roman"/>
          <w:sz w:val="24"/>
          <w:szCs w:val="24"/>
        </w:rPr>
        <w:t>”</w:t>
      </w:r>
      <w:r w:rsidR="0077147A" w:rsidRPr="0077147A">
        <w:rPr>
          <w:rFonts w:ascii="Times New Roman" w:hAnsi="Times New Roman" w:cs="Times New Roman"/>
          <w:sz w:val="24"/>
          <w:szCs w:val="24"/>
        </w:rPr>
        <w:t>.</w:t>
      </w:r>
      <w:r w:rsidR="0077147A">
        <w:rPr>
          <w:rFonts w:ascii="Times New Roman" w:hAnsi="Times New Roman" w:cs="Times New Roman"/>
          <w:sz w:val="24"/>
          <w:szCs w:val="24"/>
        </w:rPr>
        <w:t xml:space="preserve"> Importante lembrar que, nos termos do citado comando processual, o</w:t>
      </w:r>
      <w:r w:rsidR="0077147A" w:rsidRPr="0077147A">
        <w:rPr>
          <w:rFonts w:ascii="Times New Roman" w:hAnsi="Times New Roman" w:cs="Times New Roman"/>
          <w:sz w:val="24"/>
          <w:szCs w:val="24"/>
        </w:rPr>
        <w:t xml:space="preserve"> juiz decidirá parcialmente o mérito quando um ou mais dos pedidos formulados ou parcela deles</w:t>
      </w:r>
      <w:r w:rsidR="0077147A">
        <w:rPr>
          <w:rFonts w:ascii="Times New Roman" w:hAnsi="Times New Roman" w:cs="Times New Roman"/>
          <w:sz w:val="24"/>
          <w:szCs w:val="24"/>
        </w:rPr>
        <w:t xml:space="preserve"> </w:t>
      </w:r>
      <w:r w:rsidR="0077147A" w:rsidRPr="0077147A">
        <w:rPr>
          <w:rFonts w:ascii="Times New Roman" w:hAnsi="Times New Roman" w:cs="Times New Roman"/>
          <w:sz w:val="24"/>
          <w:szCs w:val="24"/>
        </w:rPr>
        <w:t>mostrar-se incontroverso</w:t>
      </w:r>
      <w:r w:rsidR="0077147A">
        <w:rPr>
          <w:rFonts w:ascii="Times New Roman" w:hAnsi="Times New Roman" w:cs="Times New Roman"/>
          <w:sz w:val="24"/>
          <w:szCs w:val="24"/>
        </w:rPr>
        <w:t xml:space="preserve">, o que se aplica </w:t>
      </w:r>
      <w:r w:rsidR="00CF5F14">
        <w:rPr>
          <w:rFonts w:ascii="Times New Roman" w:hAnsi="Times New Roman" w:cs="Times New Roman"/>
          <w:sz w:val="24"/>
          <w:szCs w:val="24"/>
        </w:rPr>
        <w:t xml:space="preserve">justamente </w:t>
      </w:r>
      <w:r w:rsidR="0077147A">
        <w:rPr>
          <w:rFonts w:ascii="Times New Roman" w:hAnsi="Times New Roman" w:cs="Times New Roman"/>
          <w:sz w:val="24"/>
          <w:szCs w:val="24"/>
        </w:rPr>
        <w:t xml:space="preserve">ao divórcio. </w:t>
      </w:r>
    </w:p>
    <w:p w14:paraId="4AC9D45A" w14:textId="3EA0D591" w:rsidR="0077147A" w:rsidRDefault="00CF5F14" w:rsidP="0077147A">
      <w:pPr>
        <w:pStyle w:val="t"/>
        <w:spacing w:before="120" w:after="120" w:line="360" w:lineRule="auto"/>
        <w:ind w:firstLine="1701"/>
        <w:rPr>
          <w:rFonts w:ascii="Times New Roman" w:hAnsi="Times New Roman" w:cs="Times New Roman"/>
          <w:sz w:val="24"/>
          <w:szCs w:val="24"/>
        </w:rPr>
      </w:pPr>
      <w:r>
        <w:rPr>
          <w:rFonts w:ascii="Times New Roman" w:hAnsi="Times New Roman" w:cs="Times New Roman"/>
          <w:sz w:val="24"/>
          <w:szCs w:val="24"/>
        </w:rPr>
        <w:t xml:space="preserve">Exatamente nessa linha, </w:t>
      </w:r>
      <w:r w:rsidR="0077147A">
        <w:rPr>
          <w:rFonts w:ascii="Times New Roman" w:hAnsi="Times New Roman" w:cs="Times New Roman"/>
          <w:sz w:val="24"/>
          <w:szCs w:val="24"/>
        </w:rPr>
        <w:t>e</w:t>
      </w:r>
      <w:r w:rsidR="0077147A" w:rsidRPr="0077147A">
        <w:rPr>
          <w:rFonts w:ascii="Times New Roman" w:hAnsi="Times New Roman" w:cs="Times New Roman"/>
          <w:sz w:val="24"/>
          <w:szCs w:val="24"/>
        </w:rPr>
        <w:t>m 2019, surgiu importante</w:t>
      </w:r>
      <w:r w:rsidR="0077147A" w:rsidRPr="0077147A">
        <w:rPr>
          <w:rFonts w:ascii="Times New Roman" w:hAnsi="Times New Roman" w:cs="Times New Roman"/>
          <w:i/>
          <w:iCs/>
          <w:sz w:val="24"/>
          <w:szCs w:val="24"/>
        </w:rPr>
        <w:t xml:space="preserve"> decisum</w:t>
      </w:r>
      <w:r w:rsidR="0077147A" w:rsidRPr="0077147A">
        <w:rPr>
          <w:rFonts w:ascii="Times New Roman" w:hAnsi="Times New Roman" w:cs="Times New Roman"/>
          <w:sz w:val="24"/>
          <w:szCs w:val="24"/>
        </w:rPr>
        <w:t xml:space="preserve"> no âmbito do Superior Tribunal de Justiça, aplicando </w:t>
      </w:r>
      <w:r w:rsidR="0077147A">
        <w:rPr>
          <w:rFonts w:ascii="Times New Roman" w:hAnsi="Times New Roman" w:cs="Times New Roman"/>
          <w:sz w:val="24"/>
          <w:szCs w:val="24"/>
        </w:rPr>
        <w:t>esse</w:t>
      </w:r>
      <w:r w:rsidR="0077147A" w:rsidRPr="0077147A">
        <w:rPr>
          <w:rFonts w:ascii="Times New Roman" w:hAnsi="Times New Roman" w:cs="Times New Roman"/>
          <w:sz w:val="24"/>
          <w:szCs w:val="24"/>
        </w:rPr>
        <w:t xml:space="preserve"> art. 356 do CPC/2015</w:t>
      </w:r>
      <w:r w:rsidR="0077147A">
        <w:rPr>
          <w:rFonts w:ascii="Times New Roman" w:hAnsi="Times New Roman" w:cs="Times New Roman"/>
          <w:sz w:val="24"/>
          <w:szCs w:val="24"/>
        </w:rPr>
        <w:t>,</w:t>
      </w:r>
      <w:r w:rsidR="0077147A" w:rsidRPr="0077147A">
        <w:rPr>
          <w:rFonts w:ascii="Times New Roman" w:hAnsi="Times New Roman" w:cs="Times New Roman"/>
          <w:sz w:val="24"/>
          <w:szCs w:val="24"/>
        </w:rPr>
        <w:t xml:space="preserve"> para confirmar a separação de fato do casal</w:t>
      </w:r>
      <w:r w:rsidR="004945A7">
        <w:rPr>
          <w:rFonts w:ascii="Times New Roman" w:hAnsi="Times New Roman" w:cs="Times New Roman"/>
          <w:sz w:val="24"/>
          <w:szCs w:val="24"/>
        </w:rPr>
        <w:t xml:space="preserve"> e</w:t>
      </w:r>
      <w:r w:rsidR="0077147A" w:rsidRPr="0077147A">
        <w:rPr>
          <w:rFonts w:ascii="Times New Roman" w:hAnsi="Times New Roman" w:cs="Times New Roman"/>
          <w:sz w:val="24"/>
          <w:szCs w:val="24"/>
        </w:rPr>
        <w:t xml:space="preserve"> para os devidos fins de partilha de bens. </w:t>
      </w:r>
      <w:r w:rsidR="0077147A">
        <w:rPr>
          <w:rFonts w:ascii="Times New Roman" w:hAnsi="Times New Roman" w:cs="Times New Roman"/>
          <w:sz w:val="24"/>
          <w:szCs w:val="24"/>
        </w:rPr>
        <w:t>Conforme constou do julgado, “o</w:t>
      </w:r>
      <w:r w:rsidR="0077147A" w:rsidRPr="0077147A">
        <w:rPr>
          <w:rFonts w:ascii="Times New Roman" w:hAnsi="Times New Roman" w:cs="Times New Roman"/>
          <w:sz w:val="24"/>
          <w:szCs w:val="24"/>
        </w:rPr>
        <w:t xml:space="preserve"> CPC/15 passou a admitir, expressamente, a possibilidade de serem pr</w:t>
      </w:r>
      <w:r w:rsidR="004945A7">
        <w:rPr>
          <w:rFonts w:ascii="Times New Roman" w:hAnsi="Times New Roman" w:cs="Times New Roman"/>
          <w:sz w:val="24"/>
          <w:szCs w:val="24"/>
        </w:rPr>
        <w:t>o</w:t>
      </w:r>
      <w:r w:rsidR="0077147A" w:rsidRPr="0077147A">
        <w:rPr>
          <w:rFonts w:ascii="Times New Roman" w:hAnsi="Times New Roman" w:cs="Times New Roman"/>
          <w:sz w:val="24"/>
          <w:szCs w:val="24"/>
        </w:rPr>
        <w:t>feridas decisões parciais de mérito, reconhecendo a possibilidade de pedidos cumulados ou de parcelas de pedidos suscetíveis de fracionamento estarem aptos para julgamento em momentos processuais distintos, seja porque sobre eles não existe controvérsia, seja porque sobre eles não há necessidade de mais aprofundada dilação probatória, com aptidão, em ambas as hipóteses, para a formação de coisa julgada material. Na hipótese, a decisão que fixou a data da separação de fato do casal para fins de partilha de bens versa sobre o mérito do processo, na medida em que se refere a um diferente fragmento de um mesmo pedido e de um mesmo objeto litigioso – a partilha de bens das partes –, especialmente porque a pretensão de partilha de bens deduzida em juízo pressupõe a exata definição ‘do quê’ se partilha, o que somente se pode delimitar a partir do exame dos bens suscetíveis de divisão em um determinado lapso temporal” (STJ, REsp 1.798.975/SP, 3.ª Turma, Rel. Min. Nancy Andrighi, j. 02.04.2019, DJe 04.04.2019).</w:t>
      </w:r>
      <w:r w:rsidR="003F660D">
        <w:rPr>
          <w:rFonts w:ascii="Times New Roman" w:hAnsi="Times New Roman" w:cs="Times New Roman"/>
          <w:sz w:val="24"/>
          <w:szCs w:val="24"/>
        </w:rPr>
        <w:t xml:space="preserve"> Se é assim para a separação de fato, também o deve ser quanto ao divórcio. </w:t>
      </w:r>
    </w:p>
    <w:p w14:paraId="431A04C0" w14:textId="6F521EB7" w:rsidR="005A4F89" w:rsidRDefault="008A66AC" w:rsidP="00A7019E">
      <w:pPr>
        <w:pStyle w:val="t"/>
        <w:spacing w:before="120" w:after="120" w:line="360" w:lineRule="auto"/>
        <w:ind w:firstLine="1701"/>
        <w:rPr>
          <w:rFonts w:ascii="Times New Roman" w:hAnsi="Times New Roman" w:cs="Times New Roman"/>
          <w:sz w:val="24"/>
          <w:szCs w:val="24"/>
        </w:rPr>
      </w:pPr>
      <w:r>
        <w:rPr>
          <w:rFonts w:ascii="Times New Roman" w:hAnsi="Times New Roman" w:cs="Times New Roman"/>
          <w:sz w:val="24"/>
          <w:szCs w:val="24"/>
        </w:rPr>
        <w:t xml:space="preserve">Adotando-se </w:t>
      </w:r>
      <w:r w:rsidR="008354AD">
        <w:rPr>
          <w:rFonts w:ascii="Times New Roman" w:hAnsi="Times New Roman" w:cs="Times New Roman"/>
          <w:sz w:val="24"/>
          <w:szCs w:val="24"/>
        </w:rPr>
        <w:t>idêntico</w:t>
      </w:r>
      <w:r>
        <w:rPr>
          <w:rFonts w:ascii="Times New Roman" w:hAnsi="Times New Roman" w:cs="Times New Roman"/>
          <w:sz w:val="24"/>
          <w:szCs w:val="24"/>
        </w:rPr>
        <w:t xml:space="preserve"> caminho, em 2025, </w:t>
      </w:r>
      <w:r w:rsidR="00A7019E">
        <w:rPr>
          <w:rFonts w:ascii="Times New Roman" w:hAnsi="Times New Roman" w:cs="Times New Roman"/>
          <w:sz w:val="24"/>
          <w:szCs w:val="24"/>
        </w:rPr>
        <w:t>emergiu</w:t>
      </w:r>
      <w:r>
        <w:rPr>
          <w:rFonts w:ascii="Times New Roman" w:hAnsi="Times New Roman" w:cs="Times New Roman"/>
          <w:sz w:val="24"/>
          <w:szCs w:val="24"/>
        </w:rPr>
        <w:t xml:space="preserve"> </w:t>
      </w:r>
      <w:r w:rsidR="00A7019E">
        <w:rPr>
          <w:rFonts w:ascii="Times New Roman" w:hAnsi="Times New Roman" w:cs="Times New Roman"/>
          <w:sz w:val="24"/>
          <w:szCs w:val="24"/>
        </w:rPr>
        <w:t>no</w:t>
      </w:r>
      <w:r>
        <w:rPr>
          <w:rFonts w:ascii="Times New Roman" w:hAnsi="Times New Roman" w:cs="Times New Roman"/>
          <w:sz w:val="24"/>
          <w:szCs w:val="24"/>
        </w:rPr>
        <w:t xml:space="preserve"> Tribunal Superior </w:t>
      </w:r>
      <w:r w:rsidR="00A7019E">
        <w:rPr>
          <w:rFonts w:ascii="Times New Roman" w:hAnsi="Times New Roman" w:cs="Times New Roman"/>
          <w:sz w:val="24"/>
          <w:szCs w:val="24"/>
        </w:rPr>
        <w:t xml:space="preserve">outro importante precedente, admitindo o chamado </w:t>
      </w:r>
      <w:r w:rsidR="00A7019E" w:rsidRPr="00A7019E">
        <w:rPr>
          <w:rFonts w:ascii="Times New Roman" w:hAnsi="Times New Roman" w:cs="Times New Roman"/>
          <w:i/>
          <w:iCs/>
          <w:sz w:val="24"/>
          <w:szCs w:val="24"/>
        </w:rPr>
        <w:t>divórcio liminar</w:t>
      </w:r>
      <w:r w:rsidR="00A7019E">
        <w:rPr>
          <w:rFonts w:ascii="Times New Roman" w:hAnsi="Times New Roman" w:cs="Times New Roman"/>
          <w:sz w:val="24"/>
          <w:szCs w:val="24"/>
        </w:rPr>
        <w:t xml:space="preserve">, tendo como base, entre outros comandos, o citado art. 356 do Código de Processo Civil: </w:t>
      </w:r>
    </w:p>
    <w:p w14:paraId="3A2B3B32" w14:textId="4ABDEC63" w:rsidR="008A66AC" w:rsidRPr="0042566E" w:rsidRDefault="00A7019E" w:rsidP="005A4F89">
      <w:pPr>
        <w:pStyle w:val="t"/>
        <w:spacing w:before="120" w:after="120" w:line="360" w:lineRule="auto"/>
        <w:ind w:left="567" w:firstLine="0"/>
        <w:rPr>
          <w:rFonts w:ascii="Times New Roman" w:hAnsi="Times New Roman" w:cs="Times New Roman"/>
          <w:sz w:val="22"/>
          <w:szCs w:val="22"/>
        </w:rPr>
      </w:pPr>
      <w:r w:rsidRPr="0042566E">
        <w:rPr>
          <w:rFonts w:ascii="Times New Roman" w:hAnsi="Times New Roman" w:cs="Times New Roman"/>
          <w:sz w:val="22"/>
          <w:szCs w:val="22"/>
        </w:rPr>
        <w:t>“</w:t>
      </w:r>
      <w:r w:rsidR="005A4F89" w:rsidRPr="0042566E">
        <w:rPr>
          <w:rFonts w:ascii="Times New Roman" w:hAnsi="Times New Roman" w:cs="Times New Roman"/>
          <w:sz w:val="22"/>
          <w:szCs w:val="22"/>
        </w:rPr>
        <w:t>(...). C</w:t>
      </w:r>
      <w:r w:rsidRPr="0042566E">
        <w:rPr>
          <w:rFonts w:ascii="Times New Roman" w:hAnsi="Times New Roman" w:cs="Times New Roman"/>
          <w:sz w:val="22"/>
          <w:szCs w:val="22"/>
        </w:rPr>
        <w:t>onsiderando-se que: (I) após a Emenda Constitucional 66/2010 o divórcio é compreendido como direito potestativo; (II) a decretação do divórcio independe de contraditório, pois se trata de direito do cônjuge que o pleiteia, bastando que o outro sujeite-se a tanto;</w:t>
      </w:r>
      <w:r w:rsidRPr="0042566E">
        <w:rPr>
          <w:rFonts w:ascii="Times New Roman" w:hAnsi="Times New Roman" w:cs="Times New Roman"/>
          <w:sz w:val="22"/>
          <w:szCs w:val="22"/>
        </w:rPr>
        <w:t xml:space="preserve"> </w:t>
      </w:r>
      <w:r w:rsidRPr="0042566E">
        <w:rPr>
          <w:rFonts w:ascii="Times New Roman" w:hAnsi="Times New Roman" w:cs="Times New Roman"/>
          <w:sz w:val="22"/>
          <w:szCs w:val="22"/>
        </w:rPr>
        <w:t>(III) basta a apresentação de certidão de casamento atualizada e a manifestação de vontade da parte para que se comprove o vínculo conjugal e a vontade de desfazê-lo; e (IV) a decisão que decreta o divórcio é definitiva, não podendo ser alterada em sentença;</w:t>
      </w:r>
      <w:r w:rsidRPr="0042566E">
        <w:rPr>
          <w:rFonts w:ascii="Times New Roman" w:hAnsi="Times New Roman" w:cs="Times New Roman"/>
          <w:sz w:val="22"/>
          <w:szCs w:val="22"/>
        </w:rPr>
        <w:t xml:space="preserve"> </w:t>
      </w:r>
      <w:r w:rsidRPr="0042566E">
        <w:rPr>
          <w:rFonts w:ascii="Times New Roman" w:hAnsi="Times New Roman" w:cs="Times New Roman"/>
          <w:sz w:val="22"/>
          <w:szCs w:val="22"/>
        </w:rPr>
        <w:t>verifica-se possível a decretação do divórcio liminar, mediante o emprego da técnica do julgamento parcial antecipado de mérito, nos termos dos arts. 355 e 356 do Código de Processo Civil</w:t>
      </w:r>
      <w:r w:rsidRPr="0042566E">
        <w:rPr>
          <w:rFonts w:ascii="Times New Roman" w:hAnsi="Times New Roman" w:cs="Times New Roman"/>
          <w:sz w:val="22"/>
          <w:szCs w:val="22"/>
        </w:rPr>
        <w:t xml:space="preserve">” </w:t>
      </w:r>
      <w:r w:rsidRPr="0042566E">
        <w:rPr>
          <w:rFonts w:ascii="Times New Roman" w:hAnsi="Times New Roman" w:cs="Times New Roman"/>
          <w:sz w:val="22"/>
          <w:szCs w:val="22"/>
        </w:rPr>
        <w:t>(</w:t>
      </w:r>
      <w:r w:rsidRPr="0042566E">
        <w:rPr>
          <w:rFonts w:ascii="Times New Roman" w:hAnsi="Times New Roman" w:cs="Times New Roman"/>
          <w:sz w:val="22"/>
          <w:szCs w:val="22"/>
        </w:rPr>
        <w:t xml:space="preserve">STJ, </w:t>
      </w:r>
      <w:r w:rsidRPr="0042566E">
        <w:rPr>
          <w:rFonts w:ascii="Times New Roman" w:hAnsi="Times New Roman" w:cs="Times New Roman"/>
          <w:sz w:val="22"/>
          <w:szCs w:val="22"/>
        </w:rPr>
        <w:t>REsp n. 2.189.143/SP, relatora Ministra Nancy Andrighi, Terceira Turma, julgado em 18/3/2025, DJEN de 21/3/2025)</w:t>
      </w:r>
      <w:r w:rsidR="005A4F89" w:rsidRPr="0042566E">
        <w:rPr>
          <w:rFonts w:ascii="Times New Roman" w:hAnsi="Times New Roman" w:cs="Times New Roman"/>
          <w:sz w:val="22"/>
          <w:szCs w:val="22"/>
        </w:rPr>
        <w:t xml:space="preserve">. </w:t>
      </w:r>
    </w:p>
    <w:p w14:paraId="061C5678" w14:textId="617AAC27" w:rsidR="00B254FF" w:rsidRDefault="004945A7" w:rsidP="00B254FF">
      <w:pPr>
        <w:pStyle w:val="t"/>
        <w:spacing w:before="120" w:after="120" w:line="360" w:lineRule="auto"/>
        <w:ind w:firstLine="1701"/>
        <w:rPr>
          <w:rFonts w:ascii="Times New Roman" w:hAnsi="Times New Roman" w:cs="Times New Roman"/>
          <w:sz w:val="24"/>
          <w:szCs w:val="24"/>
        </w:rPr>
      </w:pPr>
      <w:r>
        <w:rPr>
          <w:rFonts w:ascii="Times New Roman" w:hAnsi="Times New Roman" w:cs="Times New Roman"/>
          <w:sz w:val="24"/>
          <w:szCs w:val="24"/>
        </w:rPr>
        <w:lastRenderedPageBreak/>
        <w:t xml:space="preserve">Ainda da </w:t>
      </w:r>
      <w:r w:rsidRPr="004945A7">
        <w:rPr>
          <w:rFonts w:ascii="Times New Roman" w:hAnsi="Times New Roman" w:cs="Times New Roman"/>
          <w:i/>
          <w:iCs/>
          <w:sz w:val="24"/>
          <w:szCs w:val="24"/>
        </w:rPr>
        <w:t>X Jornada de Direito Civil</w:t>
      </w:r>
      <w:r>
        <w:rPr>
          <w:rFonts w:ascii="Times New Roman" w:hAnsi="Times New Roman" w:cs="Times New Roman"/>
          <w:sz w:val="24"/>
          <w:szCs w:val="24"/>
        </w:rPr>
        <w:t xml:space="preserve">, </w:t>
      </w:r>
      <w:r w:rsidR="00AA3D1E">
        <w:rPr>
          <w:rFonts w:ascii="Times New Roman" w:hAnsi="Times New Roman" w:cs="Times New Roman"/>
          <w:sz w:val="24"/>
          <w:szCs w:val="24"/>
        </w:rPr>
        <w:t>n</w:t>
      </w:r>
      <w:r w:rsidR="0077147A">
        <w:rPr>
          <w:rFonts w:ascii="Times New Roman" w:hAnsi="Times New Roman" w:cs="Times New Roman"/>
          <w:sz w:val="24"/>
          <w:szCs w:val="24"/>
        </w:rPr>
        <w:t xml:space="preserve">os termos do </w:t>
      </w:r>
      <w:r w:rsidR="00F268FD" w:rsidRPr="00F268FD">
        <w:rPr>
          <w:rFonts w:ascii="Times New Roman" w:hAnsi="Times New Roman" w:cs="Times New Roman"/>
          <w:sz w:val="24"/>
          <w:szCs w:val="24"/>
        </w:rPr>
        <w:t>Enunciado 724</w:t>
      </w:r>
      <w:r w:rsidR="0077147A">
        <w:rPr>
          <w:rFonts w:ascii="Times New Roman" w:hAnsi="Times New Roman" w:cs="Times New Roman"/>
          <w:sz w:val="24"/>
          <w:szCs w:val="24"/>
        </w:rPr>
        <w:t>, “n</w:t>
      </w:r>
      <w:r w:rsidR="00F268FD" w:rsidRPr="00F268FD">
        <w:rPr>
          <w:rFonts w:ascii="Times New Roman" w:hAnsi="Times New Roman" w:cs="Times New Roman"/>
          <w:sz w:val="24"/>
          <w:szCs w:val="24"/>
        </w:rPr>
        <w:t>as hipóteses de divórcio ou de dissolução de união estável</w:t>
      </w:r>
      <w:r w:rsidR="0077147A">
        <w:rPr>
          <w:rFonts w:ascii="Times New Roman" w:hAnsi="Times New Roman" w:cs="Times New Roman"/>
          <w:sz w:val="24"/>
          <w:szCs w:val="24"/>
        </w:rPr>
        <w:t xml:space="preserve"> </w:t>
      </w:r>
      <w:r w:rsidR="00F268FD" w:rsidRPr="00F268FD">
        <w:rPr>
          <w:rFonts w:ascii="Times New Roman" w:hAnsi="Times New Roman" w:cs="Times New Roman"/>
          <w:sz w:val="24"/>
          <w:szCs w:val="24"/>
        </w:rPr>
        <w:t>pendente de partilha de bens, a verificação de indícios consistentes de violência</w:t>
      </w:r>
      <w:r w:rsidR="0077147A">
        <w:rPr>
          <w:rFonts w:ascii="Times New Roman" w:hAnsi="Times New Roman" w:cs="Times New Roman"/>
          <w:sz w:val="24"/>
          <w:szCs w:val="24"/>
        </w:rPr>
        <w:t xml:space="preserve"> </w:t>
      </w:r>
      <w:r w:rsidR="00F268FD" w:rsidRPr="00F268FD">
        <w:rPr>
          <w:rFonts w:ascii="Times New Roman" w:hAnsi="Times New Roman" w:cs="Times New Roman"/>
          <w:sz w:val="24"/>
          <w:szCs w:val="24"/>
        </w:rPr>
        <w:t>patrimonial ou de risco de dilapidação do acervo comum autoriza a adoção de</w:t>
      </w:r>
      <w:r w:rsidR="0077147A">
        <w:rPr>
          <w:rFonts w:ascii="Times New Roman" w:hAnsi="Times New Roman" w:cs="Times New Roman"/>
          <w:sz w:val="24"/>
          <w:szCs w:val="24"/>
        </w:rPr>
        <w:t xml:space="preserve"> </w:t>
      </w:r>
      <w:r w:rsidR="00F268FD" w:rsidRPr="00F268FD">
        <w:rPr>
          <w:rFonts w:ascii="Times New Roman" w:hAnsi="Times New Roman" w:cs="Times New Roman"/>
          <w:sz w:val="24"/>
          <w:szCs w:val="24"/>
        </w:rPr>
        <w:t>medidas judiciais de urgência, inclusive a inversão provisória da administração</w:t>
      </w:r>
      <w:r w:rsidR="0077147A">
        <w:rPr>
          <w:rFonts w:ascii="Times New Roman" w:hAnsi="Times New Roman" w:cs="Times New Roman"/>
          <w:sz w:val="24"/>
          <w:szCs w:val="24"/>
        </w:rPr>
        <w:t xml:space="preserve"> </w:t>
      </w:r>
      <w:r w:rsidR="00F268FD" w:rsidRPr="00F268FD">
        <w:rPr>
          <w:rFonts w:ascii="Times New Roman" w:hAnsi="Times New Roman" w:cs="Times New Roman"/>
          <w:sz w:val="24"/>
          <w:szCs w:val="24"/>
        </w:rPr>
        <w:t>dos bens e o bloqueio de ativos, até a efetiva partilha, com o objetivo de viabilizar a justa divisão do patrimônio</w:t>
      </w:r>
      <w:r w:rsidR="0077147A">
        <w:rPr>
          <w:rFonts w:ascii="Times New Roman" w:hAnsi="Times New Roman" w:cs="Times New Roman"/>
          <w:sz w:val="24"/>
          <w:szCs w:val="24"/>
        </w:rPr>
        <w:t>”</w:t>
      </w:r>
      <w:r w:rsidR="00F268FD" w:rsidRPr="00F268FD">
        <w:rPr>
          <w:rFonts w:ascii="Times New Roman" w:hAnsi="Times New Roman" w:cs="Times New Roman"/>
          <w:sz w:val="24"/>
          <w:szCs w:val="24"/>
        </w:rPr>
        <w:t>.</w:t>
      </w:r>
      <w:r w:rsidR="00F268FD">
        <w:rPr>
          <w:rFonts w:ascii="Times New Roman" w:hAnsi="Times New Roman" w:cs="Times New Roman"/>
          <w:sz w:val="24"/>
          <w:szCs w:val="24"/>
        </w:rPr>
        <w:t xml:space="preserve"> </w:t>
      </w:r>
      <w:r w:rsidR="0077147A">
        <w:rPr>
          <w:rFonts w:ascii="Times New Roman" w:hAnsi="Times New Roman" w:cs="Times New Roman"/>
          <w:sz w:val="24"/>
          <w:szCs w:val="24"/>
        </w:rPr>
        <w:t xml:space="preserve">Trata-se de outra ementa com conteúdo </w:t>
      </w:r>
      <w:r w:rsidR="00B254FF">
        <w:rPr>
          <w:rFonts w:ascii="Times New Roman" w:hAnsi="Times New Roman" w:cs="Times New Roman"/>
          <w:sz w:val="24"/>
          <w:szCs w:val="24"/>
        </w:rPr>
        <w:t xml:space="preserve">prático muito </w:t>
      </w:r>
      <w:r w:rsidR="0077147A">
        <w:rPr>
          <w:rFonts w:ascii="Times New Roman" w:hAnsi="Times New Roman" w:cs="Times New Roman"/>
          <w:sz w:val="24"/>
          <w:szCs w:val="24"/>
        </w:rPr>
        <w:t xml:space="preserve">importante, </w:t>
      </w:r>
      <w:r>
        <w:rPr>
          <w:rFonts w:ascii="Times New Roman" w:hAnsi="Times New Roman" w:cs="Times New Roman"/>
          <w:sz w:val="24"/>
          <w:szCs w:val="24"/>
        </w:rPr>
        <w:t xml:space="preserve">e </w:t>
      </w:r>
      <w:r w:rsidR="0077147A">
        <w:rPr>
          <w:rFonts w:ascii="Times New Roman" w:hAnsi="Times New Roman" w:cs="Times New Roman"/>
          <w:sz w:val="24"/>
          <w:szCs w:val="24"/>
        </w:rPr>
        <w:t>que</w:t>
      </w:r>
      <w:r w:rsidR="00B254FF">
        <w:rPr>
          <w:rFonts w:ascii="Times New Roman" w:hAnsi="Times New Roman" w:cs="Times New Roman"/>
          <w:sz w:val="24"/>
          <w:szCs w:val="24"/>
        </w:rPr>
        <w:t xml:space="preserve"> tem relação direta com o </w:t>
      </w:r>
      <w:r w:rsidR="00B254FF" w:rsidRPr="00B254FF">
        <w:rPr>
          <w:rFonts w:ascii="Times New Roman" w:hAnsi="Times New Roman" w:cs="Times New Roman"/>
          <w:i/>
          <w:iCs/>
          <w:sz w:val="24"/>
          <w:szCs w:val="24"/>
        </w:rPr>
        <w:t xml:space="preserve">protocolo de julgamento </w:t>
      </w:r>
      <w:r w:rsidR="00AA3D1E">
        <w:rPr>
          <w:rFonts w:ascii="Times New Roman" w:hAnsi="Times New Roman" w:cs="Times New Roman"/>
          <w:i/>
          <w:iCs/>
          <w:sz w:val="24"/>
          <w:szCs w:val="24"/>
        </w:rPr>
        <w:t>com</w:t>
      </w:r>
      <w:r w:rsidR="00B254FF" w:rsidRPr="00B254FF">
        <w:rPr>
          <w:rFonts w:ascii="Times New Roman" w:hAnsi="Times New Roman" w:cs="Times New Roman"/>
          <w:i/>
          <w:iCs/>
          <w:sz w:val="24"/>
          <w:szCs w:val="24"/>
        </w:rPr>
        <w:t xml:space="preserve"> perspectiva de gênero </w:t>
      </w:r>
      <w:r w:rsidR="00B254FF">
        <w:rPr>
          <w:rFonts w:ascii="Times New Roman" w:hAnsi="Times New Roman" w:cs="Times New Roman"/>
          <w:sz w:val="24"/>
          <w:szCs w:val="24"/>
        </w:rPr>
        <w:t>do Conselho Nacional de Justiça</w:t>
      </w:r>
      <w:r>
        <w:rPr>
          <w:rFonts w:ascii="Times New Roman" w:hAnsi="Times New Roman" w:cs="Times New Roman"/>
          <w:sz w:val="24"/>
          <w:szCs w:val="24"/>
        </w:rPr>
        <w:t xml:space="preserve"> (CNJ)</w:t>
      </w:r>
      <w:r w:rsidR="00B254FF">
        <w:rPr>
          <w:rFonts w:ascii="Times New Roman" w:hAnsi="Times New Roman" w:cs="Times New Roman"/>
          <w:sz w:val="24"/>
          <w:szCs w:val="24"/>
        </w:rPr>
        <w:t xml:space="preserve">. </w:t>
      </w:r>
    </w:p>
    <w:p w14:paraId="4E2BF783" w14:textId="044F9416" w:rsidR="00B254FF" w:rsidRDefault="004945A7" w:rsidP="00B254FF">
      <w:pPr>
        <w:pStyle w:val="t"/>
        <w:spacing w:before="120" w:after="120" w:line="360" w:lineRule="auto"/>
        <w:ind w:firstLine="1701"/>
        <w:rPr>
          <w:rFonts w:ascii="Times New Roman" w:hAnsi="Times New Roman" w:cs="Times New Roman"/>
          <w:sz w:val="24"/>
          <w:szCs w:val="24"/>
        </w:rPr>
      </w:pPr>
      <w:r>
        <w:rPr>
          <w:rFonts w:ascii="Times New Roman" w:hAnsi="Times New Roman" w:cs="Times New Roman"/>
          <w:sz w:val="24"/>
          <w:szCs w:val="24"/>
        </w:rPr>
        <w:t xml:space="preserve">Esse </w:t>
      </w:r>
      <w:r w:rsidRPr="004945A7">
        <w:rPr>
          <w:rFonts w:ascii="Times New Roman" w:hAnsi="Times New Roman" w:cs="Times New Roman"/>
          <w:i/>
          <w:iCs/>
          <w:sz w:val="24"/>
          <w:szCs w:val="24"/>
        </w:rPr>
        <w:t>protocolo</w:t>
      </w:r>
      <w:r>
        <w:rPr>
          <w:rFonts w:ascii="Times New Roman" w:hAnsi="Times New Roman" w:cs="Times New Roman"/>
          <w:sz w:val="24"/>
          <w:szCs w:val="24"/>
        </w:rPr>
        <w:t xml:space="preserve"> constitui</w:t>
      </w:r>
      <w:r w:rsidR="00B254FF" w:rsidRPr="00B254FF">
        <w:rPr>
          <w:rFonts w:ascii="Times New Roman" w:hAnsi="Times New Roman" w:cs="Times New Roman"/>
          <w:sz w:val="24"/>
          <w:szCs w:val="24"/>
        </w:rPr>
        <w:t xml:space="preserve"> norma administrativa de grande relevância jurídica</w:t>
      </w:r>
      <w:r>
        <w:rPr>
          <w:rFonts w:ascii="Times New Roman" w:hAnsi="Times New Roman" w:cs="Times New Roman"/>
          <w:sz w:val="24"/>
          <w:szCs w:val="24"/>
        </w:rPr>
        <w:t xml:space="preserve"> e prática</w:t>
      </w:r>
      <w:r w:rsidR="00B254FF" w:rsidRPr="00B254FF">
        <w:rPr>
          <w:rFonts w:ascii="Times New Roman" w:hAnsi="Times New Roman" w:cs="Times New Roman"/>
          <w:sz w:val="24"/>
          <w:szCs w:val="24"/>
        </w:rPr>
        <w:t>, que tem orientado as minhas posições doutrinárias, e também muitos pareceres dados em casos concretos, em prol de mulheres, sobretudo em situações envolvendo partilha de bens</w:t>
      </w:r>
      <w:r w:rsidR="003F660D">
        <w:rPr>
          <w:rFonts w:ascii="Times New Roman" w:hAnsi="Times New Roman" w:cs="Times New Roman"/>
          <w:sz w:val="24"/>
          <w:szCs w:val="24"/>
        </w:rPr>
        <w:t xml:space="preserve">, fraude à meação e à sucessão por meio de pessoas jurídicas, </w:t>
      </w:r>
      <w:r w:rsidR="00B254FF" w:rsidRPr="00B254FF">
        <w:rPr>
          <w:rFonts w:ascii="Times New Roman" w:hAnsi="Times New Roman" w:cs="Times New Roman"/>
          <w:sz w:val="24"/>
          <w:szCs w:val="24"/>
        </w:rPr>
        <w:t xml:space="preserve">e </w:t>
      </w:r>
      <w:r w:rsidR="003F660D">
        <w:rPr>
          <w:rFonts w:ascii="Times New Roman" w:hAnsi="Times New Roman" w:cs="Times New Roman"/>
          <w:sz w:val="24"/>
          <w:szCs w:val="24"/>
        </w:rPr>
        <w:t xml:space="preserve">a </w:t>
      </w:r>
      <w:r w:rsidR="00B254FF" w:rsidRPr="00B254FF">
        <w:rPr>
          <w:rFonts w:ascii="Times New Roman" w:hAnsi="Times New Roman" w:cs="Times New Roman"/>
          <w:sz w:val="24"/>
          <w:szCs w:val="24"/>
        </w:rPr>
        <w:t xml:space="preserve">fixação de alimentos, sobretudo os compensatórios. Tem ele previsão na Recomendação n. 128/2022 e na Resolução n. 492/2023 do CNJ. </w:t>
      </w:r>
      <w:r w:rsidR="00B254FF">
        <w:rPr>
          <w:rFonts w:ascii="Times New Roman" w:hAnsi="Times New Roman" w:cs="Times New Roman"/>
          <w:sz w:val="24"/>
          <w:szCs w:val="24"/>
        </w:rPr>
        <w:t xml:space="preserve"> </w:t>
      </w:r>
    </w:p>
    <w:p w14:paraId="5D450F7A" w14:textId="526029AF" w:rsidR="00B254FF" w:rsidRPr="00B254FF" w:rsidRDefault="00B254FF" w:rsidP="00B254FF">
      <w:pPr>
        <w:pStyle w:val="t"/>
        <w:spacing w:before="120" w:after="120" w:line="360" w:lineRule="auto"/>
        <w:ind w:firstLine="1701"/>
        <w:rPr>
          <w:rFonts w:ascii="Times New Roman" w:hAnsi="Times New Roman" w:cs="Times New Roman"/>
        </w:rPr>
      </w:pPr>
      <w:r w:rsidRPr="00B254FF">
        <w:rPr>
          <w:rFonts w:ascii="Times New Roman" w:hAnsi="Times New Roman" w:cs="Times New Roman"/>
          <w:sz w:val="24"/>
          <w:szCs w:val="24"/>
        </w:rPr>
        <w:t>Como se sabe, as normas do Conselho Nacional de Justiça não têm força de lei, mas apenas cunho administrativo, orientando os julgadores para a tomada de decisões nos processos judiciais, sem as penalidades e consequências próprias das normas jurídicas. A esse propósito, vejamos as palavras de Eduardo Cambi, em obra específica sobre o</w:t>
      </w:r>
      <w:r w:rsidRPr="00B254FF">
        <w:rPr>
          <w:rFonts w:ascii="Times New Roman" w:hAnsi="Times New Roman" w:cs="Times New Roman"/>
          <w:i/>
          <w:iCs/>
          <w:sz w:val="24"/>
          <w:szCs w:val="24"/>
        </w:rPr>
        <w:t xml:space="preserve"> protocolo</w:t>
      </w:r>
      <w:r w:rsidRPr="00B254FF">
        <w:rPr>
          <w:rFonts w:ascii="Times New Roman" w:hAnsi="Times New Roman" w:cs="Times New Roman"/>
          <w:sz w:val="24"/>
          <w:szCs w:val="24"/>
        </w:rPr>
        <w:t xml:space="preserve">: </w:t>
      </w:r>
    </w:p>
    <w:p w14:paraId="3D6FAF9C" w14:textId="77777777" w:rsidR="00B254FF" w:rsidRPr="00B254FF" w:rsidRDefault="00B254FF" w:rsidP="00B254FF">
      <w:pPr>
        <w:spacing w:before="120" w:after="120" w:line="360" w:lineRule="auto"/>
        <w:ind w:left="567"/>
        <w:jc w:val="both"/>
        <w:rPr>
          <w:rFonts w:ascii="Times New Roman" w:hAnsi="Times New Roman" w:cs="Times New Roman"/>
          <w:sz w:val="20"/>
          <w:szCs w:val="20"/>
        </w:rPr>
      </w:pPr>
      <w:r w:rsidRPr="00B254FF">
        <w:rPr>
          <w:rFonts w:ascii="Times New Roman" w:hAnsi="Times New Roman" w:cs="Times New Roman"/>
          <w:sz w:val="20"/>
          <w:szCs w:val="20"/>
        </w:rPr>
        <w:t xml:space="preserve"> “O poder normativo do CNJ está previsto expressamente no artigo 103-B, § 4º, inc. I, da Constituição Federal (‘zelar pela autonomia do Poder Judiciário e pelo cumprimento do Estatuto da Magistratura, podendo expedir atos regulamentares, no âmbito de sua competência, ou recomendar providências’). Deve-se, contudo, distinguir as atribuições de ‘expedir’ resoluções e ‘recomendar providências’. </w:t>
      </w:r>
    </w:p>
    <w:p w14:paraId="00B0C9EB" w14:textId="2DB8006F" w:rsidR="00B254FF" w:rsidRPr="00B254FF" w:rsidRDefault="00B254FF" w:rsidP="00B254FF">
      <w:pPr>
        <w:spacing w:before="120" w:after="120" w:line="360" w:lineRule="auto"/>
        <w:ind w:left="567"/>
        <w:jc w:val="both"/>
        <w:rPr>
          <w:rFonts w:ascii="Times New Roman" w:hAnsi="Times New Roman" w:cs="Times New Roman"/>
          <w:sz w:val="20"/>
          <w:szCs w:val="20"/>
        </w:rPr>
      </w:pPr>
      <w:r w:rsidRPr="00B254FF">
        <w:rPr>
          <w:rFonts w:ascii="Times New Roman" w:hAnsi="Times New Roman" w:cs="Times New Roman"/>
          <w:sz w:val="20"/>
          <w:szCs w:val="20"/>
        </w:rPr>
        <w:t>O poder regulamentar do CNJ deve observar o princípio da reserva legal, porque os órgãos administrativos não podem expedir regulamentos com caráter geral e abstrato nem, tampouco, causarem ingerência nos direitos e garantias fundamentais dos cidadãos”</w:t>
      </w:r>
      <w:r>
        <w:rPr>
          <w:rFonts w:ascii="Times New Roman" w:hAnsi="Times New Roman" w:cs="Times New Roman"/>
          <w:sz w:val="20"/>
          <w:szCs w:val="20"/>
        </w:rPr>
        <w:t xml:space="preserve"> (</w:t>
      </w:r>
      <w:r w:rsidRPr="00B254FF">
        <w:rPr>
          <w:rFonts w:ascii="Times New Roman" w:hAnsi="Times New Roman" w:cs="Times New Roman"/>
          <w:sz w:val="20"/>
          <w:szCs w:val="20"/>
        </w:rPr>
        <w:t>CAMBI, Eduardo Augusto Salomão. Direito das Famílias com perspectiva de gênero.  Aplicação do protocolo de julgamento do Conselho Nacional de Justiça (Recomendação 128/2022 e Resolução 492/2023). Indaiatuba: Editora Foco, 2024, p. 104 e 105</w:t>
      </w:r>
      <w:r>
        <w:rPr>
          <w:rFonts w:ascii="Times New Roman" w:hAnsi="Times New Roman" w:cs="Times New Roman"/>
          <w:sz w:val="20"/>
          <w:szCs w:val="20"/>
        </w:rPr>
        <w:t>)</w:t>
      </w:r>
      <w:r w:rsidRPr="00B254FF">
        <w:rPr>
          <w:rFonts w:ascii="Times New Roman" w:hAnsi="Times New Roman" w:cs="Times New Roman"/>
          <w:sz w:val="20"/>
          <w:szCs w:val="20"/>
        </w:rPr>
        <w:t>.</w:t>
      </w:r>
    </w:p>
    <w:p w14:paraId="1EE8C4FB" w14:textId="6C76AE61" w:rsidR="00B254FF" w:rsidRPr="00B254FF" w:rsidRDefault="00B254FF" w:rsidP="00B254FF">
      <w:pPr>
        <w:spacing w:before="120" w:after="120" w:line="360" w:lineRule="auto"/>
        <w:ind w:firstLine="1701"/>
        <w:jc w:val="both"/>
        <w:rPr>
          <w:rFonts w:ascii="Times New Roman" w:hAnsi="Times New Roman" w:cs="Times New Roman"/>
          <w:sz w:val="24"/>
          <w:szCs w:val="24"/>
        </w:rPr>
      </w:pPr>
      <w:r w:rsidRPr="00B254FF">
        <w:rPr>
          <w:rFonts w:ascii="Times New Roman" w:hAnsi="Times New Roman" w:cs="Times New Roman"/>
          <w:sz w:val="24"/>
          <w:szCs w:val="24"/>
        </w:rPr>
        <w:t xml:space="preserve">O doutrinador também demonstra que </w:t>
      </w:r>
      <w:r w:rsidR="004945A7">
        <w:rPr>
          <w:rFonts w:ascii="Times New Roman" w:hAnsi="Times New Roman" w:cs="Times New Roman"/>
          <w:sz w:val="24"/>
          <w:szCs w:val="24"/>
        </w:rPr>
        <w:t>ele</w:t>
      </w:r>
      <w:r w:rsidR="003F660D">
        <w:rPr>
          <w:rFonts w:ascii="Times New Roman" w:hAnsi="Times New Roman" w:cs="Times New Roman"/>
          <w:sz w:val="24"/>
          <w:szCs w:val="24"/>
        </w:rPr>
        <w:t xml:space="preserve"> é, porém, </w:t>
      </w:r>
      <w:r w:rsidRPr="00B254FF">
        <w:rPr>
          <w:rFonts w:ascii="Times New Roman" w:hAnsi="Times New Roman" w:cs="Times New Roman"/>
          <w:sz w:val="24"/>
          <w:szCs w:val="24"/>
        </w:rPr>
        <w:t>uma medida de política judiciária, com</w:t>
      </w:r>
      <w:r w:rsidR="004945A7">
        <w:rPr>
          <w:rFonts w:ascii="Times New Roman" w:hAnsi="Times New Roman" w:cs="Times New Roman"/>
          <w:sz w:val="24"/>
          <w:szCs w:val="24"/>
        </w:rPr>
        <w:t>o</w:t>
      </w:r>
      <w:r w:rsidRPr="00B254FF">
        <w:rPr>
          <w:rFonts w:ascii="Times New Roman" w:hAnsi="Times New Roman" w:cs="Times New Roman"/>
          <w:sz w:val="24"/>
          <w:szCs w:val="24"/>
        </w:rPr>
        <w:t xml:space="preserve"> </w:t>
      </w:r>
      <w:r w:rsidRPr="004945A7">
        <w:rPr>
          <w:rFonts w:ascii="Times New Roman" w:hAnsi="Times New Roman" w:cs="Times New Roman"/>
          <w:i/>
          <w:iCs/>
          <w:sz w:val="24"/>
          <w:szCs w:val="24"/>
        </w:rPr>
        <w:t>ação afirmativa</w:t>
      </w:r>
      <w:r w:rsidRPr="00B254FF">
        <w:rPr>
          <w:rFonts w:ascii="Times New Roman" w:hAnsi="Times New Roman" w:cs="Times New Roman"/>
          <w:sz w:val="24"/>
          <w:szCs w:val="24"/>
        </w:rPr>
        <w:t xml:space="preserve"> que visa à igualdade entre homens e mulheres: </w:t>
      </w:r>
    </w:p>
    <w:p w14:paraId="62D998ED" w14:textId="77777777" w:rsidR="00B254FF" w:rsidRPr="00B254FF" w:rsidRDefault="00B254FF" w:rsidP="00B254FF">
      <w:pPr>
        <w:spacing w:before="120" w:after="120" w:line="360" w:lineRule="auto"/>
        <w:ind w:left="567"/>
        <w:jc w:val="both"/>
        <w:rPr>
          <w:rFonts w:ascii="Times New Roman" w:hAnsi="Times New Roman" w:cs="Times New Roman"/>
        </w:rPr>
      </w:pPr>
      <w:r w:rsidRPr="00EE7A09">
        <w:rPr>
          <w:rFonts w:ascii="Bookman Old Style" w:hAnsi="Bookman Old Style"/>
        </w:rPr>
        <w:t>“</w:t>
      </w:r>
      <w:r w:rsidRPr="00B254FF">
        <w:rPr>
          <w:rFonts w:ascii="Times New Roman" w:hAnsi="Times New Roman" w:cs="Times New Roman"/>
        </w:rPr>
        <w:t xml:space="preserve">Portanto, o Protocolo de Julgamento com Perspectiva de Gênero do Conselho Nacional de Justiça, consubstanciado na Recomendação n. 128/2022 e na Resolução n. 492/2023, é </w:t>
      </w:r>
      <w:r w:rsidRPr="00B254FF">
        <w:rPr>
          <w:rFonts w:ascii="Times New Roman" w:hAnsi="Times New Roman" w:cs="Times New Roman"/>
        </w:rPr>
        <w:lastRenderedPageBreak/>
        <w:t xml:space="preserve">uma política institucional afirmativa do Poder Judiciário, voltada ao reconhecimento de como as desigualdades sociais, culturais e políticas sofridas pelas mulheres ao longo da história influenciam na interpretação e aplicação do Direito. O Protocolo do CNJ permite que, a partir das lentes de gênero, o Estado-Juiz promova igual dignidade entre mulheres e homens, contribuindo para a desconstrução do machismo estrutural e para o fortalecimento de uma cultura jurídica emancipatória dos direitos das mulheres e das meninas. </w:t>
      </w:r>
    </w:p>
    <w:p w14:paraId="50CCA615" w14:textId="77777777" w:rsidR="00B254FF" w:rsidRPr="00B254FF" w:rsidRDefault="00B254FF" w:rsidP="00B254FF">
      <w:pPr>
        <w:spacing w:before="120" w:after="120" w:line="360" w:lineRule="auto"/>
        <w:ind w:left="567"/>
        <w:jc w:val="both"/>
        <w:rPr>
          <w:rFonts w:ascii="Times New Roman" w:hAnsi="Times New Roman" w:cs="Times New Roman"/>
        </w:rPr>
      </w:pPr>
      <w:r w:rsidRPr="00B254FF">
        <w:rPr>
          <w:rFonts w:ascii="Times New Roman" w:hAnsi="Times New Roman" w:cs="Times New Roman"/>
        </w:rPr>
        <w:t xml:space="preserve">O Protocolo de Julgamento na Perspectiva de Gênero, por estar voltado a assegurar a igual dignidade entre homens e mulheres, não se destina a acirrar uma guerra entre os sexos, a promover a escalada dos conflitos sociais (especialmente pelo estímulo do ódio entre casais que se separam e precisam cuidar de filhos comuns), nem, tampouco, serve como meio de aplacar sentimento de vingança, motivados pela vontade de retaliação pessoal ou emocional da vítima. </w:t>
      </w:r>
    </w:p>
    <w:p w14:paraId="560C5E07" w14:textId="48FAD9A7" w:rsidR="00B254FF" w:rsidRPr="00B254FF" w:rsidRDefault="00B254FF" w:rsidP="00B254FF">
      <w:pPr>
        <w:spacing w:before="120" w:after="120" w:line="360" w:lineRule="auto"/>
        <w:ind w:left="567"/>
        <w:jc w:val="both"/>
        <w:rPr>
          <w:rFonts w:ascii="Times New Roman" w:hAnsi="Times New Roman" w:cs="Times New Roman"/>
        </w:rPr>
      </w:pPr>
      <w:r w:rsidRPr="00B254FF">
        <w:rPr>
          <w:rFonts w:ascii="Times New Roman" w:hAnsi="Times New Roman" w:cs="Times New Roman"/>
        </w:rPr>
        <w:t>Afinal, justiça e vingança são conceitos antagônicos. Ninguém pode se valer do Poder Judiciário para se vingar de outrem. A vingança é motivada pela raiva, ressentimento ou desejo de fazer o outro sofrer retaliação pela ofensa cometida, não se preocupa com as consequências a longo prazo nem com o direito das partes envolvidas, o que causa a escalada do conflito e faz perpetuar o ciclo da violência, gerando mais danos, sofrimentos e injustiças”</w:t>
      </w:r>
      <w:r>
        <w:rPr>
          <w:rFonts w:ascii="Times New Roman" w:hAnsi="Times New Roman" w:cs="Times New Roman"/>
        </w:rPr>
        <w:t xml:space="preserve"> (</w:t>
      </w:r>
      <w:r w:rsidRPr="00B254FF">
        <w:rPr>
          <w:rFonts w:ascii="Times New Roman" w:hAnsi="Times New Roman" w:cs="Times New Roman"/>
        </w:rPr>
        <w:t>CAMBI, Eduardo Augusto Salomão. Direito das Famílias com perspectiva de gênero.  Aplicação do protocolo de julgamento do Conselho Nacional de Justiça (Recomendação 128/2022 e Resolução 492/2023). Indaiatuba: Editora Foco, 2024, p. 108 e 109</w:t>
      </w:r>
      <w:r>
        <w:rPr>
          <w:rFonts w:ascii="Times New Roman" w:hAnsi="Times New Roman" w:cs="Times New Roman"/>
        </w:rPr>
        <w:t>)</w:t>
      </w:r>
      <w:r w:rsidRPr="00B254FF">
        <w:rPr>
          <w:rFonts w:ascii="Times New Roman" w:hAnsi="Times New Roman" w:cs="Times New Roman"/>
        </w:rPr>
        <w:t>.</w:t>
      </w:r>
    </w:p>
    <w:p w14:paraId="241923CD" w14:textId="77777777" w:rsidR="003F660D" w:rsidRDefault="004945A7" w:rsidP="00B254FF">
      <w:pPr>
        <w:spacing w:before="120" w:after="120" w:line="360" w:lineRule="auto"/>
        <w:ind w:firstLine="1701"/>
        <w:jc w:val="both"/>
        <w:rPr>
          <w:rFonts w:ascii="Times New Roman" w:hAnsi="Times New Roman" w:cs="Times New Roman"/>
          <w:sz w:val="24"/>
          <w:szCs w:val="24"/>
        </w:rPr>
      </w:pPr>
      <w:r>
        <w:rPr>
          <w:rFonts w:ascii="Times New Roman" w:hAnsi="Times New Roman" w:cs="Times New Roman"/>
          <w:sz w:val="24"/>
          <w:szCs w:val="24"/>
        </w:rPr>
        <w:t>O</w:t>
      </w:r>
      <w:r w:rsidR="00B254FF" w:rsidRPr="00B254FF">
        <w:rPr>
          <w:rFonts w:ascii="Times New Roman" w:hAnsi="Times New Roman" w:cs="Times New Roman"/>
          <w:sz w:val="24"/>
          <w:szCs w:val="24"/>
        </w:rPr>
        <w:t xml:space="preserve"> </w:t>
      </w:r>
      <w:r w:rsidR="00B254FF" w:rsidRPr="00B254FF">
        <w:rPr>
          <w:rFonts w:ascii="Times New Roman" w:hAnsi="Times New Roman" w:cs="Times New Roman"/>
          <w:i/>
          <w:iCs/>
          <w:sz w:val="24"/>
          <w:szCs w:val="24"/>
        </w:rPr>
        <w:t>protocol</w:t>
      </w:r>
      <w:r w:rsidR="00B254FF" w:rsidRPr="003F660D">
        <w:rPr>
          <w:rFonts w:ascii="Times New Roman" w:hAnsi="Times New Roman" w:cs="Times New Roman"/>
          <w:i/>
          <w:iCs/>
          <w:sz w:val="24"/>
          <w:szCs w:val="24"/>
        </w:rPr>
        <w:t>o</w:t>
      </w:r>
      <w:r w:rsidR="00B254FF" w:rsidRPr="00B254FF">
        <w:rPr>
          <w:rFonts w:ascii="Times New Roman" w:hAnsi="Times New Roman" w:cs="Times New Roman"/>
          <w:sz w:val="24"/>
          <w:szCs w:val="24"/>
        </w:rPr>
        <w:t xml:space="preserve"> traz regras substanciais quanto à partilha de bens em processos de divórcio e de dissolução de união estável, entre homens e mulheres. Trata, ainda, de casos de violência patrimonial e doméstica praticada por homens</w:t>
      </w:r>
      <w:r w:rsidR="00B254FF">
        <w:rPr>
          <w:rFonts w:ascii="Times New Roman" w:hAnsi="Times New Roman" w:cs="Times New Roman"/>
          <w:sz w:val="24"/>
          <w:szCs w:val="24"/>
        </w:rPr>
        <w:t xml:space="preserve">, incluindo-se os casos de dissolução do casamento e do divórcio. </w:t>
      </w:r>
    </w:p>
    <w:p w14:paraId="520061EE" w14:textId="200CBF71" w:rsidR="00B254FF" w:rsidRPr="00B317CD" w:rsidRDefault="00B254FF" w:rsidP="00B254FF">
      <w:pPr>
        <w:spacing w:before="120" w:after="120" w:line="360" w:lineRule="auto"/>
        <w:ind w:firstLine="1701"/>
        <w:jc w:val="both"/>
        <w:rPr>
          <w:rFonts w:ascii="Bookman Old Style" w:hAnsi="Bookman Old Style" w:cs="Arial"/>
        </w:rPr>
      </w:pPr>
      <w:r>
        <w:rPr>
          <w:rFonts w:ascii="Times New Roman" w:hAnsi="Times New Roman" w:cs="Times New Roman"/>
          <w:sz w:val="24"/>
          <w:szCs w:val="24"/>
        </w:rPr>
        <w:t xml:space="preserve">Sobre a violência patrimonial, o </w:t>
      </w:r>
      <w:r w:rsidRPr="00B254FF">
        <w:rPr>
          <w:rFonts w:ascii="Times New Roman" w:hAnsi="Times New Roman" w:cs="Times New Roman"/>
          <w:i/>
          <w:iCs/>
          <w:sz w:val="24"/>
          <w:szCs w:val="24"/>
        </w:rPr>
        <w:t xml:space="preserve">protocolo </w:t>
      </w:r>
      <w:r>
        <w:rPr>
          <w:rFonts w:ascii="Times New Roman" w:hAnsi="Times New Roman" w:cs="Times New Roman"/>
          <w:sz w:val="24"/>
          <w:szCs w:val="24"/>
        </w:rPr>
        <w:t>cita</w:t>
      </w:r>
      <w:r w:rsidR="004945A7">
        <w:rPr>
          <w:rFonts w:ascii="Times New Roman" w:hAnsi="Times New Roman" w:cs="Times New Roman"/>
          <w:sz w:val="24"/>
          <w:szCs w:val="24"/>
        </w:rPr>
        <w:t xml:space="preserve">, em rol exemplificativo ou </w:t>
      </w:r>
      <w:r w:rsidR="004945A7" w:rsidRPr="004945A7">
        <w:rPr>
          <w:rFonts w:ascii="Times New Roman" w:hAnsi="Times New Roman" w:cs="Times New Roman"/>
          <w:i/>
          <w:iCs/>
          <w:sz w:val="24"/>
          <w:szCs w:val="24"/>
        </w:rPr>
        <w:t>numerus apertus</w:t>
      </w:r>
      <w:r w:rsidR="004945A7">
        <w:rPr>
          <w:rFonts w:ascii="Times New Roman" w:hAnsi="Times New Roman" w:cs="Times New Roman"/>
          <w:sz w:val="24"/>
          <w:szCs w:val="24"/>
        </w:rPr>
        <w:t xml:space="preserve">, as seguintes situações: </w:t>
      </w:r>
      <w:r>
        <w:rPr>
          <w:rFonts w:ascii="Times New Roman" w:hAnsi="Times New Roman" w:cs="Times New Roman"/>
          <w:sz w:val="24"/>
          <w:szCs w:val="24"/>
        </w:rPr>
        <w:t>“d</w:t>
      </w:r>
      <w:r w:rsidRPr="00B254FF">
        <w:rPr>
          <w:rFonts w:ascii="Times New Roman" w:hAnsi="Times New Roman" w:cs="Times New Roman"/>
          <w:sz w:val="24"/>
          <w:szCs w:val="24"/>
        </w:rPr>
        <w:t>estruição de bens e propriedade privada, ocultação de patrimônio, subtração</w:t>
      </w:r>
      <w:r>
        <w:rPr>
          <w:rFonts w:ascii="Times New Roman" w:hAnsi="Times New Roman" w:cs="Times New Roman"/>
          <w:sz w:val="24"/>
          <w:szCs w:val="24"/>
        </w:rPr>
        <w:t xml:space="preserve"> </w:t>
      </w:r>
      <w:r w:rsidRPr="00B254FF">
        <w:rPr>
          <w:rFonts w:ascii="Times New Roman" w:hAnsi="Times New Roman" w:cs="Times New Roman"/>
          <w:sz w:val="24"/>
          <w:szCs w:val="24"/>
        </w:rPr>
        <w:t>da participação nos lucros em sociedades empresárias, invisibilização no</w:t>
      </w:r>
      <w:r>
        <w:rPr>
          <w:rFonts w:ascii="Times New Roman" w:hAnsi="Times New Roman" w:cs="Times New Roman"/>
          <w:sz w:val="24"/>
          <w:szCs w:val="24"/>
        </w:rPr>
        <w:t xml:space="preserve"> </w:t>
      </w:r>
      <w:r w:rsidRPr="00B254FF">
        <w:rPr>
          <w:rFonts w:ascii="Times New Roman" w:hAnsi="Times New Roman" w:cs="Times New Roman"/>
          <w:sz w:val="24"/>
          <w:szCs w:val="24"/>
        </w:rPr>
        <w:t>recebimento de heranças, apropriação dos rendimentos, inviabilização</w:t>
      </w:r>
      <w:r>
        <w:rPr>
          <w:rFonts w:ascii="Times New Roman" w:hAnsi="Times New Roman" w:cs="Times New Roman"/>
          <w:sz w:val="24"/>
          <w:szCs w:val="24"/>
        </w:rPr>
        <w:t xml:space="preserve"> </w:t>
      </w:r>
      <w:r w:rsidRPr="00B254FF">
        <w:rPr>
          <w:rFonts w:ascii="Times New Roman" w:hAnsi="Times New Roman" w:cs="Times New Roman"/>
          <w:sz w:val="24"/>
          <w:szCs w:val="24"/>
        </w:rPr>
        <w:t>da administração de recursos financeiros, simulação de contratos, não</w:t>
      </w:r>
      <w:r>
        <w:rPr>
          <w:rFonts w:ascii="Times New Roman" w:hAnsi="Times New Roman" w:cs="Times New Roman"/>
          <w:sz w:val="24"/>
          <w:szCs w:val="24"/>
        </w:rPr>
        <w:t xml:space="preserve"> </w:t>
      </w:r>
      <w:r w:rsidRPr="00B254FF">
        <w:rPr>
          <w:rFonts w:ascii="Times New Roman" w:hAnsi="Times New Roman" w:cs="Times New Roman"/>
          <w:sz w:val="24"/>
          <w:szCs w:val="24"/>
        </w:rPr>
        <w:t>pagamento de pensão alimentícia</w:t>
      </w:r>
      <w:r>
        <w:rPr>
          <w:rFonts w:ascii="Times New Roman" w:hAnsi="Times New Roman" w:cs="Times New Roman"/>
          <w:sz w:val="24"/>
          <w:szCs w:val="24"/>
        </w:rPr>
        <w:t>”</w:t>
      </w:r>
      <w:r w:rsidRPr="00B254FF">
        <w:rPr>
          <w:rFonts w:ascii="Times New Roman" w:hAnsi="Times New Roman" w:cs="Times New Roman"/>
          <w:sz w:val="24"/>
          <w:szCs w:val="24"/>
        </w:rPr>
        <w:t>.</w:t>
      </w:r>
      <w:r>
        <w:rPr>
          <w:rFonts w:ascii="Bookman Old Style" w:hAnsi="Bookman Old Style"/>
          <w:sz w:val="24"/>
          <w:szCs w:val="24"/>
        </w:rPr>
        <w:t xml:space="preserve"> </w:t>
      </w:r>
      <w:r w:rsidRPr="00B254FF">
        <w:rPr>
          <w:rFonts w:ascii="Times New Roman" w:hAnsi="Times New Roman" w:cs="Times New Roman"/>
          <w:sz w:val="24"/>
          <w:szCs w:val="24"/>
        </w:rPr>
        <w:t>A esse propósito, vejamos outro trecho da obra citada.</w:t>
      </w:r>
      <w:r>
        <w:rPr>
          <w:rFonts w:ascii="Bookman Old Style" w:hAnsi="Bookman Old Style"/>
          <w:sz w:val="24"/>
          <w:szCs w:val="24"/>
        </w:rPr>
        <w:t xml:space="preserve"> </w:t>
      </w:r>
    </w:p>
    <w:p w14:paraId="73B9BBC1" w14:textId="58B70AF1" w:rsidR="00B254FF" w:rsidRPr="003F660D" w:rsidRDefault="00B254FF" w:rsidP="00B254FF">
      <w:pPr>
        <w:spacing w:before="120" w:after="120" w:line="360" w:lineRule="auto"/>
        <w:ind w:left="567"/>
        <w:jc w:val="both"/>
        <w:rPr>
          <w:rFonts w:ascii="Times New Roman" w:hAnsi="Times New Roman" w:cs="Times New Roman"/>
          <w:kern w:val="2"/>
          <w:lang w:eastAsia="pt-BR"/>
          <w14:ligatures w14:val="standardContextual"/>
        </w:rPr>
      </w:pPr>
      <w:r w:rsidRPr="003F660D">
        <w:rPr>
          <w:rFonts w:ascii="Times New Roman" w:hAnsi="Times New Roman" w:cs="Times New Roman"/>
        </w:rPr>
        <w:t xml:space="preserve">“Portanto, a imposição de dificuldades e óbices para que a mulher tenha acesso a patrimônio que lhe pertence, sobretudo em uma conjuntura de extinção da sociedade conjugal, deve ser compreendida, sob uma perspectiva de proteção jurídica multinível, </w:t>
      </w:r>
      <w:r w:rsidRPr="003F660D">
        <w:rPr>
          <w:rFonts w:ascii="Times New Roman" w:hAnsi="Times New Roman" w:cs="Times New Roman"/>
        </w:rPr>
        <w:lastRenderedPageBreak/>
        <w:t xml:space="preserve">como violência patrimonial, sobretudo porque toda mulher tem o direito humano a uma vida livre de qualquer tipo de violência. Tal conclusão se extrai da interpretação sistemática dos artigos 5º, inc. I e § 2º, e 226, §8º, da Constituição Federal, 3º da Convenção Interamericana para Prevenir, Punir e Erradicar a Violência contra a Mulher (Convenção de Belém do Pará) e 7º, inc. IV, da Lei Maria da Penha (Lei n. 11.340/2006)” CAMBI, Eduardo Augusto Salomão. Direito das Famílias com perspectiva de gênero.  Aplicação do protocolo de julgamento do Conselho Nacional de Justiça (Recomendação 128/2022 e Resolução 492/2023). Indaiatuba: Editora Foco, 2024, p. 108 e 109).  </w:t>
      </w:r>
    </w:p>
    <w:p w14:paraId="3764C237" w14:textId="1D18FA85" w:rsidR="00B254FF" w:rsidRPr="00B254FF" w:rsidRDefault="003F660D" w:rsidP="00B254FF">
      <w:pPr>
        <w:spacing w:line="360" w:lineRule="auto"/>
        <w:ind w:firstLine="1701"/>
        <w:jc w:val="both"/>
        <w:rPr>
          <w:rFonts w:ascii="Times New Roman" w:hAnsi="Times New Roman" w:cs="Times New Roman"/>
          <w:sz w:val="24"/>
          <w:szCs w:val="24"/>
        </w:rPr>
      </w:pPr>
      <w:r>
        <w:rPr>
          <w:rFonts w:ascii="Times New Roman" w:hAnsi="Times New Roman" w:cs="Times New Roman"/>
          <w:sz w:val="24"/>
          <w:szCs w:val="24"/>
        </w:rPr>
        <w:t>A propósito, c</w:t>
      </w:r>
      <w:r w:rsidR="00B254FF" w:rsidRPr="00B254FF">
        <w:rPr>
          <w:rFonts w:ascii="Times New Roman" w:hAnsi="Times New Roman" w:cs="Times New Roman"/>
          <w:sz w:val="24"/>
          <w:szCs w:val="24"/>
        </w:rPr>
        <w:t>ompulsando</w:t>
      </w:r>
      <w:r w:rsidR="004945A7">
        <w:rPr>
          <w:rFonts w:ascii="Times New Roman" w:hAnsi="Times New Roman" w:cs="Times New Roman"/>
          <w:sz w:val="24"/>
          <w:szCs w:val="24"/>
        </w:rPr>
        <w:t>-se</w:t>
      </w:r>
      <w:r w:rsidR="00B254FF" w:rsidRPr="00B254FF">
        <w:rPr>
          <w:rFonts w:ascii="Times New Roman" w:hAnsi="Times New Roman" w:cs="Times New Roman"/>
          <w:sz w:val="24"/>
          <w:szCs w:val="24"/>
        </w:rPr>
        <w:t xml:space="preserve"> a obra d</w:t>
      </w:r>
      <w:r w:rsidR="004945A7">
        <w:rPr>
          <w:rFonts w:ascii="Times New Roman" w:hAnsi="Times New Roman" w:cs="Times New Roman"/>
          <w:sz w:val="24"/>
          <w:szCs w:val="24"/>
        </w:rPr>
        <w:t xml:space="preserve">e referência </w:t>
      </w:r>
      <w:r w:rsidR="00AA3D1E">
        <w:rPr>
          <w:rFonts w:ascii="Times New Roman" w:hAnsi="Times New Roman" w:cs="Times New Roman"/>
          <w:sz w:val="24"/>
          <w:szCs w:val="24"/>
        </w:rPr>
        <w:t>d</w:t>
      </w:r>
      <w:r w:rsidR="00B254FF" w:rsidRPr="00B254FF">
        <w:rPr>
          <w:rFonts w:ascii="Times New Roman" w:hAnsi="Times New Roman" w:cs="Times New Roman"/>
          <w:sz w:val="24"/>
          <w:szCs w:val="24"/>
        </w:rPr>
        <w:t>o jurista, em toda a sua extensão, baseada na normatização administrativa do CNJ, percebe-se o tratamento a respeito dos seguintes institutos e situações jurídicas: a</w:t>
      </w:r>
      <w:r w:rsidR="00B254FF" w:rsidRPr="00B254FF">
        <w:rPr>
          <w:rFonts w:ascii="Times New Roman" w:hAnsi="Times New Roman" w:cs="Times New Roman"/>
          <w:i/>
          <w:iCs/>
          <w:sz w:val="24"/>
          <w:szCs w:val="24"/>
        </w:rPr>
        <w:t xml:space="preserve">) </w:t>
      </w:r>
      <w:r w:rsidR="00B254FF" w:rsidRPr="00B254FF">
        <w:rPr>
          <w:rFonts w:ascii="Times New Roman" w:hAnsi="Times New Roman" w:cs="Times New Roman"/>
          <w:sz w:val="24"/>
          <w:szCs w:val="24"/>
        </w:rPr>
        <w:t xml:space="preserve">acesso à ordem jurídica justa e benefício da justiça gratuita; </w:t>
      </w:r>
      <w:r w:rsidR="00B254FF" w:rsidRPr="00B254FF">
        <w:rPr>
          <w:rFonts w:ascii="Times New Roman" w:hAnsi="Times New Roman" w:cs="Times New Roman"/>
          <w:i/>
          <w:iCs/>
          <w:sz w:val="24"/>
          <w:szCs w:val="24"/>
        </w:rPr>
        <w:t>b)</w:t>
      </w:r>
      <w:r w:rsidR="00B254FF" w:rsidRPr="00B254FF">
        <w:rPr>
          <w:rFonts w:ascii="Times New Roman" w:hAnsi="Times New Roman" w:cs="Times New Roman"/>
          <w:sz w:val="24"/>
          <w:szCs w:val="24"/>
        </w:rPr>
        <w:t xml:space="preserve"> alimentos; </w:t>
      </w:r>
      <w:r w:rsidR="00B254FF" w:rsidRPr="00B254FF">
        <w:rPr>
          <w:rFonts w:ascii="Times New Roman" w:hAnsi="Times New Roman" w:cs="Times New Roman"/>
          <w:i/>
          <w:iCs/>
          <w:sz w:val="24"/>
          <w:szCs w:val="24"/>
        </w:rPr>
        <w:t>c)</w:t>
      </w:r>
      <w:r w:rsidR="00B254FF" w:rsidRPr="00B254FF">
        <w:rPr>
          <w:rFonts w:ascii="Times New Roman" w:hAnsi="Times New Roman" w:cs="Times New Roman"/>
          <w:sz w:val="24"/>
          <w:szCs w:val="24"/>
        </w:rPr>
        <w:t xml:space="preserve"> convivência familiar e guarda de filhos; </w:t>
      </w:r>
      <w:r w:rsidR="00B254FF" w:rsidRPr="00B254FF">
        <w:rPr>
          <w:rFonts w:ascii="Times New Roman" w:hAnsi="Times New Roman" w:cs="Times New Roman"/>
          <w:i/>
          <w:iCs/>
          <w:sz w:val="24"/>
          <w:szCs w:val="24"/>
        </w:rPr>
        <w:t>d)</w:t>
      </w:r>
      <w:r w:rsidR="00B254FF" w:rsidRPr="00B254FF">
        <w:rPr>
          <w:rFonts w:ascii="Times New Roman" w:hAnsi="Times New Roman" w:cs="Times New Roman"/>
          <w:sz w:val="24"/>
          <w:szCs w:val="24"/>
        </w:rPr>
        <w:t xml:space="preserve"> alienação parental; </w:t>
      </w:r>
      <w:r w:rsidR="00B254FF" w:rsidRPr="00B254FF">
        <w:rPr>
          <w:rFonts w:ascii="Times New Roman" w:hAnsi="Times New Roman" w:cs="Times New Roman"/>
          <w:i/>
          <w:iCs/>
          <w:sz w:val="24"/>
          <w:szCs w:val="24"/>
        </w:rPr>
        <w:t>e)</w:t>
      </w:r>
      <w:r w:rsidR="00B254FF" w:rsidRPr="00B254FF">
        <w:rPr>
          <w:rFonts w:ascii="Times New Roman" w:hAnsi="Times New Roman" w:cs="Times New Roman"/>
          <w:sz w:val="24"/>
          <w:szCs w:val="24"/>
        </w:rPr>
        <w:t xml:space="preserve"> responsabilidade civil por abandono afetivo; </w:t>
      </w:r>
      <w:r w:rsidR="00B254FF" w:rsidRPr="00B254FF">
        <w:rPr>
          <w:rFonts w:ascii="Times New Roman" w:hAnsi="Times New Roman" w:cs="Times New Roman"/>
          <w:i/>
          <w:iCs/>
          <w:sz w:val="24"/>
          <w:szCs w:val="24"/>
        </w:rPr>
        <w:t>f)</w:t>
      </w:r>
      <w:r w:rsidR="00B254FF" w:rsidRPr="00B254FF">
        <w:rPr>
          <w:rFonts w:ascii="Times New Roman" w:hAnsi="Times New Roman" w:cs="Times New Roman"/>
          <w:sz w:val="24"/>
          <w:szCs w:val="24"/>
        </w:rPr>
        <w:t xml:space="preserve"> entrega voluntária do filho recém-nascido pela mãe para adoção; </w:t>
      </w:r>
      <w:r w:rsidR="00B254FF" w:rsidRPr="00B254FF">
        <w:rPr>
          <w:rFonts w:ascii="Times New Roman" w:hAnsi="Times New Roman" w:cs="Times New Roman"/>
          <w:i/>
          <w:iCs/>
          <w:sz w:val="24"/>
          <w:szCs w:val="24"/>
        </w:rPr>
        <w:t>g)</w:t>
      </w:r>
      <w:r w:rsidR="00B254FF" w:rsidRPr="00B254FF">
        <w:rPr>
          <w:rFonts w:ascii="Times New Roman" w:hAnsi="Times New Roman" w:cs="Times New Roman"/>
          <w:sz w:val="24"/>
          <w:szCs w:val="24"/>
        </w:rPr>
        <w:t xml:space="preserve"> divórcio e separação; </w:t>
      </w:r>
      <w:r w:rsidR="00B254FF" w:rsidRPr="00B254FF">
        <w:rPr>
          <w:rFonts w:ascii="Times New Roman" w:hAnsi="Times New Roman" w:cs="Times New Roman"/>
          <w:i/>
          <w:iCs/>
          <w:sz w:val="24"/>
          <w:szCs w:val="24"/>
        </w:rPr>
        <w:t>h)</w:t>
      </w:r>
      <w:r w:rsidR="00B254FF" w:rsidRPr="00B254FF">
        <w:rPr>
          <w:rFonts w:ascii="Times New Roman" w:hAnsi="Times New Roman" w:cs="Times New Roman"/>
          <w:sz w:val="24"/>
          <w:szCs w:val="24"/>
        </w:rPr>
        <w:t xml:space="preserve"> famílias simultâneas; </w:t>
      </w:r>
      <w:r w:rsidR="00B254FF" w:rsidRPr="00B254FF">
        <w:rPr>
          <w:rFonts w:ascii="Times New Roman" w:hAnsi="Times New Roman" w:cs="Times New Roman"/>
          <w:i/>
          <w:iCs/>
          <w:sz w:val="24"/>
          <w:szCs w:val="24"/>
        </w:rPr>
        <w:t>i)</w:t>
      </w:r>
      <w:r w:rsidR="00B254FF" w:rsidRPr="00B254FF">
        <w:rPr>
          <w:rFonts w:ascii="Times New Roman" w:hAnsi="Times New Roman" w:cs="Times New Roman"/>
          <w:sz w:val="24"/>
          <w:szCs w:val="24"/>
        </w:rPr>
        <w:t xml:space="preserve"> partilha de bens pelo esforço comum na dissolução do casamento e da união estável; </w:t>
      </w:r>
      <w:r w:rsidR="00B254FF" w:rsidRPr="00B254FF">
        <w:rPr>
          <w:rFonts w:ascii="Times New Roman" w:hAnsi="Times New Roman" w:cs="Times New Roman"/>
          <w:i/>
          <w:iCs/>
          <w:sz w:val="24"/>
          <w:szCs w:val="24"/>
        </w:rPr>
        <w:t>j)</w:t>
      </w:r>
      <w:r w:rsidR="00B254FF" w:rsidRPr="00B254FF">
        <w:rPr>
          <w:rFonts w:ascii="Times New Roman" w:hAnsi="Times New Roman" w:cs="Times New Roman"/>
          <w:sz w:val="24"/>
          <w:szCs w:val="24"/>
        </w:rPr>
        <w:t xml:space="preserve"> fixação de aluguel pelo uso exclusivo de imóvel comum até a partilha no divórcio e na dissolução da união estável; e </w:t>
      </w:r>
      <w:r w:rsidR="00B254FF" w:rsidRPr="00B254FF">
        <w:rPr>
          <w:rFonts w:ascii="Times New Roman" w:hAnsi="Times New Roman" w:cs="Times New Roman"/>
          <w:i/>
          <w:iCs/>
          <w:sz w:val="24"/>
          <w:szCs w:val="24"/>
        </w:rPr>
        <w:t>k)</w:t>
      </w:r>
      <w:r w:rsidR="00B254FF" w:rsidRPr="00B254FF">
        <w:rPr>
          <w:rFonts w:ascii="Times New Roman" w:hAnsi="Times New Roman" w:cs="Times New Roman"/>
          <w:sz w:val="24"/>
          <w:szCs w:val="24"/>
        </w:rPr>
        <w:t xml:space="preserve"> violência doméstica e familiar. </w:t>
      </w:r>
    </w:p>
    <w:p w14:paraId="3239FB1A" w14:textId="02B45A33" w:rsidR="00B254FF" w:rsidRPr="00B254FF" w:rsidRDefault="004945A7" w:rsidP="00B254FF">
      <w:pPr>
        <w:spacing w:before="120" w:after="120" w:line="360" w:lineRule="auto"/>
        <w:ind w:firstLine="1701"/>
        <w:jc w:val="both"/>
        <w:rPr>
          <w:rFonts w:ascii="Times New Roman" w:hAnsi="Times New Roman" w:cs="Times New Roman"/>
          <w:sz w:val="24"/>
          <w:szCs w:val="24"/>
        </w:rPr>
      </w:pPr>
      <w:r>
        <w:rPr>
          <w:rFonts w:ascii="Times New Roman" w:hAnsi="Times New Roman" w:cs="Times New Roman"/>
          <w:sz w:val="24"/>
          <w:szCs w:val="24"/>
        </w:rPr>
        <w:t>Em complemento a essas lições, m</w:t>
      </w:r>
      <w:r w:rsidR="00B254FF" w:rsidRPr="00B254FF">
        <w:rPr>
          <w:rFonts w:ascii="Times New Roman" w:hAnsi="Times New Roman" w:cs="Times New Roman"/>
          <w:sz w:val="24"/>
          <w:szCs w:val="24"/>
        </w:rPr>
        <w:t xml:space="preserve">erece destaque, no texto expresso do </w:t>
      </w:r>
      <w:r w:rsidR="00B254FF" w:rsidRPr="00B254FF">
        <w:rPr>
          <w:rFonts w:ascii="Times New Roman" w:hAnsi="Times New Roman" w:cs="Times New Roman"/>
          <w:i/>
          <w:iCs/>
          <w:sz w:val="24"/>
          <w:szCs w:val="24"/>
        </w:rPr>
        <w:t>protocolo</w:t>
      </w:r>
      <w:r w:rsidR="00826A0C">
        <w:rPr>
          <w:rFonts w:ascii="Times New Roman" w:hAnsi="Times New Roman" w:cs="Times New Roman"/>
          <w:i/>
          <w:iCs/>
          <w:sz w:val="24"/>
          <w:szCs w:val="24"/>
        </w:rPr>
        <w:t>,</w:t>
      </w:r>
      <w:r w:rsidR="00B254FF" w:rsidRPr="00B254FF">
        <w:rPr>
          <w:rFonts w:ascii="Times New Roman" w:hAnsi="Times New Roman" w:cs="Times New Roman"/>
          <w:sz w:val="24"/>
          <w:szCs w:val="24"/>
        </w:rPr>
        <w:t xml:space="preserve"> o seguinte item, que trata da partilha de bens, estando o enunciado aprovado na </w:t>
      </w:r>
      <w:r w:rsidR="00B254FF" w:rsidRPr="00B254FF">
        <w:rPr>
          <w:rFonts w:ascii="Times New Roman" w:hAnsi="Times New Roman" w:cs="Times New Roman"/>
          <w:i/>
          <w:iCs/>
          <w:sz w:val="24"/>
          <w:szCs w:val="24"/>
        </w:rPr>
        <w:t xml:space="preserve">X Jornada </w:t>
      </w:r>
      <w:r w:rsidR="00B254FF" w:rsidRPr="00B254FF">
        <w:rPr>
          <w:rFonts w:ascii="Times New Roman" w:hAnsi="Times New Roman" w:cs="Times New Roman"/>
          <w:sz w:val="24"/>
          <w:szCs w:val="24"/>
        </w:rPr>
        <w:t>em total sintonia com</w:t>
      </w:r>
      <w:r w:rsidR="00826A0C">
        <w:rPr>
          <w:rFonts w:ascii="Times New Roman" w:hAnsi="Times New Roman" w:cs="Times New Roman"/>
          <w:sz w:val="24"/>
          <w:szCs w:val="24"/>
        </w:rPr>
        <w:t xml:space="preserve"> </w:t>
      </w:r>
      <w:r w:rsidR="00B254FF" w:rsidRPr="00B254FF">
        <w:rPr>
          <w:rFonts w:ascii="Times New Roman" w:hAnsi="Times New Roman" w:cs="Times New Roman"/>
          <w:sz w:val="24"/>
          <w:szCs w:val="24"/>
        </w:rPr>
        <w:t xml:space="preserve">o seu conteúdo. </w:t>
      </w:r>
    </w:p>
    <w:p w14:paraId="00A048CF" w14:textId="78B8BEBC" w:rsidR="00F268FD" w:rsidRPr="003F660D" w:rsidRDefault="004945A7" w:rsidP="00B254FF">
      <w:pPr>
        <w:pStyle w:val="t"/>
        <w:spacing w:before="120" w:after="120" w:line="360" w:lineRule="auto"/>
        <w:ind w:left="567" w:firstLine="0"/>
        <w:rPr>
          <w:rFonts w:ascii="Times New Roman" w:hAnsi="Times New Roman" w:cs="Times New Roman"/>
          <w:sz w:val="22"/>
          <w:szCs w:val="22"/>
        </w:rPr>
      </w:pPr>
      <w:r w:rsidRPr="003F660D">
        <w:rPr>
          <w:rFonts w:ascii="Times New Roman" w:hAnsi="Times New Roman" w:cs="Times New Roman"/>
          <w:sz w:val="22"/>
          <w:szCs w:val="22"/>
        </w:rPr>
        <w:t>“</w:t>
      </w:r>
      <w:r w:rsidR="00B254FF" w:rsidRPr="003F660D">
        <w:rPr>
          <w:rFonts w:ascii="Times New Roman" w:hAnsi="Times New Roman" w:cs="Times New Roman"/>
          <w:sz w:val="22"/>
          <w:szCs w:val="22"/>
        </w:rPr>
        <w:t>d.3. Partilha de bens Na partilha dos bens, a ideia preconceituosa e equivocada acerca da divisão sexual do trabalho, na qual homens são sempre os provedores e as mulheres cuidadoras, pode acarretar distorções indesejáveis. Sendo as mulheres ‘incapazes’ de performar no mundo dos negócios, durante o desenvolvimento do litígio, muitas vezes pode-se acreditar na impossibilidade de gerir aluguéis, de ter participação nos lucros em sociedades empresariais ou mesmo de administrá-las</w:t>
      </w:r>
      <w:r w:rsidRPr="003F660D">
        <w:rPr>
          <w:rFonts w:ascii="Times New Roman" w:hAnsi="Times New Roman" w:cs="Times New Roman"/>
          <w:sz w:val="22"/>
          <w:szCs w:val="22"/>
        </w:rPr>
        <w:t>”</w:t>
      </w:r>
      <w:r w:rsidR="00B254FF" w:rsidRPr="003F660D">
        <w:rPr>
          <w:rFonts w:ascii="Times New Roman" w:hAnsi="Times New Roman" w:cs="Times New Roman"/>
          <w:sz w:val="22"/>
          <w:szCs w:val="22"/>
        </w:rPr>
        <w:t>.</w:t>
      </w:r>
      <w:r w:rsidR="0077147A" w:rsidRPr="003F660D">
        <w:rPr>
          <w:rFonts w:ascii="Times New Roman" w:hAnsi="Times New Roman" w:cs="Times New Roman"/>
          <w:sz w:val="22"/>
          <w:szCs w:val="22"/>
        </w:rPr>
        <w:t xml:space="preserve"> </w:t>
      </w:r>
    </w:p>
    <w:p w14:paraId="222545E7" w14:textId="24832F8D" w:rsidR="0077147A" w:rsidRDefault="00B254FF" w:rsidP="00F268FD">
      <w:pPr>
        <w:pStyle w:val="t"/>
        <w:spacing w:before="120" w:after="120" w:line="360" w:lineRule="auto"/>
        <w:ind w:firstLine="1701"/>
        <w:rPr>
          <w:rFonts w:ascii="Times New Roman" w:hAnsi="Times New Roman" w:cs="Times New Roman"/>
          <w:sz w:val="24"/>
          <w:szCs w:val="24"/>
        </w:rPr>
      </w:pPr>
      <w:bookmarkStart w:id="0" w:name="OLE_LINK1"/>
      <w:r>
        <w:rPr>
          <w:rFonts w:ascii="Times New Roman" w:hAnsi="Times New Roman" w:cs="Times New Roman"/>
          <w:sz w:val="24"/>
          <w:szCs w:val="24"/>
        </w:rPr>
        <w:t xml:space="preserve">Acredito que a ementa doutrinária </w:t>
      </w:r>
      <w:r w:rsidR="004945A7">
        <w:rPr>
          <w:rFonts w:ascii="Times New Roman" w:hAnsi="Times New Roman" w:cs="Times New Roman"/>
          <w:sz w:val="24"/>
          <w:szCs w:val="24"/>
        </w:rPr>
        <w:t xml:space="preserve">aprovada </w:t>
      </w:r>
      <w:r>
        <w:rPr>
          <w:rFonts w:ascii="Times New Roman" w:hAnsi="Times New Roman" w:cs="Times New Roman"/>
          <w:sz w:val="24"/>
          <w:szCs w:val="24"/>
        </w:rPr>
        <w:t xml:space="preserve">deve ampliar a sua aplicação nos próximos anos, tendência que já se percebe na jurisprudência, inclusive </w:t>
      </w:r>
      <w:r w:rsidR="004945A7">
        <w:rPr>
          <w:rFonts w:ascii="Times New Roman" w:hAnsi="Times New Roman" w:cs="Times New Roman"/>
          <w:sz w:val="24"/>
          <w:szCs w:val="24"/>
        </w:rPr>
        <w:t>no Superior Tribunal</w:t>
      </w:r>
      <w:r w:rsidR="00826A0C">
        <w:rPr>
          <w:rFonts w:ascii="Times New Roman" w:hAnsi="Times New Roman" w:cs="Times New Roman"/>
          <w:sz w:val="24"/>
          <w:szCs w:val="24"/>
        </w:rPr>
        <w:t xml:space="preserve"> de Justiça</w:t>
      </w:r>
      <w:r w:rsidR="004945A7">
        <w:rPr>
          <w:rFonts w:ascii="Times New Roman" w:hAnsi="Times New Roman" w:cs="Times New Roman"/>
          <w:sz w:val="24"/>
          <w:szCs w:val="24"/>
        </w:rPr>
        <w:t xml:space="preserve">. </w:t>
      </w:r>
    </w:p>
    <w:bookmarkEnd w:id="0"/>
    <w:p w14:paraId="3C464835" w14:textId="62504850" w:rsidR="004945A7" w:rsidRDefault="004945A7" w:rsidP="00D619AB">
      <w:pPr>
        <w:pStyle w:val="t"/>
        <w:spacing w:before="120" w:after="120" w:line="360" w:lineRule="auto"/>
        <w:ind w:firstLine="1701"/>
        <w:rPr>
          <w:rFonts w:ascii="Times New Roman" w:hAnsi="Times New Roman" w:cs="Times New Roman"/>
          <w:sz w:val="24"/>
          <w:szCs w:val="24"/>
        </w:rPr>
      </w:pPr>
      <w:r>
        <w:rPr>
          <w:rFonts w:ascii="Times New Roman" w:hAnsi="Times New Roman" w:cs="Times New Roman"/>
          <w:sz w:val="24"/>
          <w:szCs w:val="24"/>
        </w:rPr>
        <w:t>Como última ementa a ser analisada</w:t>
      </w:r>
      <w:r w:rsidR="003F660D">
        <w:rPr>
          <w:rFonts w:ascii="Times New Roman" w:hAnsi="Times New Roman" w:cs="Times New Roman"/>
          <w:sz w:val="24"/>
          <w:szCs w:val="24"/>
        </w:rPr>
        <w:t xml:space="preserve"> da </w:t>
      </w:r>
      <w:r w:rsidR="003F660D" w:rsidRPr="003F660D">
        <w:rPr>
          <w:rFonts w:ascii="Times New Roman" w:hAnsi="Times New Roman" w:cs="Times New Roman"/>
          <w:i/>
          <w:iCs/>
          <w:sz w:val="24"/>
          <w:szCs w:val="24"/>
        </w:rPr>
        <w:t>X Jornada</w:t>
      </w:r>
      <w:r w:rsidR="003F660D">
        <w:rPr>
          <w:rFonts w:ascii="Times New Roman" w:hAnsi="Times New Roman" w:cs="Times New Roman"/>
          <w:sz w:val="24"/>
          <w:szCs w:val="24"/>
        </w:rPr>
        <w:t xml:space="preserve">, </w:t>
      </w:r>
      <w:r w:rsidR="00D619AB">
        <w:rPr>
          <w:rFonts w:ascii="Times New Roman" w:hAnsi="Times New Roman" w:cs="Times New Roman"/>
          <w:sz w:val="24"/>
          <w:szCs w:val="24"/>
        </w:rPr>
        <w:t xml:space="preserve">a respeito da dissolução do casamento e da união estável, aprovou-se o </w:t>
      </w:r>
      <w:r w:rsidR="00F268FD" w:rsidRPr="00F268FD">
        <w:rPr>
          <w:rFonts w:ascii="Times New Roman" w:hAnsi="Times New Roman" w:cs="Times New Roman"/>
          <w:sz w:val="24"/>
          <w:szCs w:val="24"/>
        </w:rPr>
        <w:t>Enunciado 727</w:t>
      </w:r>
      <w:r w:rsidR="00D619AB">
        <w:rPr>
          <w:rFonts w:ascii="Times New Roman" w:hAnsi="Times New Roman" w:cs="Times New Roman"/>
          <w:sz w:val="24"/>
          <w:szCs w:val="24"/>
        </w:rPr>
        <w:t xml:space="preserve">, </w:t>
      </w:r>
      <w:r w:rsidR="00D619AB" w:rsidRPr="00D619AB">
        <w:rPr>
          <w:rFonts w:ascii="Times New Roman" w:hAnsi="Times New Roman" w:cs="Times New Roman"/>
          <w:i/>
          <w:iCs/>
          <w:sz w:val="24"/>
          <w:szCs w:val="24"/>
        </w:rPr>
        <w:t>in verbis</w:t>
      </w:r>
      <w:r w:rsidR="00D619AB">
        <w:rPr>
          <w:rFonts w:ascii="Times New Roman" w:hAnsi="Times New Roman" w:cs="Times New Roman"/>
          <w:sz w:val="24"/>
          <w:szCs w:val="24"/>
        </w:rPr>
        <w:t>: “a</w:t>
      </w:r>
      <w:r w:rsidR="00F268FD" w:rsidRPr="00F268FD">
        <w:rPr>
          <w:rFonts w:ascii="Times New Roman" w:hAnsi="Times New Roman" w:cs="Times New Roman"/>
          <w:sz w:val="24"/>
          <w:szCs w:val="24"/>
        </w:rPr>
        <w:t xml:space="preserve"> sobrepartilha decorrente da dissolução do casamento ou da</w:t>
      </w:r>
      <w:r w:rsidR="0077147A">
        <w:rPr>
          <w:rFonts w:ascii="Times New Roman" w:hAnsi="Times New Roman" w:cs="Times New Roman"/>
          <w:sz w:val="24"/>
          <w:szCs w:val="24"/>
        </w:rPr>
        <w:t xml:space="preserve"> </w:t>
      </w:r>
      <w:r w:rsidR="00F268FD" w:rsidRPr="00F268FD">
        <w:rPr>
          <w:rFonts w:ascii="Times New Roman" w:hAnsi="Times New Roman" w:cs="Times New Roman"/>
          <w:sz w:val="24"/>
          <w:szCs w:val="24"/>
        </w:rPr>
        <w:t>união estável não se presta à rediscussão de partilha amigável válida, que depende de ação própria</w:t>
      </w:r>
      <w:r w:rsidR="00D619AB">
        <w:rPr>
          <w:rFonts w:ascii="Times New Roman" w:hAnsi="Times New Roman" w:cs="Times New Roman"/>
          <w:sz w:val="24"/>
          <w:szCs w:val="24"/>
        </w:rPr>
        <w:t>”</w:t>
      </w:r>
      <w:r w:rsidR="00F268FD" w:rsidRPr="00F268FD">
        <w:rPr>
          <w:rFonts w:ascii="Times New Roman" w:hAnsi="Times New Roman" w:cs="Times New Roman"/>
          <w:sz w:val="24"/>
          <w:szCs w:val="24"/>
        </w:rPr>
        <w:t>.</w:t>
      </w:r>
      <w:r w:rsidR="00D619AB">
        <w:rPr>
          <w:rFonts w:ascii="Times New Roman" w:hAnsi="Times New Roman" w:cs="Times New Roman"/>
          <w:sz w:val="24"/>
          <w:szCs w:val="24"/>
        </w:rPr>
        <w:t xml:space="preserve"> </w:t>
      </w:r>
      <w:r>
        <w:rPr>
          <w:rFonts w:ascii="Times New Roman" w:hAnsi="Times New Roman" w:cs="Times New Roman"/>
          <w:sz w:val="24"/>
          <w:szCs w:val="24"/>
        </w:rPr>
        <w:t xml:space="preserve">Vejamos o que </w:t>
      </w:r>
      <w:r>
        <w:rPr>
          <w:rFonts w:ascii="Times New Roman" w:hAnsi="Times New Roman" w:cs="Times New Roman"/>
          <w:sz w:val="24"/>
          <w:szCs w:val="24"/>
        </w:rPr>
        <w:lastRenderedPageBreak/>
        <w:t xml:space="preserve">constou das </w:t>
      </w:r>
      <w:r w:rsidR="00D619AB">
        <w:rPr>
          <w:rFonts w:ascii="Times New Roman" w:hAnsi="Times New Roman" w:cs="Times New Roman"/>
          <w:sz w:val="24"/>
          <w:szCs w:val="24"/>
        </w:rPr>
        <w:t>suas justificativas</w:t>
      </w:r>
      <w:r>
        <w:rPr>
          <w:rFonts w:ascii="Times New Roman" w:hAnsi="Times New Roman" w:cs="Times New Roman"/>
          <w:sz w:val="24"/>
          <w:szCs w:val="24"/>
        </w:rPr>
        <w:t xml:space="preserve">, para os devidos fins de elucidação: </w:t>
      </w:r>
    </w:p>
    <w:p w14:paraId="33374557" w14:textId="663FE522" w:rsidR="00D619AB" w:rsidRPr="003F660D" w:rsidRDefault="00D619AB" w:rsidP="003F660D">
      <w:pPr>
        <w:pStyle w:val="t"/>
        <w:spacing w:before="120" w:after="120" w:line="360" w:lineRule="auto"/>
        <w:ind w:left="567" w:firstLine="0"/>
        <w:rPr>
          <w:rFonts w:ascii="Times New Roman" w:hAnsi="Times New Roman" w:cs="Times New Roman"/>
          <w:sz w:val="22"/>
          <w:szCs w:val="22"/>
        </w:rPr>
      </w:pPr>
      <w:r>
        <w:rPr>
          <w:rFonts w:ascii="Times New Roman" w:hAnsi="Times New Roman" w:cs="Times New Roman"/>
          <w:sz w:val="24"/>
          <w:szCs w:val="24"/>
        </w:rPr>
        <w:t>“</w:t>
      </w:r>
      <w:r w:rsidR="004945A7" w:rsidRPr="003F660D">
        <w:rPr>
          <w:rFonts w:ascii="Times New Roman" w:hAnsi="Times New Roman" w:cs="Times New Roman"/>
          <w:sz w:val="22"/>
          <w:szCs w:val="22"/>
        </w:rPr>
        <w:t>A</w:t>
      </w:r>
      <w:r w:rsidRPr="003F660D">
        <w:rPr>
          <w:rFonts w:ascii="Times New Roman" w:hAnsi="Times New Roman" w:cs="Times New Roman"/>
          <w:sz w:val="22"/>
          <w:szCs w:val="22"/>
        </w:rPr>
        <w:t xml:space="preserve"> proposta explicita a distinção, já reconhecida pelo sistema, entre sobrepartilha e invalidação da partilha anterior. À luz do art. 2.022 do Código Civil, a sobrepartilha destina-se aos bens omitidos, sonegados ou litigiosos de solução superveniente, sem rescindir a partilha já homologada. A redação se alinha ao Enunciado 612 do CJF, que disciplina o prazo legal da pretensão anulatória da partilha amigável judicial, e ao Enunciado 255, ao preservar a autonomia entre dissolução do vínculo e definição patrimonial. No STJ, a orientação converge: a Corte admite a partilha de bens descobertos ou ocultados no curso da dissolução da união estável e afirma, em sua jurisprudência, que a sobrepartilha complementa a partilha sem anulá-la; havendo vício de vontade, a rediscussão exige ação invalidatória própria, sujeita ao prazo legal correspondente. O enunciado evita a confusão entre complementação patrimonial e desconstituição negocial, reforça a segurança jurídica e impede o uso da sobrepartilha como atalho para reabrir partilha amigável válida”. </w:t>
      </w:r>
    </w:p>
    <w:p w14:paraId="379E3DE2" w14:textId="77777777" w:rsidR="00D619AB" w:rsidRDefault="00D619AB" w:rsidP="00D619AB">
      <w:pPr>
        <w:pStyle w:val="t"/>
        <w:spacing w:before="120" w:after="120" w:line="360" w:lineRule="auto"/>
        <w:ind w:firstLine="1701"/>
        <w:rPr>
          <w:rFonts w:ascii="Times New Roman" w:hAnsi="Times New Roman" w:cs="Times New Roman"/>
          <w:sz w:val="24"/>
          <w:szCs w:val="24"/>
        </w:rPr>
      </w:pPr>
      <w:r>
        <w:rPr>
          <w:rFonts w:ascii="Times New Roman" w:hAnsi="Times New Roman" w:cs="Times New Roman"/>
          <w:sz w:val="24"/>
          <w:szCs w:val="24"/>
        </w:rPr>
        <w:t xml:space="preserve">Como se pode perceber, a nova ementa complementa dois outros enunciados aprovados em </w:t>
      </w:r>
      <w:r w:rsidRPr="00D619AB">
        <w:rPr>
          <w:rFonts w:ascii="Times New Roman" w:hAnsi="Times New Roman" w:cs="Times New Roman"/>
          <w:i/>
          <w:iCs/>
          <w:sz w:val="24"/>
          <w:szCs w:val="24"/>
        </w:rPr>
        <w:t xml:space="preserve">Jornadas </w:t>
      </w:r>
      <w:r>
        <w:rPr>
          <w:rFonts w:ascii="Times New Roman" w:hAnsi="Times New Roman" w:cs="Times New Roman"/>
          <w:sz w:val="24"/>
          <w:szCs w:val="24"/>
        </w:rPr>
        <w:t xml:space="preserve">anteriores. Da </w:t>
      </w:r>
      <w:r w:rsidRPr="00D619AB">
        <w:rPr>
          <w:rFonts w:ascii="Times New Roman" w:hAnsi="Times New Roman" w:cs="Times New Roman"/>
          <w:i/>
          <w:iCs/>
          <w:sz w:val="24"/>
          <w:szCs w:val="24"/>
        </w:rPr>
        <w:t>VII Jornada de Direito Civil</w:t>
      </w:r>
      <w:r>
        <w:rPr>
          <w:rFonts w:ascii="Times New Roman" w:hAnsi="Times New Roman" w:cs="Times New Roman"/>
          <w:sz w:val="24"/>
          <w:szCs w:val="24"/>
        </w:rPr>
        <w:t xml:space="preserve">, o </w:t>
      </w:r>
      <w:r w:rsidRPr="00D619AB">
        <w:rPr>
          <w:rFonts w:ascii="Times New Roman" w:hAnsi="Times New Roman" w:cs="Times New Roman"/>
          <w:sz w:val="24"/>
          <w:szCs w:val="24"/>
        </w:rPr>
        <w:t>Enunciado 612</w:t>
      </w:r>
      <w:r>
        <w:rPr>
          <w:rFonts w:ascii="Times New Roman" w:hAnsi="Times New Roman" w:cs="Times New Roman"/>
          <w:sz w:val="24"/>
          <w:szCs w:val="24"/>
        </w:rPr>
        <w:t xml:space="preserve"> estabelece o seguinte: “o</w:t>
      </w:r>
      <w:r w:rsidRPr="00D619AB">
        <w:rPr>
          <w:rFonts w:ascii="Times New Roman" w:hAnsi="Times New Roman" w:cs="Times New Roman"/>
          <w:sz w:val="24"/>
          <w:szCs w:val="24"/>
        </w:rPr>
        <w:t xml:space="preserve"> prazo para exercer o direito de anular a partilha amigável judicial, decorrente de dissolução de sociedade conjugal ou de união estável, extingue-se em 1 (um) ano da data do trânsito em julgado da sentença homologatória, consoante dispõem o art. 2.027, parágrafo único, do Código Civil de 2002, e o art. 1.029, parágrafo único, do Código de Processo Civil (art. 657, parágrafo único, do Novo CPC)</w:t>
      </w:r>
      <w:r>
        <w:rPr>
          <w:rFonts w:ascii="Times New Roman" w:hAnsi="Times New Roman" w:cs="Times New Roman"/>
          <w:sz w:val="24"/>
          <w:szCs w:val="24"/>
        </w:rPr>
        <w:t>”</w:t>
      </w:r>
      <w:r w:rsidRPr="00D619AB">
        <w:rPr>
          <w:rFonts w:ascii="Times New Roman" w:hAnsi="Times New Roman" w:cs="Times New Roman"/>
          <w:sz w:val="24"/>
          <w:szCs w:val="24"/>
        </w:rPr>
        <w:t>.</w:t>
      </w:r>
      <w:r>
        <w:rPr>
          <w:rFonts w:ascii="Times New Roman" w:hAnsi="Times New Roman" w:cs="Times New Roman"/>
          <w:sz w:val="24"/>
          <w:szCs w:val="24"/>
        </w:rPr>
        <w:t xml:space="preserve"> Já da </w:t>
      </w:r>
      <w:r w:rsidRPr="00D619AB">
        <w:rPr>
          <w:rFonts w:ascii="Times New Roman" w:hAnsi="Times New Roman" w:cs="Times New Roman"/>
          <w:i/>
          <w:iCs/>
          <w:sz w:val="24"/>
          <w:szCs w:val="24"/>
        </w:rPr>
        <w:t>III Jornada de Direito Civil</w:t>
      </w:r>
      <w:r>
        <w:rPr>
          <w:rFonts w:ascii="Times New Roman" w:hAnsi="Times New Roman" w:cs="Times New Roman"/>
          <w:sz w:val="24"/>
          <w:szCs w:val="24"/>
        </w:rPr>
        <w:t xml:space="preserve">, o </w:t>
      </w:r>
      <w:r w:rsidRPr="00D619AB">
        <w:rPr>
          <w:rFonts w:ascii="Times New Roman" w:hAnsi="Times New Roman" w:cs="Times New Roman"/>
          <w:sz w:val="24"/>
          <w:szCs w:val="24"/>
        </w:rPr>
        <w:t>Enunciado 255</w:t>
      </w:r>
      <w:r>
        <w:rPr>
          <w:rFonts w:ascii="Times New Roman" w:hAnsi="Times New Roman" w:cs="Times New Roman"/>
          <w:sz w:val="24"/>
          <w:szCs w:val="24"/>
        </w:rPr>
        <w:t>, com a necessidade de agora se considerar o divórcio, “n</w:t>
      </w:r>
      <w:r w:rsidRPr="00D619AB">
        <w:rPr>
          <w:rFonts w:ascii="Times New Roman" w:hAnsi="Times New Roman" w:cs="Times New Roman"/>
          <w:sz w:val="24"/>
          <w:szCs w:val="24"/>
        </w:rPr>
        <w:t>ão é obrigatória a partilha de bens na separação judicial</w:t>
      </w:r>
      <w:r>
        <w:rPr>
          <w:rFonts w:ascii="Times New Roman" w:hAnsi="Times New Roman" w:cs="Times New Roman"/>
          <w:sz w:val="24"/>
          <w:szCs w:val="24"/>
        </w:rPr>
        <w:t>”</w:t>
      </w:r>
      <w:r w:rsidRPr="00D619AB">
        <w:rPr>
          <w:rFonts w:ascii="Times New Roman" w:hAnsi="Times New Roman" w:cs="Times New Roman"/>
          <w:sz w:val="24"/>
          <w:szCs w:val="24"/>
        </w:rPr>
        <w:t>.</w:t>
      </w:r>
      <w:r>
        <w:rPr>
          <w:rFonts w:ascii="Times New Roman" w:hAnsi="Times New Roman" w:cs="Times New Roman"/>
          <w:sz w:val="24"/>
          <w:szCs w:val="24"/>
        </w:rPr>
        <w:t xml:space="preserve">  </w:t>
      </w:r>
    </w:p>
    <w:p w14:paraId="488E2F0C" w14:textId="4A8B826A" w:rsidR="00D619AB" w:rsidRPr="00D619AB" w:rsidRDefault="00D619AB" w:rsidP="00D619AB">
      <w:pPr>
        <w:pStyle w:val="t"/>
        <w:spacing w:before="120" w:after="120" w:line="360" w:lineRule="auto"/>
        <w:ind w:firstLine="1701"/>
        <w:rPr>
          <w:rFonts w:ascii="Times New Roman" w:hAnsi="Times New Roman" w:cs="Times New Roman"/>
          <w:sz w:val="24"/>
          <w:szCs w:val="24"/>
        </w:rPr>
      </w:pPr>
      <w:r>
        <w:rPr>
          <w:rFonts w:ascii="Times New Roman" w:hAnsi="Times New Roman" w:cs="Times New Roman"/>
          <w:sz w:val="24"/>
          <w:szCs w:val="24"/>
        </w:rPr>
        <w:t>Constata-se, portanto, que</w:t>
      </w:r>
      <w:r w:rsidR="00826A0C">
        <w:rPr>
          <w:rFonts w:ascii="Times New Roman" w:hAnsi="Times New Roman" w:cs="Times New Roman"/>
          <w:sz w:val="24"/>
          <w:szCs w:val="24"/>
        </w:rPr>
        <w:t>,</w:t>
      </w:r>
      <w:r>
        <w:rPr>
          <w:rFonts w:ascii="Times New Roman" w:hAnsi="Times New Roman" w:cs="Times New Roman"/>
          <w:sz w:val="24"/>
          <w:szCs w:val="24"/>
        </w:rPr>
        <w:t xml:space="preserve"> assim como os enunciados anteriores, também este segue a linha majoritária da doutrina e da jurisprudência</w:t>
      </w:r>
      <w:r w:rsidR="004945A7">
        <w:rPr>
          <w:rFonts w:ascii="Times New Roman" w:hAnsi="Times New Roman" w:cs="Times New Roman"/>
          <w:sz w:val="24"/>
          <w:szCs w:val="24"/>
        </w:rPr>
        <w:t xml:space="preserve">, consolidando uma importante posição a ser seguida na prática, e cumprindo com as finalidades das </w:t>
      </w:r>
      <w:r w:rsidR="004945A7" w:rsidRPr="000E339F">
        <w:rPr>
          <w:rFonts w:ascii="Times New Roman" w:hAnsi="Times New Roman" w:cs="Times New Roman"/>
          <w:i/>
          <w:iCs/>
          <w:sz w:val="24"/>
          <w:szCs w:val="24"/>
        </w:rPr>
        <w:t>Jornadas de Direito Civil</w:t>
      </w:r>
      <w:r w:rsidR="004945A7">
        <w:rPr>
          <w:rFonts w:ascii="Times New Roman" w:hAnsi="Times New Roman" w:cs="Times New Roman"/>
          <w:sz w:val="24"/>
          <w:szCs w:val="24"/>
        </w:rPr>
        <w:t xml:space="preserve"> como </w:t>
      </w:r>
      <w:r w:rsidR="003F660D">
        <w:rPr>
          <w:rFonts w:ascii="Times New Roman" w:hAnsi="Times New Roman" w:cs="Times New Roman"/>
          <w:sz w:val="24"/>
          <w:szCs w:val="24"/>
        </w:rPr>
        <w:t xml:space="preserve">os </w:t>
      </w:r>
      <w:r w:rsidR="004945A7">
        <w:rPr>
          <w:rFonts w:ascii="Times New Roman" w:hAnsi="Times New Roman" w:cs="Times New Roman"/>
          <w:sz w:val="24"/>
          <w:szCs w:val="24"/>
        </w:rPr>
        <w:t xml:space="preserve">mais importantes eventos do Direito Privado Brasileiro. </w:t>
      </w:r>
      <w:r>
        <w:rPr>
          <w:rFonts w:ascii="Times New Roman" w:hAnsi="Times New Roman" w:cs="Times New Roman"/>
          <w:sz w:val="24"/>
          <w:szCs w:val="24"/>
        </w:rPr>
        <w:t xml:space="preserve"> </w:t>
      </w:r>
      <w:r w:rsidR="003F660D">
        <w:rPr>
          <w:rFonts w:ascii="Times New Roman" w:hAnsi="Times New Roman" w:cs="Times New Roman"/>
          <w:sz w:val="24"/>
          <w:szCs w:val="24"/>
        </w:rPr>
        <w:t xml:space="preserve">Na minha próxima coluna, seguirei na análise de outras propostas aprovadas nessa </w:t>
      </w:r>
      <w:r w:rsidR="003F660D" w:rsidRPr="003F660D">
        <w:rPr>
          <w:rFonts w:ascii="Times New Roman" w:hAnsi="Times New Roman" w:cs="Times New Roman"/>
          <w:i/>
          <w:iCs/>
          <w:sz w:val="24"/>
          <w:szCs w:val="24"/>
        </w:rPr>
        <w:t xml:space="preserve">X Jornada. </w:t>
      </w:r>
    </w:p>
    <w:p w14:paraId="655E85B7" w14:textId="77777777" w:rsidR="00F268FD" w:rsidRPr="00F268FD" w:rsidRDefault="00F268FD" w:rsidP="00F268FD">
      <w:pPr>
        <w:rPr>
          <w:lang w:eastAsia="pt-BR"/>
        </w:rPr>
      </w:pPr>
    </w:p>
    <w:sectPr w:rsidR="00F268FD" w:rsidRPr="00F268FD" w:rsidSect="007F14FB">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5ED4B" w14:textId="77777777" w:rsidR="00401CF1" w:rsidRPr="00506A24" w:rsidRDefault="00401CF1" w:rsidP="00B15AD0">
      <w:pPr>
        <w:spacing w:after="0" w:line="240" w:lineRule="auto"/>
      </w:pPr>
      <w:r w:rsidRPr="00506A24">
        <w:separator/>
      </w:r>
    </w:p>
  </w:endnote>
  <w:endnote w:type="continuationSeparator" w:id="0">
    <w:p w14:paraId="685674B8" w14:textId="77777777" w:rsidR="00401CF1" w:rsidRPr="00506A24" w:rsidRDefault="00401CF1" w:rsidP="00B15AD0">
      <w:pPr>
        <w:spacing w:after="0" w:line="240" w:lineRule="auto"/>
      </w:pPr>
      <w:r w:rsidRPr="00506A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Calibri"/>
    <w:charset w:val="00"/>
    <w:family w:val="auto"/>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MyriadPro-Regular">
    <w:altName w:val="Malgun Gothic"/>
    <w:panose1 w:val="00000000000000000000"/>
    <w:charset w:val="00"/>
    <w:family w:val="auto"/>
    <w:notTrueType/>
    <w:pitch w:val="default"/>
    <w:sig w:usb0="00000003" w:usb1="00000000" w:usb2="00000000" w:usb3="00000000" w:csb0="00000001" w:csb1="00000000"/>
  </w:font>
  <w:font w:name="Arial MT">
    <w:altName w:val="Arial"/>
    <w:charset w:val="01"/>
    <w:family w:val="swiss"/>
    <w:pitch w:val="variable"/>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3DA6A" w14:textId="77777777" w:rsidR="003F660D" w:rsidRDefault="003F660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9919016"/>
      <w:docPartObj>
        <w:docPartGallery w:val="Page Numbers (Bottom of Page)"/>
        <w:docPartUnique/>
      </w:docPartObj>
    </w:sdtPr>
    <w:sdtEndPr/>
    <w:sdtContent>
      <w:p w14:paraId="5C9B0961" w14:textId="1488891B" w:rsidR="00313722" w:rsidRPr="00506A24" w:rsidRDefault="00B06309">
        <w:pPr>
          <w:pStyle w:val="Rodap"/>
          <w:jc w:val="right"/>
        </w:pPr>
        <w:r w:rsidRPr="00506A24">
          <w:fldChar w:fldCharType="begin"/>
        </w:r>
        <w:r w:rsidRPr="00506A24">
          <w:instrText xml:space="preserve"> PAGE   \* MERGEFORMAT </w:instrText>
        </w:r>
        <w:r w:rsidRPr="00506A24">
          <w:fldChar w:fldCharType="separate"/>
        </w:r>
        <w:r w:rsidR="009F5F3F">
          <w:rPr>
            <w:noProof/>
          </w:rPr>
          <w:t>1</w:t>
        </w:r>
        <w:r w:rsidRPr="00506A24">
          <w:fldChar w:fldCharType="end"/>
        </w:r>
      </w:p>
    </w:sdtContent>
  </w:sdt>
  <w:p w14:paraId="42C3C8E5" w14:textId="77777777" w:rsidR="00313722" w:rsidRPr="00506A24" w:rsidRDefault="00313722">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5368E" w14:textId="77777777" w:rsidR="003F660D" w:rsidRDefault="003F660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CB2A4" w14:textId="77777777" w:rsidR="00401CF1" w:rsidRPr="00506A24" w:rsidRDefault="00401CF1" w:rsidP="00B15AD0">
      <w:pPr>
        <w:spacing w:after="0" w:line="240" w:lineRule="auto"/>
      </w:pPr>
      <w:r w:rsidRPr="00506A24">
        <w:separator/>
      </w:r>
    </w:p>
  </w:footnote>
  <w:footnote w:type="continuationSeparator" w:id="0">
    <w:p w14:paraId="14CCFBAF" w14:textId="77777777" w:rsidR="00401CF1" w:rsidRPr="00506A24" w:rsidRDefault="00401CF1" w:rsidP="00B15AD0">
      <w:pPr>
        <w:spacing w:after="0" w:line="240" w:lineRule="auto"/>
      </w:pPr>
      <w:r w:rsidRPr="00506A24">
        <w:continuationSeparator/>
      </w:r>
    </w:p>
  </w:footnote>
  <w:footnote w:id="1">
    <w:p w14:paraId="1C5C5CE1" w14:textId="77777777" w:rsidR="00313722" w:rsidRPr="00197971" w:rsidRDefault="00313722" w:rsidP="00B15AD0">
      <w:pPr>
        <w:pStyle w:val="Textodenotaderodap"/>
        <w:jc w:val="both"/>
      </w:pPr>
      <w:r w:rsidRPr="00506A24">
        <w:rPr>
          <w:rStyle w:val="Refdenotaderodap"/>
        </w:rPr>
        <w:footnoteRef/>
      </w:r>
      <w:r w:rsidRPr="00506A24">
        <w:t xml:space="preserve"> Pós-Doutor e Doutor em Direito Civil pela USP. Mestre em Direito Civil Comparado pela PUCSP. Professor Titular permanente e coordenador do mestrado da Escola Paulista de Direito (EPD). Professor e coordenador dos cursos de pós-graduação </w:t>
      </w:r>
      <w:r w:rsidRPr="00506A24">
        <w:rPr>
          <w:i/>
        </w:rPr>
        <w:t>lato sensu</w:t>
      </w:r>
      <w:r w:rsidRPr="00506A24">
        <w:t xml:space="preserve"> em Direito Privado da EPD. Relator do Projeto de Reforma do Código Civil. Primeiro Presidente e Fundador do Instituto Brasileiro de Direito Contratual (IBDCONT). Conselheiro Federal da OAB, pela OABSP. Advogado em São Paulo, parecerista, árbitro e consultor jurídico.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473FC" w14:textId="77777777" w:rsidR="003F660D" w:rsidRDefault="003F660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AC282" w14:textId="77777777" w:rsidR="003F660D" w:rsidRDefault="003F660D">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E6001" w14:textId="77777777" w:rsidR="003F660D" w:rsidRDefault="003F660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66753"/>
    <w:multiLevelType w:val="hybridMultilevel"/>
    <w:tmpl w:val="54162384"/>
    <w:lvl w:ilvl="0" w:tplc="F97CC47C">
      <w:start w:val="1"/>
      <w:numFmt w:val="decimal"/>
      <w:lvlText w:val="%1)"/>
      <w:lvlJc w:val="left"/>
      <w:pPr>
        <w:ind w:left="1020" w:hanging="360"/>
      </w:pPr>
    </w:lvl>
    <w:lvl w:ilvl="1" w:tplc="4D3C6446">
      <w:start w:val="1"/>
      <w:numFmt w:val="decimal"/>
      <w:lvlText w:val="%2)"/>
      <w:lvlJc w:val="left"/>
      <w:pPr>
        <w:ind w:left="1020" w:hanging="360"/>
      </w:pPr>
    </w:lvl>
    <w:lvl w:ilvl="2" w:tplc="579EAB1A">
      <w:start w:val="1"/>
      <w:numFmt w:val="decimal"/>
      <w:lvlText w:val="%3)"/>
      <w:lvlJc w:val="left"/>
      <w:pPr>
        <w:ind w:left="1020" w:hanging="360"/>
      </w:pPr>
    </w:lvl>
    <w:lvl w:ilvl="3" w:tplc="952E9B12">
      <w:start w:val="1"/>
      <w:numFmt w:val="decimal"/>
      <w:lvlText w:val="%4)"/>
      <w:lvlJc w:val="left"/>
      <w:pPr>
        <w:ind w:left="1020" w:hanging="360"/>
      </w:pPr>
    </w:lvl>
    <w:lvl w:ilvl="4" w:tplc="6D360AEA">
      <w:start w:val="1"/>
      <w:numFmt w:val="decimal"/>
      <w:lvlText w:val="%5)"/>
      <w:lvlJc w:val="left"/>
      <w:pPr>
        <w:ind w:left="1020" w:hanging="360"/>
      </w:pPr>
    </w:lvl>
    <w:lvl w:ilvl="5" w:tplc="2E0E23EA">
      <w:start w:val="1"/>
      <w:numFmt w:val="decimal"/>
      <w:lvlText w:val="%6)"/>
      <w:lvlJc w:val="left"/>
      <w:pPr>
        <w:ind w:left="1020" w:hanging="360"/>
      </w:pPr>
    </w:lvl>
    <w:lvl w:ilvl="6" w:tplc="4BD0F8E6">
      <w:start w:val="1"/>
      <w:numFmt w:val="decimal"/>
      <w:lvlText w:val="%7)"/>
      <w:lvlJc w:val="left"/>
      <w:pPr>
        <w:ind w:left="1020" w:hanging="360"/>
      </w:pPr>
    </w:lvl>
    <w:lvl w:ilvl="7" w:tplc="4296E6EA">
      <w:start w:val="1"/>
      <w:numFmt w:val="decimal"/>
      <w:lvlText w:val="%8)"/>
      <w:lvlJc w:val="left"/>
      <w:pPr>
        <w:ind w:left="1020" w:hanging="360"/>
      </w:pPr>
    </w:lvl>
    <w:lvl w:ilvl="8" w:tplc="3DD4651E">
      <w:start w:val="1"/>
      <w:numFmt w:val="decimal"/>
      <w:lvlText w:val="%9)"/>
      <w:lvlJc w:val="left"/>
      <w:pPr>
        <w:ind w:left="1020" w:hanging="360"/>
      </w:pPr>
    </w:lvl>
  </w:abstractNum>
  <w:abstractNum w:abstractNumId="1" w15:restartNumberingAfterBreak="0">
    <w:nsid w:val="6C6E78FF"/>
    <w:multiLevelType w:val="hybridMultilevel"/>
    <w:tmpl w:val="3A94B62E"/>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num w:numId="1" w16cid:durableId="297148060">
    <w:abstractNumId w:val="1"/>
  </w:num>
  <w:num w:numId="2" w16cid:durableId="1543399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84D"/>
    <w:rsid w:val="00002059"/>
    <w:rsid w:val="00004278"/>
    <w:rsid w:val="00010B62"/>
    <w:rsid w:val="00012D24"/>
    <w:rsid w:val="00013106"/>
    <w:rsid w:val="00014A13"/>
    <w:rsid w:val="000163F9"/>
    <w:rsid w:val="000165B6"/>
    <w:rsid w:val="0002246D"/>
    <w:rsid w:val="000272D3"/>
    <w:rsid w:val="00042DD9"/>
    <w:rsid w:val="0006022B"/>
    <w:rsid w:val="000618D8"/>
    <w:rsid w:val="00061D0E"/>
    <w:rsid w:val="00061D24"/>
    <w:rsid w:val="00061D89"/>
    <w:rsid w:val="00065809"/>
    <w:rsid w:val="00071A54"/>
    <w:rsid w:val="00081B5A"/>
    <w:rsid w:val="00081F89"/>
    <w:rsid w:val="00084038"/>
    <w:rsid w:val="00090984"/>
    <w:rsid w:val="00091C4D"/>
    <w:rsid w:val="00092468"/>
    <w:rsid w:val="000967F8"/>
    <w:rsid w:val="000A0500"/>
    <w:rsid w:val="000A1BE1"/>
    <w:rsid w:val="000A1DAE"/>
    <w:rsid w:val="000A20A3"/>
    <w:rsid w:val="000A4AFE"/>
    <w:rsid w:val="000A6A8E"/>
    <w:rsid w:val="000B00D7"/>
    <w:rsid w:val="000B0D00"/>
    <w:rsid w:val="000B199E"/>
    <w:rsid w:val="000B3C12"/>
    <w:rsid w:val="000B4F9A"/>
    <w:rsid w:val="000B6EDD"/>
    <w:rsid w:val="000C0579"/>
    <w:rsid w:val="000C5F8E"/>
    <w:rsid w:val="000D4EB5"/>
    <w:rsid w:val="000D5EE0"/>
    <w:rsid w:val="000D6AB7"/>
    <w:rsid w:val="000D7B84"/>
    <w:rsid w:val="000E339F"/>
    <w:rsid w:val="000E69A0"/>
    <w:rsid w:val="000E76DF"/>
    <w:rsid w:val="000E7C7A"/>
    <w:rsid w:val="000F397F"/>
    <w:rsid w:val="00101681"/>
    <w:rsid w:val="00103B8D"/>
    <w:rsid w:val="001115BE"/>
    <w:rsid w:val="001164E8"/>
    <w:rsid w:val="00121038"/>
    <w:rsid w:val="001257FC"/>
    <w:rsid w:val="00127619"/>
    <w:rsid w:val="00130044"/>
    <w:rsid w:val="0013242A"/>
    <w:rsid w:val="001348B6"/>
    <w:rsid w:val="00140F1A"/>
    <w:rsid w:val="001431C6"/>
    <w:rsid w:val="0014589B"/>
    <w:rsid w:val="00147FD2"/>
    <w:rsid w:val="0015250A"/>
    <w:rsid w:val="00154A54"/>
    <w:rsid w:val="00155FF7"/>
    <w:rsid w:val="0015785B"/>
    <w:rsid w:val="001604A2"/>
    <w:rsid w:val="00162445"/>
    <w:rsid w:val="00163219"/>
    <w:rsid w:val="0017096B"/>
    <w:rsid w:val="00174761"/>
    <w:rsid w:val="00176E7D"/>
    <w:rsid w:val="001A1246"/>
    <w:rsid w:val="001A33D9"/>
    <w:rsid w:val="001A3BB7"/>
    <w:rsid w:val="001A3C52"/>
    <w:rsid w:val="001B0CD7"/>
    <w:rsid w:val="001B36E1"/>
    <w:rsid w:val="001B45D7"/>
    <w:rsid w:val="001B648E"/>
    <w:rsid w:val="001C0743"/>
    <w:rsid w:val="001C0BF5"/>
    <w:rsid w:val="001C20B6"/>
    <w:rsid w:val="001C3F9C"/>
    <w:rsid w:val="001D10F0"/>
    <w:rsid w:val="001D23C5"/>
    <w:rsid w:val="001D248B"/>
    <w:rsid w:val="001D26B5"/>
    <w:rsid w:val="001D2D3A"/>
    <w:rsid w:val="001D2FCE"/>
    <w:rsid w:val="001D4C59"/>
    <w:rsid w:val="001E3A72"/>
    <w:rsid w:val="001E5FD0"/>
    <w:rsid w:val="001F0B30"/>
    <w:rsid w:val="001F7416"/>
    <w:rsid w:val="00204797"/>
    <w:rsid w:val="00205620"/>
    <w:rsid w:val="002057D0"/>
    <w:rsid w:val="00216BE4"/>
    <w:rsid w:val="002173DE"/>
    <w:rsid w:val="00223883"/>
    <w:rsid w:val="00226F9E"/>
    <w:rsid w:val="00227988"/>
    <w:rsid w:val="00231DBA"/>
    <w:rsid w:val="00231DCF"/>
    <w:rsid w:val="00234405"/>
    <w:rsid w:val="00240103"/>
    <w:rsid w:val="00240B32"/>
    <w:rsid w:val="002628DD"/>
    <w:rsid w:val="0027030E"/>
    <w:rsid w:val="00270AAC"/>
    <w:rsid w:val="00275DC5"/>
    <w:rsid w:val="0027678B"/>
    <w:rsid w:val="00276D6A"/>
    <w:rsid w:val="0027700F"/>
    <w:rsid w:val="002809A2"/>
    <w:rsid w:val="00283304"/>
    <w:rsid w:val="00283C6E"/>
    <w:rsid w:val="0028639A"/>
    <w:rsid w:val="002876ED"/>
    <w:rsid w:val="00295705"/>
    <w:rsid w:val="00295C84"/>
    <w:rsid w:val="00296B3B"/>
    <w:rsid w:val="00297F8D"/>
    <w:rsid w:val="002A1A09"/>
    <w:rsid w:val="002A471D"/>
    <w:rsid w:val="002A4A94"/>
    <w:rsid w:val="002A60FF"/>
    <w:rsid w:val="002B12EB"/>
    <w:rsid w:val="002B7539"/>
    <w:rsid w:val="002B77B1"/>
    <w:rsid w:val="002B7E62"/>
    <w:rsid w:val="002C0424"/>
    <w:rsid w:val="002C20BD"/>
    <w:rsid w:val="002C5F94"/>
    <w:rsid w:val="002D2CA8"/>
    <w:rsid w:val="002D7126"/>
    <w:rsid w:val="002D75F5"/>
    <w:rsid w:val="002E06BF"/>
    <w:rsid w:val="002E0A51"/>
    <w:rsid w:val="002E174E"/>
    <w:rsid w:val="002E1E6F"/>
    <w:rsid w:val="002E2013"/>
    <w:rsid w:val="002F013F"/>
    <w:rsid w:val="002F1032"/>
    <w:rsid w:val="002F1121"/>
    <w:rsid w:val="002F1277"/>
    <w:rsid w:val="002F6BCE"/>
    <w:rsid w:val="003045A4"/>
    <w:rsid w:val="003079E0"/>
    <w:rsid w:val="00310780"/>
    <w:rsid w:val="00311DC8"/>
    <w:rsid w:val="00313722"/>
    <w:rsid w:val="003156EB"/>
    <w:rsid w:val="00316B68"/>
    <w:rsid w:val="00325274"/>
    <w:rsid w:val="0032631E"/>
    <w:rsid w:val="00331477"/>
    <w:rsid w:val="003358E3"/>
    <w:rsid w:val="00341469"/>
    <w:rsid w:val="00341F09"/>
    <w:rsid w:val="003509A8"/>
    <w:rsid w:val="00351820"/>
    <w:rsid w:val="00353FDF"/>
    <w:rsid w:val="00354174"/>
    <w:rsid w:val="00356BC1"/>
    <w:rsid w:val="00357109"/>
    <w:rsid w:val="0037094A"/>
    <w:rsid w:val="00376D27"/>
    <w:rsid w:val="0038223F"/>
    <w:rsid w:val="003869F0"/>
    <w:rsid w:val="00394C9F"/>
    <w:rsid w:val="00395C20"/>
    <w:rsid w:val="003964F7"/>
    <w:rsid w:val="00396C5B"/>
    <w:rsid w:val="003A2D67"/>
    <w:rsid w:val="003B0F36"/>
    <w:rsid w:val="003C0ADC"/>
    <w:rsid w:val="003D1130"/>
    <w:rsid w:val="003D758C"/>
    <w:rsid w:val="003E6BFA"/>
    <w:rsid w:val="003F45B3"/>
    <w:rsid w:val="003F660D"/>
    <w:rsid w:val="00401CF1"/>
    <w:rsid w:val="00412ABA"/>
    <w:rsid w:val="00416565"/>
    <w:rsid w:val="00416BAE"/>
    <w:rsid w:val="00420F7D"/>
    <w:rsid w:val="00421AAD"/>
    <w:rsid w:val="004231D8"/>
    <w:rsid w:val="0042566E"/>
    <w:rsid w:val="004263CC"/>
    <w:rsid w:val="00440E97"/>
    <w:rsid w:val="0044129B"/>
    <w:rsid w:val="004420C9"/>
    <w:rsid w:val="004459BC"/>
    <w:rsid w:val="00447D60"/>
    <w:rsid w:val="00451CC8"/>
    <w:rsid w:val="0045302D"/>
    <w:rsid w:val="00461BBB"/>
    <w:rsid w:val="00463CAE"/>
    <w:rsid w:val="0046464F"/>
    <w:rsid w:val="00465B35"/>
    <w:rsid w:val="004702C9"/>
    <w:rsid w:val="00473561"/>
    <w:rsid w:val="00475A7F"/>
    <w:rsid w:val="00486631"/>
    <w:rsid w:val="004868E9"/>
    <w:rsid w:val="00494160"/>
    <w:rsid w:val="004945A7"/>
    <w:rsid w:val="004B0CC8"/>
    <w:rsid w:val="004B1ABA"/>
    <w:rsid w:val="004C28CC"/>
    <w:rsid w:val="004C2B01"/>
    <w:rsid w:val="004C50B9"/>
    <w:rsid w:val="004C6716"/>
    <w:rsid w:val="004C6CAD"/>
    <w:rsid w:val="004D192A"/>
    <w:rsid w:val="004D3C8B"/>
    <w:rsid w:val="004E68BF"/>
    <w:rsid w:val="004F108D"/>
    <w:rsid w:val="004F5A0C"/>
    <w:rsid w:val="005019A9"/>
    <w:rsid w:val="00505C0B"/>
    <w:rsid w:val="00505F81"/>
    <w:rsid w:val="00506A24"/>
    <w:rsid w:val="00507514"/>
    <w:rsid w:val="00510D5E"/>
    <w:rsid w:val="0051186F"/>
    <w:rsid w:val="00513172"/>
    <w:rsid w:val="00520F3F"/>
    <w:rsid w:val="00521AD5"/>
    <w:rsid w:val="00525923"/>
    <w:rsid w:val="005264F9"/>
    <w:rsid w:val="00537B7E"/>
    <w:rsid w:val="00540A1C"/>
    <w:rsid w:val="00550067"/>
    <w:rsid w:val="00551126"/>
    <w:rsid w:val="00552DBC"/>
    <w:rsid w:val="00554A9A"/>
    <w:rsid w:val="00555174"/>
    <w:rsid w:val="00560AB1"/>
    <w:rsid w:val="00565371"/>
    <w:rsid w:val="005662A2"/>
    <w:rsid w:val="00572FB3"/>
    <w:rsid w:val="005803EC"/>
    <w:rsid w:val="00581D80"/>
    <w:rsid w:val="00582E0D"/>
    <w:rsid w:val="0058340B"/>
    <w:rsid w:val="005937B9"/>
    <w:rsid w:val="00594F57"/>
    <w:rsid w:val="005A0224"/>
    <w:rsid w:val="005A1CA7"/>
    <w:rsid w:val="005A4F89"/>
    <w:rsid w:val="005A5520"/>
    <w:rsid w:val="005A5D67"/>
    <w:rsid w:val="005A6CC3"/>
    <w:rsid w:val="005B6FDC"/>
    <w:rsid w:val="005C2B81"/>
    <w:rsid w:val="005C3438"/>
    <w:rsid w:val="005C3619"/>
    <w:rsid w:val="005C4502"/>
    <w:rsid w:val="005D3299"/>
    <w:rsid w:val="005D6822"/>
    <w:rsid w:val="005E4456"/>
    <w:rsid w:val="005E4E1C"/>
    <w:rsid w:val="005E57AA"/>
    <w:rsid w:val="005E5BC0"/>
    <w:rsid w:val="005F0E14"/>
    <w:rsid w:val="005F164A"/>
    <w:rsid w:val="005F1820"/>
    <w:rsid w:val="005F25C9"/>
    <w:rsid w:val="005F41FE"/>
    <w:rsid w:val="005F6BE4"/>
    <w:rsid w:val="005F7883"/>
    <w:rsid w:val="006067E7"/>
    <w:rsid w:val="00606C96"/>
    <w:rsid w:val="00610691"/>
    <w:rsid w:val="00613516"/>
    <w:rsid w:val="00614366"/>
    <w:rsid w:val="006169A5"/>
    <w:rsid w:val="00620620"/>
    <w:rsid w:val="00623FF3"/>
    <w:rsid w:val="00632D73"/>
    <w:rsid w:val="0063474C"/>
    <w:rsid w:val="00635A77"/>
    <w:rsid w:val="0063631C"/>
    <w:rsid w:val="00637D4E"/>
    <w:rsid w:val="00643929"/>
    <w:rsid w:val="0064646B"/>
    <w:rsid w:val="006503ED"/>
    <w:rsid w:val="0065126D"/>
    <w:rsid w:val="0065327B"/>
    <w:rsid w:val="00653C19"/>
    <w:rsid w:val="00653FEF"/>
    <w:rsid w:val="006551BA"/>
    <w:rsid w:val="0065579F"/>
    <w:rsid w:val="00664651"/>
    <w:rsid w:val="00666DBB"/>
    <w:rsid w:val="00667AAB"/>
    <w:rsid w:val="00674CF0"/>
    <w:rsid w:val="006815B4"/>
    <w:rsid w:val="00682647"/>
    <w:rsid w:val="00684049"/>
    <w:rsid w:val="00684EAE"/>
    <w:rsid w:val="00687D4D"/>
    <w:rsid w:val="00687F6F"/>
    <w:rsid w:val="00692442"/>
    <w:rsid w:val="006931D3"/>
    <w:rsid w:val="00693231"/>
    <w:rsid w:val="0069517F"/>
    <w:rsid w:val="00696537"/>
    <w:rsid w:val="00696E45"/>
    <w:rsid w:val="006A1DE3"/>
    <w:rsid w:val="006A20BD"/>
    <w:rsid w:val="006A24C2"/>
    <w:rsid w:val="006A3397"/>
    <w:rsid w:val="006A4626"/>
    <w:rsid w:val="006A67A7"/>
    <w:rsid w:val="006B0194"/>
    <w:rsid w:val="006B1CDC"/>
    <w:rsid w:val="006B4DC9"/>
    <w:rsid w:val="006B64C9"/>
    <w:rsid w:val="006D2259"/>
    <w:rsid w:val="006D389F"/>
    <w:rsid w:val="006D7C66"/>
    <w:rsid w:val="006E0C8C"/>
    <w:rsid w:val="006E1F16"/>
    <w:rsid w:val="006E434B"/>
    <w:rsid w:val="006F37FB"/>
    <w:rsid w:val="006F666B"/>
    <w:rsid w:val="006F7018"/>
    <w:rsid w:val="0070123D"/>
    <w:rsid w:val="007018A3"/>
    <w:rsid w:val="0070682D"/>
    <w:rsid w:val="00711BF6"/>
    <w:rsid w:val="0071408C"/>
    <w:rsid w:val="007154AD"/>
    <w:rsid w:val="007161E4"/>
    <w:rsid w:val="00722CAC"/>
    <w:rsid w:val="007318C7"/>
    <w:rsid w:val="007406B8"/>
    <w:rsid w:val="00741F35"/>
    <w:rsid w:val="00747200"/>
    <w:rsid w:val="0075158E"/>
    <w:rsid w:val="007522CF"/>
    <w:rsid w:val="00752FEE"/>
    <w:rsid w:val="007662FB"/>
    <w:rsid w:val="00771074"/>
    <w:rsid w:val="007713AD"/>
    <w:rsid w:val="0077147A"/>
    <w:rsid w:val="007745E9"/>
    <w:rsid w:val="00774964"/>
    <w:rsid w:val="00777567"/>
    <w:rsid w:val="00777A2F"/>
    <w:rsid w:val="0078277B"/>
    <w:rsid w:val="00783334"/>
    <w:rsid w:val="00784107"/>
    <w:rsid w:val="00786CE4"/>
    <w:rsid w:val="007914E9"/>
    <w:rsid w:val="0079684D"/>
    <w:rsid w:val="007A0FB1"/>
    <w:rsid w:val="007A1060"/>
    <w:rsid w:val="007A54E4"/>
    <w:rsid w:val="007A6C76"/>
    <w:rsid w:val="007B113F"/>
    <w:rsid w:val="007B2E42"/>
    <w:rsid w:val="007B30A7"/>
    <w:rsid w:val="007B3258"/>
    <w:rsid w:val="007B355F"/>
    <w:rsid w:val="007B5E1B"/>
    <w:rsid w:val="007C17F4"/>
    <w:rsid w:val="007C1C26"/>
    <w:rsid w:val="007C517C"/>
    <w:rsid w:val="007D079B"/>
    <w:rsid w:val="007D0849"/>
    <w:rsid w:val="007D7E1C"/>
    <w:rsid w:val="007E25B9"/>
    <w:rsid w:val="007E6471"/>
    <w:rsid w:val="007F14FB"/>
    <w:rsid w:val="00801384"/>
    <w:rsid w:val="00802F39"/>
    <w:rsid w:val="00805969"/>
    <w:rsid w:val="0080683F"/>
    <w:rsid w:val="00806EDD"/>
    <w:rsid w:val="00824E4B"/>
    <w:rsid w:val="00826A0C"/>
    <w:rsid w:val="00830464"/>
    <w:rsid w:val="00831927"/>
    <w:rsid w:val="00832AE4"/>
    <w:rsid w:val="008354AD"/>
    <w:rsid w:val="00851514"/>
    <w:rsid w:val="00851601"/>
    <w:rsid w:val="00852A04"/>
    <w:rsid w:val="00852DEB"/>
    <w:rsid w:val="00855774"/>
    <w:rsid w:val="008674E3"/>
    <w:rsid w:val="00867E84"/>
    <w:rsid w:val="00873645"/>
    <w:rsid w:val="00880709"/>
    <w:rsid w:val="00880ACE"/>
    <w:rsid w:val="00880B27"/>
    <w:rsid w:val="00885120"/>
    <w:rsid w:val="00895E9B"/>
    <w:rsid w:val="00897CB0"/>
    <w:rsid w:val="008A46FF"/>
    <w:rsid w:val="008A6200"/>
    <w:rsid w:val="008A66AC"/>
    <w:rsid w:val="008B65F8"/>
    <w:rsid w:val="008C19E7"/>
    <w:rsid w:val="008D1456"/>
    <w:rsid w:val="008D1E6F"/>
    <w:rsid w:val="008E513D"/>
    <w:rsid w:val="008F2C5D"/>
    <w:rsid w:val="008F63CA"/>
    <w:rsid w:val="0090223A"/>
    <w:rsid w:val="00902BB5"/>
    <w:rsid w:val="00906135"/>
    <w:rsid w:val="00907993"/>
    <w:rsid w:val="0091232E"/>
    <w:rsid w:val="00920A9B"/>
    <w:rsid w:val="00920C6E"/>
    <w:rsid w:val="0092561C"/>
    <w:rsid w:val="00925730"/>
    <w:rsid w:val="00932490"/>
    <w:rsid w:val="00932B41"/>
    <w:rsid w:val="009368C3"/>
    <w:rsid w:val="0094649F"/>
    <w:rsid w:val="009464A7"/>
    <w:rsid w:val="00946888"/>
    <w:rsid w:val="00952AB1"/>
    <w:rsid w:val="00953982"/>
    <w:rsid w:val="00954C6F"/>
    <w:rsid w:val="00955726"/>
    <w:rsid w:val="00956D2B"/>
    <w:rsid w:val="00960F98"/>
    <w:rsid w:val="00961295"/>
    <w:rsid w:val="00964A37"/>
    <w:rsid w:val="00965DB6"/>
    <w:rsid w:val="009661A3"/>
    <w:rsid w:val="009667C7"/>
    <w:rsid w:val="00971484"/>
    <w:rsid w:val="009715B4"/>
    <w:rsid w:val="00975C0F"/>
    <w:rsid w:val="0097659D"/>
    <w:rsid w:val="00977772"/>
    <w:rsid w:val="0098731E"/>
    <w:rsid w:val="009926B6"/>
    <w:rsid w:val="009A338E"/>
    <w:rsid w:val="009B1CDE"/>
    <w:rsid w:val="009B666C"/>
    <w:rsid w:val="009B75BF"/>
    <w:rsid w:val="009C00DA"/>
    <w:rsid w:val="009C3361"/>
    <w:rsid w:val="009C4399"/>
    <w:rsid w:val="009C5018"/>
    <w:rsid w:val="009D12E8"/>
    <w:rsid w:val="009D17EF"/>
    <w:rsid w:val="009D6C03"/>
    <w:rsid w:val="009E1D79"/>
    <w:rsid w:val="009E65DC"/>
    <w:rsid w:val="009F1929"/>
    <w:rsid w:val="009F594A"/>
    <w:rsid w:val="009F5F3F"/>
    <w:rsid w:val="009F6476"/>
    <w:rsid w:val="00A01D37"/>
    <w:rsid w:val="00A02347"/>
    <w:rsid w:val="00A06093"/>
    <w:rsid w:val="00A07A6F"/>
    <w:rsid w:val="00A1091B"/>
    <w:rsid w:val="00A109C6"/>
    <w:rsid w:val="00A10A11"/>
    <w:rsid w:val="00A1578D"/>
    <w:rsid w:val="00A15C1C"/>
    <w:rsid w:val="00A17286"/>
    <w:rsid w:val="00A20C07"/>
    <w:rsid w:val="00A21CE5"/>
    <w:rsid w:val="00A2489D"/>
    <w:rsid w:val="00A327F6"/>
    <w:rsid w:val="00A43AFD"/>
    <w:rsid w:val="00A442CF"/>
    <w:rsid w:val="00A44ECC"/>
    <w:rsid w:val="00A51146"/>
    <w:rsid w:val="00A57D4B"/>
    <w:rsid w:val="00A62ABF"/>
    <w:rsid w:val="00A7019E"/>
    <w:rsid w:val="00A73016"/>
    <w:rsid w:val="00A76A82"/>
    <w:rsid w:val="00A76C5C"/>
    <w:rsid w:val="00A80308"/>
    <w:rsid w:val="00A81FFC"/>
    <w:rsid w:val="00A82E3B"/>
    <w:rsid w:val="00A84FDB"/>
    <w:rsid w:val="00A86B2F"/>
    <w:rsid w:val="00A8793F"/>
    <w:rsid w:val="00A90F25"/>
    <w:rsid w:val="00A97842"/>
    <w:rsid w:val="00AA00C0"/>
    <w:rsid w:val="00AA1666"/>
    <w:rsid w:val="00AA3D1E"/>
    <w:rsid w:val="00AA56AC"/>
    <w:rsid w:val="00AB0E85"/>
    <w:rsid w:val="00AB462C"/>
    <w:rsid w:val="00AB7223"/>
    <w:rsid w:val="00AC193D"/>
    <w:rsid w:val="00AC7940"/>
    <w:rsid w:val="00AD19E0"/>
    <w:rsid w:val="00AD4060"/>
    <w:rsid w:val="00AD4158"/>
    <w:rsid w:val="00AD4464"/>
    <w:rsid w:val="00AE2D47"/>
    <w:rsid w:val="00AE43D6"/>
    <w:rsid w:val="00AE6358"/>
    <w:rsid w:val="00AE6736"/>
    <w:rsid w:val="00AF079D"/>
    <w:rsid w:val="00AF3E95"/>
    <w:rsid w:val="00AF41E1"/>
    <w:rsid w:val="00AF5CA9"/>
    <w:rsid w:val="00B005B5"/>
    <w:rsid w:val="00B01459"/>
    <w:rsid w:val="00B02847"/>
    <w:rsid w:val="00B06309"/>
    <w:rsid w:val="00B11339"/>
    <w:rsid w:val="00B15AD0"/>
    <w:rsid w:val="00B15BDA"/>
    <w:rsid w:val="00B15C5A"/>
    <w:rsid w:val="00B23807"/>
    <w:rsid w:val="00B24B08"/>
    <w:rsid w:val="00B254FF"/>
    <w:rsid w:val="00B25CA7"/>
    <w:rsid w:val="00B26B79"/>
    <w:rsid w:val="00B30B9D"/>
    <w:rsid w:val="00B3241B"/>
    <w:rsid w:val="00B331DE"/>
    <w:rsid w:val="00B35B11"/>
    <w:rsid w:val="00B36E19"/>
    <w:rsid w:val="00B40CF5"/>
    <w:rsid w:val="00B41824"/>
    <w:rsid w:val="00B46C1C"/>
    <w:rsid w:val="00B47D6E"/>
    <w:rsid w:val="00B50585"/>
    <w:rsid w:val="00B5085B"/>
    <w:rsid w:val="00B5467F"/>
    <w:rsid w:val="00B57D95"/>
    <w:rsid w:val="00B61C0C"/>
    <w:rsid w:val="00B62174"/>
    <w:rsid w:val="00B65451"/>
    <w:rsid w:val="00B70649"/>
    <w:rsid w:val="00B70904"/>
    <w:rsid w:val="00B80F6E"/>
    <w:rsid w:val="00B82C9B"/>
    <w:rsid w:val="00B83A19"/>
    <w:rsid w:val="00B87B12"/>
    <w:rsid w:val="00B92183"/>
    <w:rsid w:val="00B92548"/>
    <w:rsid w:val="00B92F1F"/>
    <w:rsid w:val="00B96C3E"/>
    <w:rsid w:val="00B96D42"/>
    <w:rsid w:val="00B975F2"/>
    <w:rsid w:val="00BA23C3"/>
    <w:rsid w:val="00BA5F05"/>
    <w:rsid w:val="00BB1251"/>
    <w:rsid w:val="00BB144D"/>
    <w:rsid w:val="00BB541E"/>
    <w:rsid w:val="00BB60D6"/>
    <w:rsid w:val="00BB7705"/>
    <w:rsid w:val="00BC1801"/>
    <w:rsid w:val="00BC23E3"/>
    <w:rsid w:val="00BC3E67"/>
    <w:rsid w:val="00BD0315"/>
    <w:rsid w:val="00BD35D8"/>
    <w:rsid w:val="00BD40C8"/>
    <w:rsid w:val="00BD437B"/>
    <w:rsid w:val="00BE1CB2"/>
    <w:rsid w:val="00BE49BF"/>
    <w:rsid w:val="00BE77F7"/>
    <w:rsid w:val="00BE7A99"/>
    <w:rsid w:val="00BF00AE"/>
    <w:rsid w:val="00BF18DC"/>
    <w:rsid w:val="00BF45D8"/>
    <w:rsid w:val="00BF7D04"/>
    <w:rsid w:val="00C002DB"/>
    <w:rsid w:val="00C06F0A"/>
    <w:rsid w:val="00C11874"/>
    <w:rsid w:val="00C26650"/>
    <w:rsid w:val="00C31189"/>
    <w:rsid w:val="00C404EB"/>
    <w:rsid w:val="00C45AC9"/>
    <w:rsid w:val="00C53FB9"/>
    <w:rsid w:val="00C55C23"/>
    <w:rsid w:val="00C55F21"/>
    <w:rsid w:val="00C5797D"/>
    <w:rsid w:val="00C650C5"/>
    <w:rsid w:val="00C73750"/>
    <w:rsid w:val="00C73DE8"/>
    <w:rsid w:val="00C75E3D"/>
    <w:rsid w:val="00C81C6B"/>
    <w:rsid w:val="00C81D18"/>
    <w:rsid w:val="00C81F81"/>
    <w:rsid w:val="00C82083"/>
    <w:rsid w:val="00C92E87"/>
    <w:rsid w:val="00C94ADB"/>
    <w:rsid w:val="00C94D42"/>
    <w:rsid w:val="00C94F2F"/>
    <w:rsid w:val="00CA0E59"/>
    <w:rsid w:val="00CA24B4"/>
    <w:rsid w:val="00CA27DC"/>
    <w:rsid w:val="00CA41F7"/>
    <w:rsid w:val="00CA5D25"/>
    <w:rsid w:val="00CA6B4A"/>
    <w:rsid w:val="00CA6F54"/>
    <w:rsid w:val="00CA7E3B"/>
    <w:rsid w:val="00CB291F"/>
    <w:rsid w:val="00CB34BC"/>
    <w:rsid w:val="00CC320E"/>
    <w:rsid w:val="00CC5417"/>
    <w:rsid w:val="00CC5480"/>
    <w:rsid w:val="00CD2BEF"/>
    <w:rsid w:val="00CD50B1"/>
    <w:rsid w:val="00CE435B"/>
    <w:rsid w:val="00CE43E1"/>
    <w:rsid w:val="00CE530B"/>
    <w:rsid w:val="00CE63DB"/>
    <w:rsid w:val="00CE7C6D"/>
    <w:rsid w:val="00CF55C8"/>
    <w:rsid w:val="00CF5F14"/>
    <w:rsid w:val="00D01AB6"/>
    <w:rsid w:val="00D0211A"/>
    <w:rsid w:val="00D046C6"/>
    <w:rsid w:val="00D046F1"/>
    <w:rsid w:val="00D04F1C"/>
    <w:rsid w:val="00D07EB8"/>
    <w:rsid w:val="00D13683"/>
    <w:rsid w:val="00D146BD"/>
    <w:rsid w:val="00D166F9"/>
    <w:rsid w:val="00D167BF"/>
    <w:rsid w:val="00D22681"/>
    <w:rsid w:val="00D22AC7"/>
    <w:rsid w:val="00D2308A"/>
    <w:rsid w:val="00D26334"/>
    <w:rsid w:val="00D31F45"/>
    <w:rsid w:val="00D35C63"/>
    <w:rsid w:val="00D373E2"/>
    <w:rsid w:val="00D4240B"/>
    <w:rsid w:val="00D4273F"/>
    <w:rsid w:val="00D44E5A"/>
    <w:rsid w:val="00D57E74"/>
    <w:rsid w:val="00D57F00"/>
    <w:rsid w:val="00D61255"/>
    <w:rsid w:val="00D619AB"/>
    <w:rsid w:val="00D623D8"/>
    <w:rsid w:val="00D63892"/>
    <w:rsid w:val="00D654A8"/>
    <w:rsid w:val="00D70256"/>
    <w:rsid w:val="00D73535"/>
    <w:rsid w:val="00D75992"/>
    <w:rsid w:val="00D76315"/>
    <w:rsid w:val="00D81FAD"/>
    <w:rsid w:val="00D84097"/>
    <w:rsid w:val="00D8419E"/>
    <w:rsid w:val="00D85EFE"/>
    <w:rsid w:val="00D85FDA"/>
    <w:rsid w:val="00D87DAF"/>
    <w:rsid w:val="00D91A06"/>
    <w:rsid w:val="00D9380E"/>
    <w:rsid w:val="00D94656"/>
    <w:rsid w:val="00D97E3F"/>
    <w:rsid w:val="00DA104A"/>
    <w:rsid w:val="00DA5F58"/>
    <w:rsid w:val="00DB007B"/>
    <w:rsid w:val="00DB1C32"/>
    <w:rsid w:val="00DB2F2A"/>
    <w:rsid w:val="00DC0085"/>
    <w:rsid w:val="00DC17C3"/>
    <w:rsid w:val="00DC2D95"/>
    <w:rsid w:val="00DC49FD"/>
    <w:rsid w:val="00DC5ACF"/>
    <w:rsid w:val="00DD25AE"/>
    <w:rsid w:val="00DD4193"/>
    <w:rsid w:val="00DD4DDC"/>
    <w:rsid w:val="00DD65DA"/>
    <w:rsid w:val="00DE12D5"/>
    <w:rsid w:val="00DE4010"/>
    <w:rsid w:val="00DF4529"/>
    <w:rsid w:val="00DF5F89"/>
    <w:rsid w:val="00DF7B7C"/>
    <w:rsid w:val="00E03BC8"/>
    <w:rsid w:val="00E0689A"/>
    <w:rsid w:val="00E10116"/>
    <w:rsid w:val="00E10301"/>
    <w:rsid w:val="00E1042B"/>
    <w:rsid w:val="00E10CC7"/>
    <w:rsid w:val="00E10FD6"/>
    <w:rsid w:val="00E12C52"/>
    <w:rsid w:val="00E144F9"/>
    <w:rsid w:val="00E154BB"/>
    <w:rsid w:val="00E16C47"/>
    <w:rsid w:val="00E209D4"/>
    <w:rsid w:val="00E24444"/>
    <w:rsid w:val="00E25C3F"/>
    <w:rsid w:val="00E25D63"/>
    <w:rsid w:val="00E32682"/>
    <w:rsid w:val="00E35493"/>
    <w:rsid w:val="00E35E71"/>
    <w:rsid w:val="00E36342"/>
    <w:rsid w:val="00E405B6"/>
    <w:rsid w:val="00E4119F"/>
    <w:rsid w:val="00E41630"/>
    <w:rsid w:val="00E44CDE"/>
    <w:rsid w:val="00E52B01"/>
    <w:rsid w:val="00E53BFA"/>
    <w:rsid w:val="00E5446C"/>
    <w:rsid w:val="00E552E6"/>
    <w:rsid w:val="00E577F6"/>
    <w:rsid w:val="00E611F8"/>
    <w:rsid w:val="00E621E1"/>
    <w:rsid w:val="00E62628"/>
    <w:rsid w:val="00E64137"/>
    <w:rsid w:val="00E64963"/>
    <w:rsid w:val="00E67C9F"/>
    <w:rsid w:val="00E74015"/>
    <w:rsid w:val="00E75ACA"/>
    <w:rsid w:val="00E80E0C"/>
    <w:rsid w:val="00E821F9"/>
    <w:rsid w:val="00E827C1"/>
    <w:rsid w:val="00E83783"/>
    <w:rsid w:val="00E84574"/>
    <w:rsid w:val="00E86260"/>
    <w:rsid w:val="00E866C6"/>
    <w:rsid w:val="00E97DED"/>
    <w:rsid w:val="00E97E60"/>
    <w:rsid w:val="00EA72D1"/>
    <w:rsid w:val="00EB139C"/>
    <w:rsid w:val="00EC15F6"/>
    <w:rsid w:val="00EC5820"/>
    <w:rsid w:val="00EC6643"/>
    <w:rsid w:val="00EC6D8C"/>
    <w:rsid w:val="00EC6F29"/>
    <w:rsid w:val="00ED029D"/>
    <w:rsid w:val="00ED11CD"/>
    <w:rsid w:val="00ED7CE4"/>
    <w:rsid w:val="00EE402C"/>
    <w:rsid w:val="00EE4E8D"/>
    <w:rsid w:val="00EE5673"/>
    <w:rsid w:val="00EE56AE"/>
    <w:rsid w:val="00EE67EA"/>
    <w:rsid w:val="00EF7463"/>
    <w:rsid w:val="00F049DE"/>
    <w:rsid w:val="00F11002"/>
    <w:rsid w:val="00F17013"/>
    <w:rsid w:val="00F215A0"/>
    <w:rsid w:val="00F226FD"/>
    <w:rsid w:val="00F24B9B"/>
    <w:rsid w:val="00F2527F"/>
    <w:rsid w:val="00F265DF"/>
    <w:rsid w:val="00F268FD"/>
    <w:rsid w:val="00F27A97"/>
    <w:rsid w:val="00F327F5"/>
    <w:rsid w:val="00F33B33"/>
    <w:rsid w:val="00F36722"/>
    <w:rsid w:val="00F374A4"/>
    <w:rsid w:val="00F37CBA"/>
    <w:rsid w:val="00F40467"/>
    <w:rsid w:val="00F4508D"/>
    <w:rsid w:val="00F47016"/>
    <w:rsid w:val="00F63D06"/>
    <w:rsid w:val="00F67913"/>
    <w:rsid w:val="00F6792C"/>
    <w:rsid w:val="00F74B0F"/>
    <w:rsid w:val="00F857F3"/>
    <w:rsid w:val="00F95D83"/>
    <w:rsid w:val="00F97FE1"/>
    <w:rsid w:val="00FA4B9B"/>
    <w:rsid w:val="00FA5943"/>
    <w:rsid w:val="00FB11D8"/>
    <w:rsid w:val="00FB2393"/>
    <w:rsid w:val="00FB52CB"/>
    <w:rsid w:val="00FC17DC"/>
    <w:rsid w:val="00FC70DB"/>
    <w:rsid w:val="00FD72D8"/>
    <w:rsid w:val="00FE09D7"/>
    <w:rsid w:val="00FE20A8"/>
    <w:rsid w:val="00FE3106"/>
    <w:rsid w:val="00FE55D2"/>
    <w:rsid w:val="00FF0F7C"/>
    <w:rsid w:val="00FF1A0B"/>
    <w:rsid w:val="00FF2F67"/>
    <w:rsid w:val="00FF3081"/>
    <w:rsid w:val="00FF4191"/>
    <w:rsid w:val="00FF6E58"/>
    <w:rsid w:val="00FF7EB6"/>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FC60F"/>
  <w15:docId w15:val="{86AFA64C-D2D1-40F4-B3DD-E82BB4338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FD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C81C6B"/>
    <w:rPr>
      <w:color w:val="0563C1" w:themeColor="hyperlink"/>
      <w:u w:val="single"/>
    </w:rPr>
  </w:style>
  <w:style w:type="character" w:customStyle="1" w:styleId="MenoPendente1">
    <w:name w:val="Menção Pendente1"/>
    <w:basedOn w:val="Fontepargpadro"/>
    <w:uiPriority w:val="99"/>
    <w:semiHidden/>
    <w:unhideWhenUsed/>
    <w:rsid w:val="00C81C6B"/>
    <w:rPr>
      <w:color w:val="605E5C"/>
      <w:shd w:val="clear" w:color="auto" w:fill="E1DFDD"/>
    </w:rPr>
  </w:style>
  <w:style w:type="paragraph" w:styleId="Textodenotaderodap">
    <w:name w:val="footnote text"/>
    <w:aliases w:val=" Char Char,Char Char, Char Char Char Char,Nota de rodapé,fn,ALTS FOOTNOTE,Footnote Text Char,footnote text char, Char3,Char3,Texto de rodapé,Char3 Char Char Char Char, Char3 Char Char Char Char, Char3 Char Char,Char3 Char Char,f"/>
    <w:basedOn w:val="Normal"/>
    <w:link w:val="TextodenotaderodapChar"/>
    <w:qFormat/>
    <w:rsid w:val="00B15AD0"/>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aliases w:val=" Char Char Char,Char Char Char, Char Char Char Char Char,Nota de rodapé Char,fn Char,ALTS FOOTNOTE Char,Footnote Text Char Char,footnote text char Char, Char3 Char,Char3 Char,Texto de rodapé Char, Char3 Char Char Char,f Char"/>
    <w:basedOn w:val="Fontepargpadro"/>
    <w:link w:val="Textodenotaderodap"/>
    <w:qFormat/>
    <w:rsid w:val="00B15AD0"/>
    <w:rPr>
      <w:rFonts w:ascii="Times New Roman" w:eastAsia="Times New Roman" w:hAnsi="Times New Roman" w:cs="Times New Roman"/>
      <w:sz w:val="20"/>
      <w:szCs w:val="20"/>
      <w:lang w:eastAsia="pt-BR"/>
    </w:rPr>
  </w:style>
  <w:style w:type="character" w:styleId="Refdenotaderodap">
    <w:name w:val="footnote reference"/>
    <w:aliases w:val="sobrescrito,Ref,de nota al pie,FC,_Footnote Reference,_Footnote text,_Footnote,_Footnote Text,_Footnote base Reference,Footnote symbol,Style 12,(NECG) Footnote Reference,Referência de rodapé,Ref. de nota de rodapé monografia.,fr,o"/>
    <w:link w:val="frCharChar1"/>
    <w:uiPriority w:val="99"/>
    <w:qFormat/>
    <w:rsid w:val="00B15AD0"/>
    <w:rPr>
      <w:vertAlign w:val="superscript"/>
    </w:rPr>
  </w:style>
  <w:style w:type="paragraph" w:styleId="Cabealho">
    <w:name w:val="header"/>
    <w:basedOn w:val="Normal"/>
    <w:link w:val="CabealhoChar"/>
    <w:uiPriority w:val="99"/>
    <w:unhideWhenUsed/>
    <w:rsid w:val="00A327F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327F6"/>
  </w:style>
  <w:style w:type="paragraph" w:styleId="Rodap">
    <w:name w:val="footer"/>
    <w:basedOn w:val="Normal"/>
    <w:link w:val="RodapChar"/>
    <w:uiPriority w:val="99"/>
    <w:unhideWhenUsed/>
    <w:rsid w:val="00A327F6"/>
    <w:pPr>
      <w:tabs>
        <w:tab w:val="center" w:pos="4252"/>
        <w:tab w:val="right" w:pos="8504"/>
      </w:tabs>
      <w:spacing w:after="0" w:line="240" w:lineRule="auto"/>
    </w:pPr>
  </w:style>
  <w:style w:type="character" w:customStyle="1" w:styleId="RodapChar">
    <w:name w:val="Rodapé Char"/>
    <w:basedOn w:val="Fontepargpadro"/>
    <w:link w:val="Rodap"/>
    <w:uiPriority w:val="99"/>
    <w:rsid w:val="00A327F6"/>
  </w:style>
  <w:style w:type="character" w:styleId="Refdecomentrio">
    <w:name w:val="annotation reference"/>
    <w:basedOn w:val="Fontepargpadro"/>
    <w:uiPriority w:val="99"/>
    <w:semiHidden/>
    <w:unhideWhenUsed/>
    <w:rsid w:val="00D87DAF"/>
    <w:rPr>
      <w:sz w:val="16"/>
      <w:szCs w:val="16"/>
    </w:rPr>
  </w:style>
  <w:style w:type="paragraph" w:styleId="Textodecomentrio">
    <w:name w:val="annotation text"/>
    <w:basedOn w:val="Normal"/>
    <w:link w:val="TextodecomentrioChar"/>
    <w:uiPriority w:val="99"/>
    <w:unhideWhenUsed/>
    <w:rsid w:val="00D87DAF"/>
    <w:pPr>
      <w:spacing w:line="240" w:lineRule="auto"/>
    </w:pPr>
    <w:rPr>
      <w:sz w:val="20"/>
      <w:szCs w:val="20"/>
    </w:rPr>
  </w:style>
  <w:style w:type="character" w:customStyle="1" w:styleId="TextodecomentrioChar">
    <w:name w:val="Texto de comentário Char"/>
    <w:basedOn w:val="Fontepargpadro"/>
    <w:link w:val="Textodecomentrio"/>
    <w:uiPriority w:val="99"/>
    <w:rsid w:val="00D87DAF"/>
    <w:rPr>
      <w:sz w:val="20"/>
      <w:szCs w:val="20"/>
    </w:rPr>
  </w:style>
  <w:style w:type="paragraph" w:styleId="Assuntodocomentrio">
    <w:name w:val="annotation subject"/>
    <w:basedOn w:val="Textodecomentrio"/>
    <w:next w:val="Textodecomentrio"/>
    <w:link w:val="AssuntodocomentrioChar"/>
    <w:uiPriority w:val="99"/>
    <w:semiHidden/>
    <w:unhideWhenUsed/>
    <w:rsid w:val="00D87DAF"/>
    <w:rPr>
      <w:b/>
      <w:bCs/>
    </w:rPr>
  </w:style>
  <w:style w:type="character" w:customStyle="1" w:styleId="AssuntodocomentrioChar">
    <w:name w:val="Assunto do comentário Char"/>
    <w:basedOn w:val="TextodecomentrioChar"/>
    <w:link w:val="Assuntodocomentrio"/>
    <w:uiPriority w:val="99"/>
    <w:semiHidden/>
    <w:rsid w:val="00D87DAF"/>
    <w:rPr>
      <w:b/>
      <w:bCs/>
      <w:sz w:val="20"/>
      <w:szCs w:val="20"/>
    </w:rPr>
  </w:style>
  <w:style w:type="paragraph" w:styleId="Textodebalo">
    <w:name w:val="Balloon Text"/>
    <w:basedOn w:val="Normal"/>
    <w:link w:val="TextodebaloChar"/>
    <w:uiPriority w:val="99"/>
    <w:semiHidden/>
    <w:unhideWhenUsed/>
    <w:rsid w:val="002628D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628DD"/>
    <w:rPr>
      <w:rFonts w:ascii="Segoe UI" w:hAnsi="Segoe UI" w:cs="Segoe UI"/>
      <w:sz w:val="18"/>
      <w:szCs w:val="18"/>
    </w:rPr>
  </w:style>
  <w:style w:type="paragraph" w:customStyle="1" w:styleId="recmenor">
    <w:name w:val="rec menor"/>
    <w:basedOn w:val="Normal"/>
    <w:uiPriority w:val="99"/>
    <w:rsid w:val="00C92E87"/>
    <w:pPr>
      <w:widowControl w:val="0"/>
      <w:suppressAutoHyphens/>
      <w:autoSpaceDE w:val="0"/>
      <w:autoSpaceDN w:val="0"/>
      <w:adjustRightInd w:val="0"/>
      <w:spacing w:before="170" w:after="283" w:line="220" w:lineRule="atLeast"/>
      <w:ind w:left="454" w:right="397"/>
      <w:jc w:val="both"/>
      <w:textAlignment w:val="center"/>
    </w:pPr>
    <w:rPr>
      <w:rFonts w:ascii="MinionPro-Regular" w:eastAsiaTheme="minorEastAsia" w:hAnsi="MinionPro-Regular" w:cs="MinionPro-Regular"/>
      <w:color w:val="000000"/>
      <w:w w:val="101"/>
      <w:sz w:val="20"/>
      <w:szCs w:val="20"/>
      <w:lang w:eastAsia="pt-BR"/>
    </w:rPr>
  </w:style>
  <w:style w:type="paragraph" w:customStyle="1" w:styleId="nota">
    <w:name w:val="nota"/>
    <w:basedOn w:val="Normal"/>
    <w:uiPriority w:val="99"/>
    <w:rsid w:val="00C92E87"/>
    <w:pPr>
      <w:widowControl w:val="0"/>
      <w:tabs>
        <w:tab w:val="left" w:pos="320"/>
      </w:tabs>
      <w:autoSpaceDE w:val="0"/>
      <w:autoSpaceDN w:val="0"/>
      <w:adjustRightInd w:val="0"/>
      <w:spacing w:after="57" w:line="200" w:lineRule="atLeast"/>
      <w:ind w:left="227" w:hanging="227"/>
      <w:jc w:val="both"/>
      <w:textAlignment w:val="center"/>
    </w:pPr>
    <w:rPr>
      <w:rFonts w:ascii="MyriadPro-Regular" w:eastAsiaTheme="minorEastAsia" w:hAnsi="MyriadPro-Regular" w:cs="MyriadPro-Regular"/>
      <w:color w:val="000000"/>
      <w:sz w:val="17"/>
      <w:szCs w:val="17"/>
      <w:lang w:eastAsia="pt-BR"/>
    </w:rPr>
  </w:style>
  <w:style w:type="character" w:customStyle="1" w:styleId="italico">
    <w:name w:val="italico"/>
    <w:uiPriority w:val="99"/>
    <w:rsid w:val="00C92E87"/>
    <w:rPr>
      <w:i/>
      <w:color w:val="000000"/>
    </w:rPr>
  </w:style>
  <w:style w:type="character" w:customStyle="1" w:styleId="elevado">
    <w:name w:val="elevado"/>
    <w:uiPriority w:val="99"/>
    <w:rsid w:val="00C92E87"/>
    <w:rPr>
      <w:color w:val="000000"/>
      <w:vertAlign w:val="superscript"/>
    </w:rPr>
  </w:style>
  <w:style w:type="paragraph" w:customStyle="1" w:styleId="t">
    <w:name w:val="t"/>
    <w:basedOn w:val="Normal"/>
    <w:next w:val="Normal"/>
    <w:uiPriority w:val="99"/>
    <w:rsid w:val="00D167BF"/>
    <w:pPr>
      <w:widowControl w:val="0"/>
      <w:autoSpaceDE w:val="0"/>
      <w:autoSpaceDN w:val="0"/>
      <w:adjustRightInd w:val="0"/>
      <w:spacing w:after="57" w:line="240" w:lineRule="atLeast"/>
      <w:ind w:firstLine="454"/>
      <w:jc w:val="both"/>
      <w:textAlignment w:val="center"/>
    </w:pPr>
    <w:rPr>
      <w:rFonts w:ascii="MinionPro-Regular" w:eastAsiaTheme="minorEastAsia" w:hAnsi="MinionPro-Regular" w:cs="MinionPro-Regular"/>
      <w:color w:val="000000"/>
      <w:sz w:val="21"/>
      <w:szCs w:val="21"/>
      <w:lang w:eastAsia="pt-BR"/>
    </w:rPr>
  </w:style>
  <w:style w:type="paragraph" w:styleId="PargrafodaLista">
    <w:name w:val="List Paragraph"/>
    <w:basedOn w:val="Normal"/>
    <w:uiPriority w:val="34"/>
    <w:qFormat/>
    <w:rsid w:val="00FC17DC"/>
    <w:pPr>
      <w:ind w:left="720"/>
      <w:contextualSpacing/>
    </w:pPr>
  </w:style>
  <w:style w:type="paragraph" w:styleId="Reviso">
    <w:name w:val="Revision"/>
    <w:hidden/>
    <w:uiPriority w:val="99"/>
    <w:semiHidden/>
    <w:rsid w:val="00174761"/>
    <w:pPr>
      <w:spacing w:after="0" w:line="240" w:lineRule="auto"/>
    </w:pPr>
  </w:style>
  <w:style w:type="paragraph" w:customStyle="1" w:styleId="recmenorfim">
    <w:name w:val="rec menor fim"/>
    <w:basedOn w:val="t"/>
    <w:uiPriority w:val="99"/>
    <w:rsid w:val="00A97842"/>
    <w:pPr>
      <w:suppressAutoHyphens/>
      <w:spacing w:after="283" w:line="220" w:lineRule="atLeast"/>
      <w:ind w:left="454" w:right="397" w:firstLine="0"/>
    </w:pPr>
    <w:rPr>
      <w:rFonts w:eastAsia="Times New Roman"/>
      <w:sz w:val="20"/>
      <w:szCs w:val="20"/>
    </w:rPr>
  </w:style>
  <w:style w:type="paragraph" w:customStyle="1" w:styleId="recmenorinicio">
    <w:name w:val="rec menor inicio"/>
    <w:basedOn w:val="t"/>
    <w:uiPriority w:val="99"/>
    <w:rsid w:val="00A97842"/>
    <w:pPr>
      <w:suppressAutoHyphens/>
      <w:spacing w:before="170" w:line="220" w:lineRule="atLeast"/>
      <w:ind w:left="454" w:right="397" w:firstLine="0"/>
    </w:pPr>
    <w:rPr>
      <w:rFonts w:eastAsia="Times New Roman"/>
      <w:sz w:val="20"/>
      <w:szCs w:val="20"/>
    </w:rPr>
  </w:style>
  <w:style w:type="paragraph" w:customStyle="1" w:styleId="recmenormeio">
    <w:name w:val="rec menor meio"/>
    <w:basedOn w:val="t"/>
    <w:uiPriority w:val="99"/>
    <w:rsid w:val="00A97842"/>
    <w:pPr>
      <w:suppressAutoHyphens/>
      <w:spacing w:line="220" w:lineRule="atLeast"/>
      <w:ind w:left="454" w:right="397" w:firstLine="0"/>
    </w:pPr>
    <w:rPr>
      <w:rFonts w:eastAsia="Times New Roman"/>
      <w:sz w:val="20"/>
      <w:szCs w:val="20"/>
    </w:rPr>
  </w:style>
  <w:style w:type="paragraph" w:customStyle="1" w:styleId="07-Citaolegal-CLG">
    <w:name w:val="07 - Citação legal - CLG"/>
    <w:qFormat/>
    <w:rsid w:val="00E5446C"/>
    <w:pPr>
      <w:spacing w:after="120" w:line="240" w:lineRule="auto"/>
      <w:ind w:left="1985" w:firstLine="567"/>
      <w:jc w:val="both"/>
    </w:pPr>
    <w:rPr>
      <w:rFonts w:ascii="Times New Roman" w:eastAsia="Times New Roman" w:hAnsi="Times New Roman" w:cs="Times New Roman"/>
      <w:bCs/>
      <w:sz w:val="24"/>
      <w:szCs w:val="20"/>
      <w:lang w:eastAsia="pt-BR"/>
    </w:rPr>
  </w:style>
  <w:style w:type="character" w:customStyle="1" w:styleId="MenoPendente2">
    <w:name w:val="Menção Pendente2"/>
    <w:basedOn w:val="Fontepargpadro"/>
    <w:uiPriority w:val="99"/>
    <w:semiHidden/>
    <w:unhideWhenUsed/>
    <w:rsid w:val="008B65F8"/>
    <w:rPr>
      <w:color w:val="605E5C"/>
      <w:shd w:val="clear" w:color="auto" w:fill="E1DFDD"/>
    </w:rPr>
  </w:style>
  <w:style w:type="paragraph" w:customStyle="1" w:styleId="05-PargrafodetextoPROJETO-CLG">
    <w:name w:val="05 - Parágrafo de texto PROJETO- CLG"/>
    <w:qFormat/>
    <w:rsid w:val="00B62174"/>
    <w:pPr>
      <w:spacing w:after="360" w:line="240" w:lineRule="auto"/>
      <w:ind w:firstLine="1418"/>
      <w:jc w:val="both"/>
    </w:pPr>
    <w:rPr>
      <w:rFonts w:ascii="Times New Roman" w:eastAsia="Times New Roman" w:hAnsi="Times New Roman" w:cs="Times New Roman"/>
      <w:sz w:val="28"/>
      <w:szCs w:val="20"/>
      <w:lang w:eastAsia="pt-BR"/>
    </w:rPr>
  </w:style>
  <w:style w:type="paragraph" w:customStyle="1" w:styleId="frCharChar1">
    <w:name w:val="fr Char Char1"/>
    <w:aliases w:val="fr Char Char Char, Char Char6 Char Char Char Char Char Char Char Char Char Char Char, Char6 Char Char Char Char Char Char Char Char Char Char Char Char,Char Char6 Char Char Char Char Char Char Char Char Char Char Char"/>
    <w:basedOn w:val="Normal"/>
    <w:link w:val="Refdenotaderodap"/>
    <w:uiPriority w:val="99"/>
    <w:rsid w:val="00B62174"/>
    <w:pPr>
      <w:spacing w:after="120" w:line="360" w:lineRule="auto"/>
      <w:jc w:val="center"/>
    </w:pPr>
    <w:rPr>
      <w:vertAlign w:val="superscript"/>
    </w:rPr>
  </w:style>
  <w:style w:type="paragraph" w:styleId="Textodenotadefim">
    <w:name w:val="endnote text"/>
    <w:basedOn w:val="Normal"/>
    <w:link w:val="TextodenotadefimChar"/>
    <w:uiPriority w:val="99"/>
    <w:semiHidden/>
    <w:unhideWhenUsed/>
    <w:rsid w:val="00E4119F"/>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E4119F"/>
    <w:rPr>
      <w:sz w:val="20"/>
      <w:szCs w:val="20"/>
    </w:rPr>
  </w:style>
  <w:style w:type="character" w:styleId="Refdenotadefim">
    <w:name w:val="endnote reference"/>
    <w:basedOn w:val="Fontepargpadro"/>
    <w:uiPriority w:val="99"/>
    <w:semiHidden/>
    <w:unhideWhenUsed/>
    <w:rsid w:val="00E4119F"/>
    <w:rPr>
      <w:vertAlign w:val="superscript"/>
    </w:rPr>
  </w:style>
  <w:style w:type="paragraph" w:customStyle="1" w:styleId="boxiniciorec">
    <w:name w:val="box inicio_rec"/>
    <w:basedOn w:val="Normal"/>
    <w:uiPriority w:val="99"/>
    <w:rsid w:val="00F049DE"/>
    <w:pPr>
      <w:widowControl w:val="0"/>
      <w:shd w:val="clear" w:color="auto" w:fill="000000"/>
      <w:autoSpaceDE w:val="0"/>
      <w:autoSpaceDN w:val="0"/>
      <w:adjustRightInd w:val="0"/>
      <w:spacing w:before="283" w:after="57" w:line="220" w:lineRule="atLeast"/>
      <w:ind w:left="850" w:right="454" w:hanging="283"/>
      <w:jc w:val="both"/>
      <w:textAlignment w:val="center"/>
    </w:pPr>
    <w:rPr>
      <w:rFonts w:ascii="MyriadPro-Regular" w:eastAsia="Times New Roman" w:hAnsi="MyriadPro-Regular" w:cs="MyriadPro-Regular"/>
      <w:color w:val="000000"/>
      <w:sz w:val="20"/>
      <w:szCs w:val="20"/>
      <w:lang w:eastAsia="pt-BR"/>
    </w:rPr>
  </w:style>
  <w:style w:type="paragraph" w:customStyle="1" w:styleId="boxfinalrec">
    <w:name w:val="box final_rec"/>
    <w:basedOn w:val="Normal"/>
    <w:uiPriority w:val="99"/>
    <w:rsid w:val="00F049DE"/>
    <w:pPr>
      <w:widowControl w:val="0"/>
      <w:shd w:val="clear" w:color="auto" w:fill="000000"/>
      <w:autoSpaceDE w:val="0"/>
      <w:autoSpaceDN w:val="0"/>
      <w:adjustRightInd w:val="0"/>
      <w:spacing w:after="283" w:line="220" w:lineRule="atLeast"/>
      <w:ind w:left="850" w:right="454" w:hanging="283"/>
      <w:jc w:val="both"/>
      <w:textAlignment w:val="center"/>
    </w:pPr>
    <w:rPr>
      <w:rFonts w:ascii="MyriadPro-Regular" w:eastAsia="Times New Roman" w:hAnsi="MyriadPro-Regular" w:cs="MyriadPro-Regular"/>
      <w:color w:val="000000"/>
      <w:sz w:val="20"/>
      <w:szCs w:val="20"/>
      <w:lang w:eastAsia="pt-BR"/>
    </w:rPr>
  </w:style>
  <w:style w:type="paragraph" w:styleId="Recuodecorpodetexto">
    <w:name w:val="Body Text Indent"/>
    <w:basedOn w:val="Normal"/>
    <w:link w:val="RecuodecorpodetextoChar"/>
    <w:uiPriority w:val="99"/>
    <w:unhideWhenUsed/>
    <w:rsid w:val="00B254FF"/>
    <w:pPr>
      <w:widowControl w:val="0"/>
      <w:autoSpaceDE w:val="0"/>
      <w:autoSpaceDN w:val="0"/>
      <w:spacing w:after="120" w:line="240" w:lineRule="auto"/>
      <w:ind w:left="283"/>
    </w:pPr>
    <w:rPr>
      <w:rFonts w:ascii="Arial MT" w:eastAsia="Arial MT" w:hAnsi="Arial MT" w:cs="Arial MT"/>
      <w:lang w:val="pt-PT"/>
    </w:rPr>
  </w:style>
  <w:style w:type="character" w:customStyle="1" w:styleId="RecuodecorpodetextoChar">
    <w:name w:val="Recuo de corpo de texto Char"/>
    <w:basedOn w:val="Fontepargpadro"/>
    <w:link w:val="Recuodecorpodetexto"/>
    <w:uiPriority w:val="99"/>
    <w:rsid w:val="00B254FF"/>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948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66612-ADC3-4909-A7BB-1E8403B5D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3091</Words>
  <Characters>16818</Characters>
  <Application>Microsoft Office Word</Application>
  <DocSecurity>0</DocSecurity>
  <Lines>258</Lines>
  <Paragraphs>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lider</dc:creator>
  <cp:lastModifiedBy>Flávio Tartuce</cp:lastModifiedBy>
  <cp:revision>9</cp:revision>
  <dcterms:created xsi:type="dcterms:W3CDTF">2026-07-20T14:33:00Z</dcterms:created>
  <dcterms:modified xsi:type="dcterms:W3CDTF">2026-07-20T14:43:00Z</dcterms:modified>
</cp:coreProperties>
</file>