
<file path=[Content_Types].xml><?xml version="1.0" encoding="utf-8"?>
<Types xmlns="http://schemas.openxmlformats.org/package/2006/content-types">
  <Override PartName="/word/footnotes.xml" ContentType="application/vnd.openxmlformats-officedocument.wordprocessingml.footnotes+xml"/>
  <Override PartName="/word/commentsExtensible.xml" ContentType="application/vnd.openxmlformats-officedocument.wordprocessingml.commentsExtensible+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5F59" w:rsidRPr="00264A05" w:rsidRDefault="00984C5F" w:rsidP="00984C5F">
      <w:pPr>
        <w:pStyle w:val="t"/>
        <w:spacing w:before="120" w:after="120" w:line="360" w:lineRule="auto"/>
        <w:ind w:firstLine="0"/>
        <w:jc w:val="center"/>
        <w:rPr>
          <w:rFonts w:ascii="Times New Roman" w:hAnsi="Times New Roman" w:cs="Times New Roman"/>
          <w:b/>
          <w:sz w:val="24"/>
          <w:szCs w:val="24"/>
        </w:rPr>
      </w:pPr>
      <w:r w:rsidRPr="00264A05">
        <w:rPr>
          <w:rFonts w:ascii="Times New Roman" w:hAnsi="Times New Roman" w:cs="Times New Roman"/>
          <w:b/>
          <w:sz w:val="24"/>
          <w:szCs w:val="24"/>
        </w:rPr>
        <w:t xml:space="preserve">A REFORMA DO CÓDIGO CIVIL E </w:t>
      </w:r>
      <w:r w:rsidR="00125F59" w:rsidRPr="00264A05">
        <w:rPr>
          <w:rFonts w:ascii="Times New Roman" w:hAnsi="Times New Roman" w:cs="Times New Roman"/>
          <w:b/>
          <w:sz w:val="24"/>
          <w:szCs w:val="24"/>
        </w:rPr>
        <w:t xml:space="preserve">OS </w:t>
      </w:r>
      <w:r w:rsidR="00125F59" w:rsidRPr="00264A05">
        <w:rPr>
          <w:rFonts w:ascii="Times New Roman" w:hAnsi="Times New Roman" w:cs="Times New Roman"/>
          <w:b/>
          <w:i/>
          <w:sz w:val="24"/>
          <w:szCs w:val="24"/>
        </w:rPr>
        <w:t>ALIMENTOS FAMILIARES</w:t>
      </w:r>
    </w:p>
    <w:p w:rsidR="00984C5F" w:rsidRPr="00264A05" w:rsidRDefault="004A5852" w:rsidP="00984C5F">
      <w:pPr>
        <w:pStyle w:val="t"/>
        <w:spacing w:before="120" w:after="120" w:line="360" w:lineRule="auto"/>
        <w:ind w:firstLine="0"/>
        <w:jc w:val="center"/>
        <w:rPr>
          <w:rFonts w:ascii="Times New Roman" w:hAnsi="Times New Roman" w:cs="Times New Roman"/>
          <w:b/>
          <w:sz w:val="24"/>
          <w:szCs w:val="24"/>
        </w:rPr>
      </w:pPr>
      <w:r>
        <w:rPr>
          <w:rFonts w:ascii="Times New Roman" w:hAnsi="Times New Roman" w:cs="Times New Roman"/>
          <w:b/>
          <w:sz w:val="24"/>
          <w:szCs w:val="24"/>
        </w:rPr>
        <w:t>PLEITEADOS ENTRE CÔNJUGES E CONVIVENTES</w:t>
      </w:r>
    </w:p>
    <w:p w:rsidR="004B0C73" w:rsidRPr="00264A05" w:rsidRDefault="004B0C73" w:rsidP="003B2F06"/>
    <w:p w:rsidR="00B27CE0" w:rsidRPr="00264A05" w:rsidRDefault="00B27CE0" w:rsidP="003B2F06"/>
    <w:p w:rsidR="001C3F0B" w:rsidRPr="00264A05" w:rsidRDefault="001C3F0B" w:rsidP="003B6A73">
      <w:pPr>
        <w:jc w:val="right"/>
      </w:pPr>
    </w:p>
    <w:p w:rsidR="00470DA9" w:rsidRPr="00264A05" w:rsidRDefault="00470DA9" w:rsidP="00470DA9">
      <w:pPr>
        <w:spacing w:before="120" w:after="120" w:line="360" w:lineRule="auto"/>
        <w:jc w:val="right"/>
        <w:rPr>
          <w:bCs/>
        </w:rPr>
      </w:pPr>
      <w:r w:rsidRPr="00264A05">
        <w:rPr>
          <w:bCs/>
        </w:rPr>
        <w:t>Flávio Tartuce</w:t>
      </w:r>
      <w:r w:rsidRPr="00264A05">
        <w:rPr>
          <w:bCs/>
          <w:vertAlign w:val="superscript"/>
        </w:rPr>
        <w:footnoteReference w:id="1"/>
      </w:r>
    </w:p>
    <w:p w:rsidR="002116B9" w:rsidRDefault="002116B9" w:rsidP="002116B9"/>
    <w:p w:rsidR="00A07C7A" w:rsidRDefault="00A07C7A" w:rsidP="002116B9"/>
    <w:p w:rsidR="004A5852" w:rsidRDefault="00984C5F" w:rsidP="00B40631">
      <w:pPr>
        <w:pStyle w:val="t"/>
        <w:spacing w:before="120" w:after="120" w:line="360" w:lineRule="auto"/>
        <w:ind w:firstLine="1701"/>
        <w:rPr>
          <w:rFonts w:ascii="Times New Roman" w:hAnsi="Times New Roman" w:cs="Times New Roman"/>
          <w:sz w:val="24"/>
          <w:szCs w:val="24"/>
        </w:rPr>
      </w:pPr>
      <w:r w:rsidRPr="00264A05">
        <w:rPr>
          <w:rFonts w:ascii="Times New Roman" w:hAnsi="Times New Roman" w:cs="Times New Roman"/>
          <w:sz w:val="24"/>
          <w:szCs w:val="24"/>
        </w:rPr>
        <w:t>Seguindo na análise de algumas das propostas formuladas pela Comissão de Juristas</w:t>
      </w:r>
      <w:r w:rsidR="00923A54">
        <w:rPr>
          <w:rFonts w:ascii="Times New Roman" w:hAnsi="Times New Roman" w:cs="Times New Roman"/>
          <w:sz w:val="24"/>
          <w:szCs w:val="24"/>
        </w:rPr>
        <w:t xml:space="preserve"> </w:t>
      </w:r>
      <w:r w:rsidRPr="00264A05">
        <w:rPr>
          <w:rFonts w:ascii="Times New Roman" w:hAnsi="Times New Roman" w:cs="Times New Roman"/>
          <w:sz w:val="24"/>
          <w:szCs w:val="24"/>
        </w:rPr>
        <w:t>nomeada no âmbito do Senado Federal para</w:t>
      </w:r>
      <w:r w:rsidR="00000FCE" w:rsidRPr="00264A05">
        <w:rPr>
          <w:rFonts w:ascii="Times New Roman" w:hAnsi="Times New Roman" w:cs="Times New Roman"/>
          <w:sz w:val="24"/>
          <w:szCs w:val="24"/>
        </w:rPr>
        <w:t xml:space="preserve"> a</w:t>
      </w:r>
      <w:r w:rsidRPr="00264A05">
        <w:rPr>
          <w:rFonts w:ascii="Times New Roman" w:hAnsi="Times New Roman" w:cs="Times New Roman"/>
          <w:sz w:val="24"/>
          <w:szCs w:val="24"/>
        </w:rPr>
        <w:t xml:space="preserve"> Reforma do Código Civil</w:t>
      </w:r>
      <w:r w:rsidR="00923A54">
        <w:rPr>
          <w:rFonts w:ascii="Times New Roman" w:hAnsi="Times New Roman" w:cs="Times New Roman"/>
          <w:sz w:val="24"/>
          <w:szCs w:val="24"/>
        </w:rPr>
        <w:t>,</w:t>
      </w:r>
      <w:r w:rsidR="004A5852">
        <w:rPr>
          <w:rFonts w:ascii="Times New Roman" w:hAnsi="Times New Roman" w:cs="Times New Roman"/>
          <w:sz w:val="24"/>
          <w:szCs w:val="24"/>
        </w:rPr>
        <w:t xml:space="preserve"> </w:t>
      </w:r>
      <w:r w:rsidR="00923A54">
        <w:rPr>
          <w:rFonts w:ascii="Times New Roman" w:hAnsi="Times New Roman" w:cs="Times New Roman"/>
          <w:sz w:val="24"/>
          <w:szCs w:val="24"/>
        </w:rPr>
        <w:t>a respeito</w:t>
      </w:r>
      <w:r w:rsidR="004A5852">
        <w:rPr>
          <w:rFonts w:ascii="Times New Roman" w:hAnsi="Times New Roman" w:cs="Times New Roman"/>
          <w:sz w:val="24"/>
          <w:szCs w:val="24"/>
        </w:rPr>
        <w:t xml:space="preserve"> dos </w:t>
      </w:r>
      <w:r w:rsidR="004A5852" w:rsidRPr="004A5852">
        <w:rPr>
          <w:rFonts w:ascii="Times New Roman" w:hAnsi="Times New Roman" w:cs="Times New Roman"/>
          <w:i/>
          <w:sz w:val="24"/>
          <w:szCs w:val="24"/>
        </w:rPr>
        <w:t>alimentos familiares</w:t>
      </w:r>
      <w:r w:rsidR="004A5852">
        <w:rPr>
          <w:rFonts w:ascii="Times New Roman" w:hAnsi="Times New Roman" w:cs="Times New Roman"/>
          <w:sz w:val="24"/>
          <w:szCs w:val="24"/>
        </w:rPr>
        <w:t xml:space="preserve">, analisarei as sugestões feitas </w:t>
      </w:r>
      <w:r w:rsidR="00923A54">
        <w:rPr>
          <w:rFonts w:ascii="Times New Roman" w:hAnsi="Times New Roman" w:cs="Times New Roman"/>
          <w:sz w:val="24"/>
          <w:szCs w:val="24"/>
        </w:rPr>
        <w:t xml:space="preserve">para aqueles </w:t>
      </w:r>
      <w:r w:rsidR="004A5852">
        <w:rPr>
          <w:rFonts w:ascii="Times New Roman" w:hAnsi="Times New Roman" w:cs="Times New Roman"/>
          <w:sz w:val="24"/>
          <w:szCs w:val="24"/>
        </w:rPr>
        <w:t>pleiteados entre cônjuges e conviventes</w:t>
      </w:r>
      <w:r w:rsidR="00284075">
        <w:rPr>
          <w:rFonts w:ascii="Times New Roman" w:hAnsi="Times New Roman" w:cs="Times New Roman"/>
          <w:sz w:val="24"/>
          <w:szCs w:val="24"/>
        </w:rPr>
        <w:t>, sobretudo para os atuais arts. 1.702, 1.703 e 1.704 da Lei Geral Privada</w:t>
      </w:r>
      <w:r w:rsidR="004A5852">
        <w:rPr>
          <w:rFonts w:ascii="Times New Roman" w:hAnsi="Times New Roman" w:cs="Times New Roman"/>
          <w:sz w:val="24"/>
          <w:szCs w:val="24"/>
        </w:rPr>
        <w:t xml:space="preserve">. </w:t>
      </w:r>
    </w:p>
    <w:p w:rsidR="00284075" w:rsidRDefault="00284075" w:rsidP="00B4063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Começando-se pelo primeiro comando, enuncia ele atualmente </w:t>
      </w:r>
      <w:r w:rsidR="004A5852" w:rsidRPr="004A5852">
        <w:rPr>
          <w:rFonts w:ascii="Times New Roman" w:hAnsi="Times New Roman" w:cs="Times New Roman"/>
          <w:sz w:val="24"/>
          <w:szCs w:val="24"/>
        </w:rPr>
        <w:t xml:space="preserve">que na separação judicial litigiosa, sendo um dos cônjuges inocente e desprovido de recursos, o outro, culpado, será obrigado a prestar os alimentos, obedecidos os critérios legais relativos ao binômio ou trinômio alimentar. Manteve-se, assim e de forma expressa, a influência da culpa quanto aos alimentos, o que é mitigado pelo conteúdo dos </w:t>
      </w:r>
      <w:r>
        <w:rPr>
          <w:rFonts w:ascii="Times New Roman" w:hAnsi="Times New Roman" w:cs="Times New Roman"/>
          <w:sz w:val="24"/>
          <w:szCs w:val="24"/>
        </w:rPr>
        <w:t xml:space="preserve">atuais </w:t>
      </w:r>
      <w:r w:rsidR="004A5852" w:rsidRPr="004A5852">
        <w:rPr>
          <w:rFonts w:ascii="Times New Roman" w:hAnsi="Times New Roman" w:cs="Times New Roman"/>
          <w:sz w:val="24"/>
          <w:szCs w:val="24"/>
        </w:rPr>
        <w:t>arts. 1.694, § 2º, e 1.704, parágrafo único, do Código Civil</w:t>
      </w:r>
      <w:r w:rsidR="00923A54">
        <w:rPr>
          <w:rFonts w:ascii="Times New Roman" w:hAnsi="Times New Roman" w:cs="Times New Roman"/>
          <w:sz w:val="24"/>
          <w:szCs w:val="24"/>
        </w:rPr>
        <w:t>, analisados a seguir</w:t>
      </w:r>
      <w:r w:rsidR="004A5852" w:rsidRPr="004A5852">
        <w:rPr>
          <w:rFonts w:ascii="Times New Roman" w:hAnsi="Times New Roman" w:cs="Times New Roman"/>
          <w:sz w:val="24"/>
          <w:szCs w:val="24"/>
        </w:rPr>
        <w:t xml:space="preserve">. </w:t>
      </w:r>
    </w:p>
    <w:p w:rsidR="00284075" w:rsidRDefault="00FC6067" w:rsidP="00B40631">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Observa-se, portanto, que a</w:t>
      </w:r>
      <w:r w:rsidR="00102A92">
        <w:rPr>
          <w:rFonts w:ascii="Times New Roman" w:hAnsi="Times New Roman" w:cs="Times New Roman"/>
          <w:sz w:val="24"/>
          <w:szCs w:val="24"/>
        </w:rPr>
        <w:t xml:space="preserve"> </w:t>
      </w:r>
      <w:r w:rsidR="00284075">
        <w:rPr>
          <w:rFonts w:ascii="Times New Roman" w:hAnsi="Times New Roman" w:cs="Times New Roman"/>
          <w:sz w:val="24"/>
          <w:szCs w:val="24"/>
        </w:rPr>
        <w:t>norma hoje menciona a separação judicial, estando revogada</w:t>
      </w:r>
      <w:r w:rsidR="004A5852" w:rsidRPr="004A5852">
        <w:rPr>
          <w:rFonts w:ascii="Times New Roman" w:hAnsi="Times New Roman" w:cs="Times New Roman"/>
          <w:sz w:val="24"/>
          <w:szCs w:val="24"/>
        </w:rPr>
        <w:t xml:space="preserve"> diante da emergência da Emenda Constitucional n. 66/2010 e do julgamento do STF no seu Tema n. 1.053 de repercussão geral</w:t>
      </w:r>
      <w:r w:rsidR="00284075">
        <w:rPr>
          <w:rFonts w:ascii="Times New Roman" w:hAnsi="Times New Roman" w:cs="Times New Roman"/>
          <w:sz w:val="24"/>
          <w:szCs w:val="24"/>
        </w:rPr>
        <w:t>, concluindo</w:t>
      </w:r>
      <w:r>
        <w:rPr>
          <w:rFonts w:ascii="Times New Roman" w:hAnsi="Times New Roman" w:cs="Times New Roman"/>
          <w:sz w:val="24"/>
          <w:szCs w:val="24"/>
        </w:rPr>
        <w:t>-se</w:t>
      </w:r>
      <w:r w:rsidR="00284075">
        <w:rPr>
          <w:rFonts w:ascii="Times New Roman" w:hAnsi="Times New Roman" w:cs="Times New Roman"/>
          <w:sz w:val="24"/>
          <w:szCs w:val="24"/>
        </w:rPr>
        <w:t xml:space="preserve"> pela retirada desse instituto do sistema jurídico brasileiro. Nos termos da tese final</w:t>
      </w:r>
      <w:r w:rsidR="00923A54">
        <w:rPr>
          <w:rFonts w:ascii="Times New Roman" w:hAnsi="Times New Roman" w:cs="Times New Roman"/>
          <w:sz w:val="24"/>
          <w:szCs w:val="24"/>
        </w:rPr>
        <w:t xml:space="preserve"> do </w:t>
      </w:r>
      <w:r w:rsidR="00923A54" w:rsidRPr="00923A54">
        <w:rPr>
          <w:rFonts w:ascii="Times New Roman" w:hAnsi="Times New Roman" w:cs="Times New Roman"/>
          <w:i/>
          <w:sz w:val="24"/>
          <w:szCs w:val="24"/>
        </w:rPr>
        <w:t>decisum</w:t>
      </w:r>
      <w:r w:rsidR="00284075">
        <w:rPr>
          <w:rFonts w:ascii="Times New Roman" w:hAnsi="Times New Roman" w:cs="Times New Roman"/>
          <w:sz w:val="24"/>
          <w:szCs w:val="24"/>
        </w:rPr>
        <w:t xml:space="preserve">, </w:t>
      </w:r>
      <w:r w:rsidR="00923A54">
        <w:rPr>
          <w:rFonts w:ascii="Times New Roman" w:hAnsi="Times New Roman" w:cs="Times New Roman"/>
          <w:sz w:val="24"/>
          <w:szCs w:val="24"/>
        </w:rPr>
        <w:t xml:space="preserve">do ano de 2023, </w:t>
      </w:r>
      <w:r w:rsidR="00284075" w:rsidRPr="00284075">
        <w:rPr>
          <w:rFonts w:ascii="Times New Roman" w:hAnsi="Times New Roman" w:cs="Times New Roman"/>
          <w:sz w:val="24"/>
          <w:szCs w:val="24"/>
        </w:rPr>
        <w:t>“</w:t>
      </w:r>
      <w:r w:rsidR="00A07C7A">
        <w:rPr>
          <w:rFonts w:ascii="Times New Roman" w:hAnsi="Times New Roman" w:cs="Times New Roman"/>
          <w:sz w:val="24"/>
          <w:szCs w:val="24"/>
        </w:rPr>
        <w:t>a</w:t>
      </w:r>
      <w:r w:rsidR="00A07C7A" w:rsidRPr="00A07C7A">
        <w:rPr>
          <w:rFonts w:ascii="Times New Roman" w:hAnsi="Times New Roman" w:cs="Times New Roman"/>
          <w:sz w:val="24"/>
          <w:szCs w:val="24"/>
        </w:rPr>
        <w:t>pós a promulgação da Emenda Constitucional 66/2010, a separação judicial não é mais requisito para o divórcio, nem subsiste como figura autônoma no ordenamento jurídico</w:t>
      </w:r>
      <w:r w:rsidR="00284075" w:rsidRPr="00284075">
        <w:rPr>
          <w:rFonts w:ascii="Times New Roman" w:hAnsi="Times New Roman" w:cs="Times New Roman"/>
          <w:sz w:val="24"/>
          <w:szCs w:val="24"/>
        </w:rPr>
        <w:t>”</w:t>
      </w:r>
      <w:r w:rsidR="00284075">
        <w:rPr>
          <w:rFonts w:ascii="Times New Roman" w:hAnsi="Times New Roman" w:cs="Times New Roman"/>
          <w:sz w:val="24"/>
          <w:szCs w:val="24"/>
        </w:rPr>
        <w:t>. Portanto, não há qualquer aplicação prática</w:t>
      </w:r>
      <w:r w:rsidR="00923A54">
        <w:rPr>
          <w:rFonts w:ascii="Times New Roman" w:hAnsi="Times New Roman" w:cs="Times New Roman"/>
          <w:sz w:val="24"/>
          <w:szCs w:val="24"/>
        </w:rPr>
        <w:t xml:space="preserve"> atual</w:t>
      </w:r>
      <w:r w:rsidR="00284075">
        <w:rPr>
          <w:rFonts w:ascii="Times New Roman" w:hAnsi="Times New Roman" w:cs="Times New Roman"/>
          <w:sz w:val="24"/>
          <w:szCs w:val="24"/>
        </w:rPr>
        <w:t xml:space="preserve"> do seu conteúdo</w:t>
      </w:r>
      <w:r>
        <w:rPr>
          <w:rFonts w:ascii="Times New Roman" w:hAnsi="Times New Roman" w:cs="Times New Roman"/>
          <w:sz w:val="24"/>
          <w:szCs w:val="24"/>
        </w:rPr>
        <w:t>, o que justifica a sua modificação imediata.</w:t>
      </w:r>
      <w:r w:rsidR="00102A92">
        <w:rPr>
          <w:rFonts w:ascii="Times New Roman" w:hAnsi="Times New Roman" w:cs="Times New Roman"/>
          <w:sz w:val="24"/>
          <w:szCs w:val="24"/>
        </w:rPr>
        <w:t xml:space="preserve"> </w:t>
      </w:r>
    </w:p>
    <w:p w:rsidR="00FC6067" w:rsidRDefault="00FC6067" w:rsidP="004A585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Nesse contexto, a</w:t>
      </w:r>
      <w:r w:rsidR="004A5852" w:rsidRPr="004A5852">
        <w:rPr>
          <w:rFonts w:ascii="Times New Roman" w:hAnsi="Times New Roman" w:cs="Times New Roman"/>
          <w:sz w:val="24"/>
          <w:szCs w:val="24"/>
        </w:rPr>
        <w:t xml:space="preserve"> Comissão de Juristas </w:t>
      </w:r>
      <w:r>
        <w:rPr>
          <w:rFonts w:ascii="Times New Roman" w:hAnsi="Times New Roman" w:cs="Times New Roman"/>
          <w:sz w:val="24"/>
          <w:szCs w:val="24"/>
        </w:rPr>
        <w:t xml:space="preserve">encarregada da Reforma do </w:t>
      </w:r>
      <w:r>
        <w:rPr>
          <w:rFonts w:ascii="Times New Roman" w:hAnsi="Times New Roman" w:cs="Times New Roman"/>
          <w:sz w:val="24"/>
          <w:szCs w:val="24"/>
        </w:rPr>
        <w:lastRenderedPageBreak/>
        <w:t xml:space="preserve">Código Civil </w:t>
      </w:r>
      <w:r w:rsidR="004A5852" w:rsidRPr="004A5852">
        <w:rPr>
          <w:rFonts w:ascii="Times New Roman" w:hAnsi="Times New Roman" w:cs="Times New Roman"/>
          <w:sz w:val="24"/>
          <w:szCs w:val="24"/>
        </w:rPr>
        <w:t>sugere um Capítulo III, para subtítulo dos alimentos, a saber: “</w:t>
      </w:r>
      <w:r>
        <w:rPr>
          <w:rFonts w:ascii="Times New Roman" w:hAnsi="Times New Roman" w:cs="Times New Roman"/>
          <w:sz w:val="24"/>
          <w:szCs w:val="24"/>
        </w:rPr>
        <w:t>d</w:t>
      </w:r>
      <w:r w:rsidR="004A5852" w:rsidRPr="004A5852">
        <w:rPr>
          <w:rFonts w:ascii="Times New Roman" w:hAnsi="Times New Roman" w:cs="Times New Roman"/>
          <w:sz w:val="24"/>
          <w:szCs w:val="24"/>
        </w:rPr>
        <w:t>os Alimentos devidos às Famílias Conjugais e Convivenciais</w:t>
      </w:r>
      <w:r w:rsidR="004A5852" w:rsidRPr="004A5852">
        <w:rPr>
          <w:rFonts w:ascii="Times New Roman" w:hAnsi="Times New Roman" w:cs="Times New Roman"/>
          <w:sz w:val="24"/>
          <w:szCs w:val="24"/>
        </w:rPr>
        <w:t>”.</w:t>
      </w:r>
      <w:r w:rsidR="00102A92">
        <w:rPr>
          <w:rFonts w:ascii="Times New Roman" w:hAnsi="Times New Roman" w:cs="Times New Roman"/>
          <w:sz w:val="24"/>
          <w:szCs w:val="24"/>
        </w:rPr>
        <w:t xml:space="preserve"> </w:t>
      </w:r>
      <w:r w:rsidR="004A5852" w:rsidRPr="004A5852">
        <w:rPr>
          <w:rFonts w:ascii="Times New Roman" w:hAnsi="Times New Roman" w:cs="Times New Roman"/>
          <w:sz w:val="24"/>
          <w:szCs w:val="24"/>
        </w:rPr>
        <w:t>Nesse novo título estarão os arts. 1.702, 1.704, 1.708 e 1.709, sendo os demais revogados, por razões distintas, sobretudo para adaptação à nova organização temática construída pela Professora Rosa Maria de Andrade Nery</w:t>
      </w:r>
      <w:r w:rsidR="00923A54">
        <w:rPr>
          <w:rFonts w:ascii="Times New Roman" w:hAnsi="Times New Roman" w:cs="Times New Roman"/>
          <w:sz w:val="24"/>
          <w:szCs w:val="24"/>
        </w:rPr>
        <w:t>, Relatora-Geral do Anteprojeto</w:t>
      </w:r>
      <w:r w:rsidR="004A5852" w:rsidRPr="004A5852">
        <w:rPr>
          <w:rFonts w:ascii="Times New Roman" w:hAnsi="Times New Roman" w:cs="Times New Roman"/>
          <w:sz w:val="24"/>
          <w:szCs w:val="24"/>
        </w:rPr>
        <w:t xml:space="preserve">. </w:t>
      </w:r>
    </w:p>
    <w:p w:rsidR="00FC6067" w:rsidRDefault="004A5852" w:rsidP="004A5852">
      <w:pPr>
        <w:pStyle w:val="t"/>
        <w:spacing w:before="120" w:after="120" w:line="360" w:lineRule="auto"/>
        <w:ind w:firstLine="1701"/>
        <w:rPr>
          <w:rFonts w:ascii="Times New Roman" w:hAnsi="Times New Roman" w:cs="Times New Roman"/>
          <w:sz w:val="24"/>
          <w:szCs w:val="24"/>
        </w:rPr>
      </w:pPr>
      <w:r w:rsidRPr="004A5852">
        <w:rPr>
          <w:rFonts w:ascii="Times New Roman" w:hAnsi="Times New Roman" w:cs="Times New Roman"/>
          <w:sz w:val="24"/>
          <w:szCs w:val="24"/>
        </w:rPr>
        <w:t xml:space="preserve">Nos termos do art. 1.702, </w:t>
      </w:r>
      <w:r w:rsidRPr="00FC6067">
        <w:rPr>
          <w:rFonts w:ascii="Times New Roman" w:hAnsi="Times New Roman" w:cs="Times New Roman"/>
          <w:i/>
          <w:sz w:val="24"/>
          <w:szCs w:val="24"/>
        </w:rPr>
        <w:t>caput</w:t>
      </w:r>
      <w:r w:rsidRPr="004A5852">
        <w:rPr>
          <w:rFonts w:ascii="Times New Roman" w:hAnsi="Times New Roman" w:cs="Times New Roman"/>
          <w:sz w:val="24"/>
          <w:szCs w:val="24"/>
        </w:rPr>
        <w:t>, ora proposto, “em caso de dissolução do casamento, da sociedade conjugal ou convivencial, sendo um dos cônjuges desprovido de recursos, prestar-lhe-á o outro a pensão alimentícia que o juiz fixar, obedecidos os critérios estabelec</w:t>
      </w:r>
      <w:r w:rsidR="00FC6067">
        <w:rPr>
          <w:rFonts w:ascii="Times New Roman" w:hAnsi="Times New Roman" w:cs="Times New Roman"/>
          <w:sz w:val="24"/>
          <w:szCs w:val="24"/>
        </w:rPr>
        <w:t xml:space="preserve">idos no art. 1.694”. Não haverá, assim, mais a </w:t>
      </w:r>
      <w:r w:rsidRPr="004A5852">
        <w:rPr>
          <w:rFonts w:ascii="Times New Roman" w:hAnsi="Times New Roman" w:cs="Times New Roman"/>
          <w:sz w:val="24"/>
          <w:szCs w:val="24"/>
        </w:rPr>
        <w:t xml:space="preserve">menção à separação judicial, diante de sua retirada do sistema jurídico, sendo o texto alterado para contemplar o divórcio, a separação de fato – que, pelo Anteprojeto, </w:t>
      </w:r>
      <w:r w:rsidR="00923A54">
        <w:rPr>
          <w:rFonts w:ascii="Times New Roman" w:hAnsi="Times New Roman" w:cs="Times New Roman"/>
          <w:sz w:val="24"/>
          <w:szCs w:val="24"/>
        </w:rPr>
        <w:t xml:space="preserve">também </w:t>
      </w:r>
      <w:r w:rsidRPr="004A5852">
        <w:rPr>
          <w:rFonts w:ascii="Times New Roman" w:hAnsi="Times New Roman" w:cs="Times New Roman"/>
          <w:sz w:val="24"/>
          <w:szCs w:val="24"/>
        </w:rPr>
        <w:t xml:space="preserve">põe fim à sociedade conjugal – e a dissolução da união estável. </w:t>
      </w:r>
    </w:p>
    <w:p w:rsidR="00FC6067" w:rsidRDefault="004A5852" w:rsidP="004A5852">
      <w:pPr>
        <w:pStyle w:val="t"/>
        <w:spacing w:before="120" w:after="120" w:line="360" w:lineRule="auto"/>
        <w:ind w:firstLine="1701"/>
        <w:rPr>
          <w:rFonts w:ascii="Times New Roman" w:hAnsi="Times New Roman" w:cs="Times New Roman"/>
          <w:sz w:val="24"/>
          <w:szCs w:val="24"/>
        </w:rPr>
      </w:pPr>
      <w:r w:rsidRPr="004A5852">
        <w:rPr>
          <w:rFonts w:ascii="Times New Roman" w:hAnsi="Times New Roman" w:cs="Times New Roman"/>
          <w:sz w:val="24"/>
          <w:szCs w:val="24"/>
        </w:rPr>
        <w:t xml:space="preserve">Ademais, </w:t>
      </w:r>
      <w:r w:rsidR="00FC6067">
        <w:rPr>
          <w:rFonts w:ascii="Times New Roman" w:hAnsi="Times New Roman" w:cs="Times New Roman"/>
          <w:sz w:val="24"/>
          <w:szCs w:val="24"/>
        </w:rPr>
        <w:t xml:space="preserve">sugere-se </w:t>
      </w:r>
      <w:r w:rsidRPr="004A5852">
        <w:rPr>
          <w:rFonts w:ascii="Times New Roman" w:hAnsi="Times New Roman" w:cs="Times New Roman"/>
          <w:sz w:val="24"/>
          <w:szCs w:val="24"/>
        </w:rPr>
        <w:t xml:space="preserve">um parágrafo único ao art. 1.702, para confirmar o caráter transitório e excepcional dos alimentos para os cônjuges ou conviventes, na linha da jurisprudência hoje consolidada no âmbito do Superior Tribunal de Justiça: “verificando-se que o credor reúne aptidão para obter, por seu próprio esforço, renda suficiente para a sua mantença, poderá o juiz fixar a pensão alimentícia com termo final, observado o lapso temporal necessário e razoável para que ele promova a sua inserção, recolocação ou progressão no mercado de trabalho”. </w:t>
      </w:r>
    </w:p>
    <w:p w:rsidR="00FC6067" w:rsidRDefault="004A5852" w:rsidP="004A5852">
      <w:pPr>
        <w:pStyle w:val="t"/>
        <w:spacing w:before="120" w:after="120" w:line="360" w:lineRule="auto"/>
        <w:ind w:firstLine="1701"/>
        <w:rPr>
          <w:rFonts w:ascii="Times New Roman" w:hAnsi="Times New Roman" w:cs="Times New Roman"/>
          <w:sz w:val="24"/>
          <w:szCs w:val="24"/>
        </w:rPr>
      </w:pPr>
      <w:r w:rsidRPr="004A5852">
        <w:rPr>
          <w:rFonts w:ascii="Times New Roman" w:hAnsi="Times New Roman" w:cs="Times New Roman"/>
          <w:sz w:val="24"/>
          <w:szCs w:val="24"/>
        </w:rPr>
        <w:t xml:space="preserve">Consoante as justificativas da Subcomissão de Direito de Família, em boa hora, a projeção “consagra os alimentos transitórios, entendimento já assente na jurisprudência. Entende-se que não é necessária uma regulamentação exaustiva do instituto, de sorte a deixar uma cláusula geral a ser interpretada pela jurisprudência, que poderá acompanhar a evolução da sociedade, que cada vez mais prega pela igualdade de gênero, bem como pela devida inclusão no mercado de trabalho”. </w:t>
      </w:r>
      <w:r w:rsidR="00FC6067">
        <w:rPr>
          <w:rFonts w:ascii="Times New Roman" w:hAnsi="Times New Roman" w:cs="Times New Roman"/>
          <w:sz w:val="24"/>
          <w:szCs w:val="24"/>
        </w:rPr>
        <w:t xml:space="preserve">A esse propósito vale lembrar a assertiva número 14, publicada na Edição n. 65 da ferramenta </w:t>
      </w:r>
      <w:r w:rsidR="00FC6067" w:rsidRPr="00FC6067">
        <w:rPr>
          <w:rFonts w:ascii="Times New Roman" w:hAnsi="Times New Roman" w:cs="Times New Roman"/>
          <w:i/>
          <w:sz w:val="24"/>
          <w:szCs w:val="24"/>
        </w:rPr>
        <w:t>Jurisprudência em Teses</w:t>
      </w:r>
      <w:r w:rsidR="00923A54">
        <w:rPr>
          <w:rFonts w:ascii="Times New Roman" w:hAnsi="Times New Roman" w:cs="Times New Roman"/>
          <w:sz w:val="24"/>
          <w:szCs w:val="24"/>
        </w:rPr>
        <w:t xml:space="preserve"> do Tribunal da Cidadania</w:t>
      </w:r>
      <w:r w:rsidR="00FC6067">
        <w:rPr>
          <w:rFonts w:ascii="Times New Roman" w:hAnsi="Times New Roman" w:cs="Times New Roman"/>
          <w:sz w:val="24"/>
          <w:szCs w:val="24"/>
        </w:rPr>
        <w:t>, com o</w:t>
      </w:r>
      <w:r w:rsidR="00BB6C22">
        <w:rPr>
          <w:rFonts w:ascii="Times New Roman" w:hAnsi="Times New Roman" w:cs="Times New Roman"/>
          <w:sz w:val="24"/>
          <w:szCs w:val="24"/>
        </w:rPr>
        <w:t>s</w:t>
      </w:r>
      <w:r w:rsidR="00FC6067">
        <w:rPr>
          <w:rFonts w:ascii="Times New Roman" w:hAnsi="Times New Roman" w:cs="Times New Roman"/>
          <w:sz w:val="24"/>
          <w:szCs w:val="24"/>
        </w:rPr>
        <w:t xml:space="preserve"> seguintes dizeres: "o</w:t>
      </w:r>
      <w:r w:rsidR="00FC6067" w:rsidRPr="00FC6067">
        <w:rPr>
          <w:rFonts w:ascii="Times New Roman" w:hAnsi="Times New Roman" w:cs="Times New Roman"/>
          <w:sz w:val="24"/>
          <w:szCs w:val="24"/>
        </w:rPr>
        <w:t>s alimentos devidos entre ex-cônjuges devem ter caráter excepcional, transitório e devem ser fixados por prazo determinado, exceto quando um dos cônjuges não possua mais condições de reinserção no mercado do trabalho ou de readquirir sua autonomia financeira</w:t>
      </w:r>
      <w:r w:rsidR="00FC6067">
        <w:rPr>
          <w:rFonts w:ascii="Times New Roman" w:hAnsi="Times New Roman" w:cs="Times New Roman"/>
          <w:sz w:val="24"/>
          <w:szCs w:val="24"/>
        </w:rPr>
        <w:t>"</w:t>
      </w:r>
      <w:r w:rsidR="00FC6067" w:rsidRPr="00FC6067">
        <w:rPr>
          <w:rFonts w:ascii="Times New Roman" w:hAnsi="Times New Roman" w:cs="Times New Roman"/>
          <w:sz w:val="24"/>
          <w:szCs w:val="24"/>
        </w:rPr>
        <w:t>.</w:t>
      </w:r>
      <w:r w:rsidR="00FC6067">
        <w:rPr>
          <w:rFonts w:ascii="Times New Roman" w:hAnsi="Times New Roman" w:cs="Times New Roman"/>
          <w:sz w:val="24"/>
          <w:szCs w:val="24"/>
        </w:rPr>
        <w:t xml:space="preserve"> </w:t>
      </w:r>
      <w:r w:rsidRPr="004A5852">
        <w:rPr>
          <w:rFonts w:ascii="Times New Roman" w:hAnsi="Times New Roman" w:cs="Times New Roman"/>
          <w:sz w:val="24"/>
          <w:szCs w:val="24"/>
        </w:rPr>
        <w:t>Espera-se, portanto, a aprovação d</w:t>
      </w:r>
      <w:r w:rsidR="00FC6067">
        <w:rPr>
          <w:rFonts w:ascii="Times New Roman" w:hAnsi="Times New Roman" w:cs="Times New Roman"/>
          <w:sz w:val="24"/>
          <w:szCs w:val="24"/>
        </w:rPr>
        <w:t>essas</w:t>
      </w:r>
      <w:r w:rsidRPr="004A5852">
        <w:rPr>
          <w:rFonts w:ascii="Times New Roman" w:hAnsi="Times New Roman" w:cs="Times New Roman"/>
          <w:sz w:val="24"/>
          <w:szCs w:val="24"/>
        </w:rPr>
        <w:t xml:space="preserve"> modificações pelo Congresso Nacional, pois são mais do que necessárias.</w:t>
      </w:r>
      <w:r>
        <w:rPr>
          <w:rFonts w:ascii="Times New Roman" w:hAnsi="Times New Roman" w:cs="Times New Roman"/>
          <w:sz w:val="24"/>
          <w:szCs w:val="24"/>
        </w:rPr>
        <w:t xml:space="preserve"> </w:t>
      </w:r>
    </w:p>
    <w:p w:rsidR="00FC6067" w:rsidRDefault="00FC6067" w:rsidP="004A585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No que diz respeito ao atual a</w:t>
      </w:r>
      <w:r w:rsidR="004A5852" w:rsidRPr="004A5852">
        <w:rPr>
          <w:rFonts w:ascii="Times New Roman" w:hAnsi="Times New Roman" w:cs="Times New Roman"/>
          <w:sz w:val="24"/>
          <w:szCs w:val="24"/>
        </w:rPr>
        <w:t>rt. 1.703</w:t>
      </w:r>
      <w:r>
        <w:rPr>
          <w:rFonts w:ascii="Times New Roman" w:hAnsi="Times New Roman" w:cs="Times New Roman"/>
          <w:sz w:val="24"/>
          <w:szCs w:val="24"/>
        </w:rPr>
        <w:t xml:space="preserve"> da codificação privada, </w:t>
      </w:r>
      <w:r>
        <w:rPr>
          <w:rFonts w:ascii="Times New Roman" w:hAnsi="Times New Roman" w:cs="Times New Roman"/>
          <w:sz w:val="24"/>
          <w:szCs w:val="24"/>
        </w:rPr>
        <w:lastRenderedPageBreak/>
        <w:t>expressa ele o seguinte: "p</w:t>
      </w:r>
      <w:r w:rsidR="004A5852" w:rsidRPr="004A5852">
        <w:rPr>
          <w:rFonts w:ascii="Times New Roman" w:hAnsi="Times New Roman" w:cs="Times New Roman"/>
          <w:sz w:val="24"/>
          <w:szCs w:val="24"/>
        </w:rPr>
        <w:t>ara a manutenção dos filhos, os cônjuges separados judicialmente contribuirão na proporção de seus recursos</w:t>
      </w:r>
      <w:r>
        <w:rPr>
          <w:rFonts w:ascii="Times New Roman" w:hAnsi="Times New Roman" w:cs="Times New Roman"/>
          <w:sz w:val="24"/>
          <w:szCs w:val="24"/>
        </w:rPr>
        <w:t>"</w:t>
      </w:r>
      <w:r w:rsidR="004A5852" w:rsidRPr="004A5852">
        <w:rPr>
          <w:rFonts w:ascii="Times New Roman" w:hAnsi="Times New Roman" w:cs="Times New Roman"/>
          <w:sz w:val="24"/>
          <w:szCs w:val="24"/>
        </w:rPr>
        <w:t>.</w:t>
      </w:r>
      <w:r>
        <w:rPr>
          <w:rFonts w:ascii="Times New Roman" w:hAnsi="Times New Roman" w:cs="Times New Roman"/>
          <w:sz w:val="24"/>
          <w:szCs w:val="24"/>
        </w:rPr>
        <w:t xml:space="preserve"> Nesse contexto, q</w:t>
      </w:r>
      <w:r w:rsidR="004A5852" w:rsidRPr="004A5852">
        <w:rPr>
          <w:rFonts w:ascii="Times New Roman" w:hAnsi="Times New Roman" w:cs="Times New Roman"/>
          <w:sz w:val="24"/>
          <w:szCs w:val="24"/>
        </w:rPr>
        <w:t>uanto aos alimentos devidos aos filhos</w:t>
      </w:r>
      <w:r w:rsidR="00923A54">
        <w:rPr>
          <w:rFonts w:ascii="Times New Roman" w:hAnsi="Times New Roman" w:cs="Times New Roman"/>
          <w:sz w:val="24"/>
          <w:szCs w:val="24"/>
        </w:rPr>
        <w:t xml:space="preserve"> diante do fim da conjugalidade</w:t>
      </w:r>
      <w:r w:rsidR="004A5852" w:rsidRPr="004A5852">
        <w:rPr>
          <w:rFonts w:ascii="Times New Roman" w:hAnsi="Times New Roman" w:cs="Times New Roman"/>
          <w:sz w:val="24"/>
          <w:szCs w:val="24"/>
        </w:rPr>
        <w:t xml:space="preserve">, </w:t>
      </w:r>
      <w:r w:rsidR="00923A54">
        <w:rPr>
          <w:rFonts w:ascii="Times New Roman" w:hAnsi="Times New Roman" w:cs="Times New Roman"/>
          <w:sz w:val="24"/>
          <w:szCs w:val="24"/>
        </w:rPr>
        <w:t xml:space="preserve">e que envolvem indiretamente o tema central deste texto, </w:t>
      </w:r>
      <w:r w:rsidR="004A5852" w:rsidRPr="004A5852">
        <w:rPr>
          <w:rFonts w:ascii="Times New Roman" w:hAnsi="Times New Roman" w:cs="Times New Roman"/>
          <w:sz w:val="24"/>
          <w:szCs w:val="24"/>
        </w:rPr>
        <w:t>visando à sua manutenção digna, determina a norma que os cônjuges separados judicialmente contribuirão na proporção de seus recursos, ou seja, de acordo com a</w:t>
      </w:r>
      <w:r w:rsidR="00923A54">
        <w:rPr>
          <w:rFonts w:ascii="Times New Roman" w:hAnsi="Times New Roman" w:cs="Times New Roman"/>
          <w:sz w:val="24"/>
          <w:szCs w:val="24"/>
        </w:rPr>
        <w:t>s</w:t>
      </w:r>
      <w:r w:rsidR="004A5852" w:rsidRPr="004A5852">
        <w:rPr>
          <w:rFonts w:ascii="Times New Roman" w:hAnsi="Times New Roman" w:cs="Times New Roman"/>
          <w:sz w:val="24"/>
          <w:szCs w:val="24"/>
        </w:rPr>
        <w:t xml:space="preserve"> sua</w:t>
      </w:r>
      <w:r w:rsidR="00923A54">
        <w:rPr>
          <w:rFonts w:ascii="Times New Roman" w:hAnsi="Times New Roman" w:cs="Times New Roman"/>
          <w:sz w:val="24"/>
          <w:szCs w:val="24"/>
        </w:rPr>
        <w:t>s</w:t>
      </w:r>
      <w:r w:rsidR="004A5852" w:rsidRPr="004A5852">
        <w:rPr>
          <w:rFonts w:ascii="Times New Roman" w:hAnsi="Times New Roman" w:cs="Times New Roman"/>
          <w:sz w:val="24"/>
          <w:szCs w:val="24"/>
        </w:rPr>
        <w:t xml:space="preserve"> possibilidade</w:t>
      </w:r>
      <w:r w:rsidR="00923A54">
        <w:rPr>
          <w:rFonts w:ascii="Times New Roman" w:hAnsi="Times New Roman" w:cs="Times New Roman"/>
          <w:sz w:val="24"/>
          <w:szCs w:val="24"/>
        </w:rPr>
        <w:t>s</w:t>
      </w:r>
      <w:r w:rsidR="004A5852" w:rsidRPr="004A5852">
        <w:rPr>
          <w:rFonts w:ascii="Times New Roman" w:hAnsi="Times New Roman" w:cs="Times New Roman"/>
          <w:sz w:val="24"/>
          <w:szCs w:val="24"/>
        </w:rPr>
        <w:t xml:space="preserve">. </w:t>
      </w:r>
    </w:p>
    <w:p w:rsidR="00923A54" w:rsidRDefault="004A5852" w:rsidP="004A5852">
      <w:pPr>
        <w:pStyle w:val="t"/>
        <w:spacing w:before="120" w:after="120" w:line="360" w:lineRule="auto"/>
        <w:ind w:firstLine="1701"/>
        <w:rPr>
          <w:rFonts w:ascii="Times New Roman" w:hAnsi="Times New Roman" w:cs="Times New Roman"/>
          <w:sz w:val="24"/>
          <w:szCs w:val="24"/>
        </w:rPr>
      </w:pPr>
      <w:r w:rsidRPr="004A5852">
        <w:rPr>
          <w:rFonts w:ascii="Times New Roman" w:hAnsi="Times New Roman" w:cs="Times New Roman"/>
          <w:sz w:val="24"/>
          <w:szCs w:val="24"/>
        </w:rPr>
        <w:t xml:space="preserve">Repetindo o art. 20 da Lei do Divórcio, percebe-se que o dispositivo não menciona a culpa no que tange aos alimentos devidos aos filhos, devendo-se levar em conta os rendimentos e o patrimônio dos genitores, incidindo a proporcionalidade </w:t>
      </w:r>
      <w:r w:rsidR="00FC6067">
        <w:rPr>
          <w:rFonts w:ascii="Times New Roman" w:hAnsi="Times New Roman" w:cs="Times New Roman"/>
          <w:sz w:val="24"/>
          <w:szCs w:val="24"/>
        </w:rPr>
        <w:t xml:space="preserve">ou razoabilidade, </w:t>
      </w:r>
      <w:r w:rsidRPr="004A5852">
        <w:rPr>
          <w:rFonts w:ascii="Times New Roman" w:hAnsi="Times New Roman" w:cs="Times New Roman"/>
          <w:sz w:val="24"/>
          <w:szCs w:val="24"/>
        </w:rPr>
        <w:t xml:space="preserve">o tão aclamado </w:t>
      </w:r>
      <w:r w:rsidRPr="00FC6067">
        <w:rPr>
          <w:rFonts w:ascii="Times New Roman" w:hAnsi="Times New Roman" w:cs="Times New Roman"/>
          <w:i/>
          <w:sz w:val="24"/>
          <w:szCs w:val="24"/>
        </w:rPr>
        <w:t>binômio</w:t>
      </w:r>
      <w:r w:rsidRPr="004A5852">
        <w:rPr>
          <w:rFonts w:ascii="Times New Roman" w:hAnsi="Times New Roman" w:cs="Times New Roman"/>
          <w:sz w:val="24"/>
          <w:szCs w:val="24"/>
        </w:rPr>
        <w:t xml:space="preserve"> ou </w:t>
      </w:r>
      <w:r w:rsidRPr="00FC6067">
        <w:rPr>
          <w:rFonts w:ascii="Times New Roman" w:hAnsi="Times New Roman" w:cs="Times New Roman"/>
          <w:i/>
          <w:sz w:val="24"/>
          <w:szCs w:val="24"/>
        </w:rPr>
        <w:t>trinômio alimentar</w:t>
      </w:r>
      <w:r w:rsidRPr="004A5852">
        <w:rPr>
          <w:rFonts w:ascii="Times New Roman" w:hAnsi="Times New Roman" w:cs="Times New Roman"/>
          <w:sz w:val="24"/>
          <w:szCs w:val="24"/>
        </w:rPr>
        <w:t xml:space="preserve">. </w:t>
      </w:r>
      <w:r w:rsidR="00FC6067">
        <w:rPr>
          <w:rFonts w:ascii="Times New Roman" w:hAnsi="Times New Roman" w:cs="Times New Roman"/>
          <w:sz w:val="24"/>
          <w:szCs w:val="24"/>
        </w:rPr>
        <w:t>Novamente, d</w:t>
      </w:r>
      <w:r w:rsidRPr="004A5852">
        <w:rPr>
          <w:rFonts w:ascii="Times New Roman" w:hAnsi="Times New Roman" w:cs="Times New Roman"/>
          <w:sz w:val="24"/>
          <w:szCs w:val="24"/>
        </w:rPr>
        <w:t xml:space="preserve">iante da Emenda do Divórcio, que retirou do sistema a separação judicial, </w:t>
      </w:r>
      <w:r w:rsidR="00FC6067">
        <w:rPr>
          <w:rFonts w:ascii="Times New Roman" w:hAnsi="Times New Roman" w:cs="Times New Roman"/>
          <w:sz w:val="24"/>
          <w:szCs w:val="24"/>
        </w:rPr>
        <w:t>esse</w:t>
      </w:r>
      <w:r w:rsidRPr="004A5852">
        <w:rPr>
          <w:rFonts w:ascii="Times New Roman" w:hAnsi="Times New Roman" w:cs="Times New Roman"/>
          <w:sz w:val="24"/>
          <w:szCs w:val="24"/>
        </w:rPr>
        <w:t xml:space="preserve"> art. 1.703 do CC/2002 deve ser lido </w:t>
      </w:r>
      <w:r w:rsidR="00FC6067">
        <w:rPr>
          <w:rFonts w:ascii="Times New Roman" w:hAnsi="Times New Roman" w:cs="Times New Roman"/>
          <w:sz w:val="24"/>
          <w:szCs w:val="24"/>
        </w:rPr>
        <w:t xml:space="preserve">atualmente </w:t>
      </w:r>
      <w:r w:rsidRPr="004A5852">
        <w:rPr>
          <w:rFonts w:ascii="Times New Roman" w:hAnsi="Times New Roman" w:cs="Times New Roman"/>
          <w:sz w:val="24"/>
          <w:szCs w:val="24"/>
        </w:rPr>
        <w:t xml:space="preserve">com menção aos “cônjuges divorciados”, ou seja, com ressalvas. </w:t>
      </w:r>
    </w:p>
    <w:p w:rsidR="00FC6067" w:rsidRDefault="00FC6067" w:rsidP="004A585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No Projeto de Reforma, d</w:t>
      </w:r>
      <w:r w:rsidR="004A5852" w:rsidRPr="004A5852">
        <w:rPr>
          <w:rFonts w:ascii="Times New Roman" w:hAnsi="Times New Roman" w:cs="Times New Roman"/>
          <w:sz w:val="24"/>
          <w:szCs w:val="24"/>
        </w:rPr>
        <w:t xml:space="preserve">iante da nova organização dada ao tema dos alimentos, e da retirada da separação judicial do sistema jurídico, a Comissão de Juristas sugere a revogação expressa do dispositivo, sendo certo que a leitura correta do seu conteúdo, </w:t>
      </w:r>
      <w:r w:rsidR="004A5852" w:rsidRPr="004A5852">
        <w:rPr>
          <w:rFonts w:ascii="Times New Roman" w:hAnsi="Times New Roman" w:cs="Times New Roman"/>
          <w:sz w:val="24"/>
          <w:szCs w:val="24"/>
        </w:rPr>
        <w:t>que possibilita o pleito de alimentos dos filhos em</w:t>
      </w:r>
      <w:r>
        <w:rPr>
          <w:rFonts w:ascii="Times New Roman" w:hAnsi="Times New Roman" w:cs="Times New Roman"/>
          <w:sz w:val="24"/>
          <w:szCs w:val="24"/>
        </w:rPr>
        <w:t xml:space="preserve"> caso de divórcio </w:t>
      </w:r>
      <w:r w:rsidR="00923A54">
        <w:rPr>
          <w:rFonts w:ascii="Times New Roman" w:hAnsi="Times New Roman" w:cs="Times New Roman"/>
          <w:sz w:val="24"/>
          <w:szCs w:val="24"/>
        </w:rPr>
        <w:t xml:space="preserve">ou dissolução da união estável </w:t>
      </w:r>
      <w:r>
        <w:rPr>
          <w:rFonts w:ascii="Times New Roman" w:hAnsi="Times New Roman" w:cs="Times New Roman"/>
          <w:sz w:val="24"/>
          <w:szCs w:val="24"/>
        </w:rPr>
        <w:t>dos seus pais</w:t>
      </w:r>
      <w:r w:rsidR="00BB6C22">
        <w:rPr>
          <w:rFonts w:ascii="Times New Roman" w:hAnsi="Times New Roman" w:cs="Times New Roman"/>
          <w:sz w:val="24"/>
          <w:szCs w:val="24"/>
        </w:rPr>
        <w:t>,</w:t>
      </w:r>
      <w:r>
        <w:rPr>
          <w:rFonts w:ascii="Times New Roman" w:hAnsi="Times New Roman" w:cs="Times New Roman"/>
          <w:sz w:val="24"/>
          <w:szCs w:val="24"/>
        </w:rPr>
        <w:t xml:space="preserve"> será retirada das propostas feitas para os</w:t>
      </w:r>
      <w:r w:rsidR="00102A92">
        <w:rPr>
          <w:rFonts w:ascii="Times New Roman" w:hAnsi="Times New Roman" w:cs="Times New Roman"/>
          <w:sz w:val="24"/>
          <w:szCs w:val="24"/>
        </w:rPr>
        <w:t xml:space="preserve"> </w:t>
      </w:r>
      <w:r w:rsidR="004A5852" w:rsidRPr="004A5852">
        <w:rPr>
          <w:rFonts w:ascii="Times New Roman" w:hAnsi="Times New Roman" w:cs="Times New Roman"/>
          <w:sz w:val="24"/>
          <w:szCs w:val="24"/>
        </w:rPr>
        <w:t>arts. 1.697, 1.697-A e 1.699</w:t>
      </w:r>
      <w:r>
        <w:rPr>
          <w:rFonts w:ascii="Times New Roman" w:hAnsi="Times New Roman" w:cs="Times New Roman"/>
          <w:sz w:val="24"/>
          <w:szCs w:val="24"/>
        </w:rPr>
        <w:t xml:space="preserve">. </w:t>
      </w:r>
    </w:p>
    <w:p w:rsidR="004A5852" w:rsidRPr="004A5852" w:rsidRDefault="00FC6067" w:rsidP="00FC6067">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Quanto ao a</w:t>
      </w:r>
      <w:r w:rsidR="004A5852" w:rsidRPr="004A5852">
        <w:rPr>
          <w:rFonts w:ascii="Times New Roman" w:hAnsi="Times New Roman" w:cs="Times New Roman"/>
          <w:sz w:val="24"/>
          <w:szCs w:val="24"/>
        </w:rPr>
        <w:t>rt. 1.704</w:t>
      </w:r>
      <w:r>
        <w:rPr>
          <w:rFonts w:ascii="Times New Roman" w:hAnsi="Times New Roman" w:cs="Times New Roman"/>
          <w:sz w:val="24"/>
          <w:szCs w:val="24"/>
        </w:rPr>
        <w:t xml:space="preserve">, prescreve atualmente em seu </w:t>
      </w:r>
      <w:r w:rsidRPr="00923A54">
        <w:rPr>
          <w:rFonts w:ascii="Times New Roman" w:hAnsi="Times New Roman" w:cs="Times New Roman"/>
          <w:i/>
          <w:sz w:val="24"/>
          <w:szCs w:val="24"/>
        </w:rPr>
        <w:t xml:space="preserve">caput </w:t>
      </w:r>
      <w:r>
        <w:rPr>
          <w:rFonts w:ascii="Times New Roman" w:hAnsi="Times New Roman" w:cs="Times New Roman"/>
          <w:sz w:val="24"/>
          <w:szCs w:val="24"/>
        </w:rPr>
        <w:t>que</w:t>
      </w:r>
      <w:r w:rsidR="00BB6C22">
        <w:rPr>
          <w:rFonts w:ascii="Times New Roman" w:hAnsi="Times New Roman" w:cs="Times New Roman"/>
          <w:sz w:val="24"/>
          <w:szCs w:val="24"/>
        </w:rPr>
        <w:t>,</w:t>
      </w:r>
      <w:r>
        <w:rPr>
          <w:rFonts w:ascii="Times New Roman" w:hAnsi="Times New Roman" w:cs="Times New Roman"/>
          <w:sz w:val="24"/>
          <w:szCs w:val="24"/>
        </w:rPr>
        <w:t xml:space="preserve"> "s</w:t>
      </w:r>
      <w:r w:rsidR="004A5852" w:rsidRPr="004A5852">
        <w:rPr>
          <w:rFonts w:ascii="Times New Roman" w:hAnsi="Times New Roman" w:cs="Times New Roman"/>
          <w:sz w:val="24"/>
          <w:szCs w:val="24"/>
        </w:rPr>
        <w:t>e um dos cônjuges separados judicialmente vier a necessitar de alimentos, será o outro obrigado a prestá-los mediante pensão a ser fixada pelo juiz, caso não tenha sido declarado culpado na ação de separação judicial</w:t>
      </w:r>
      <w:r>
        <w:rPr>
          <w:rFonts w:ascii="Times New Roman" w:hAnsi="Times New Roman" w:cs="Times New Roman"/>
          <w:sz w:val="24"/>
          <w:szCs w:val="24"/>
        </w:rPr>
        <w:t>"</w:t>
      </w:r>
      <w:r w:rsidR="004A5852" w:rsidRPr="004A5852">
        <w:rPr>
          <w:rFonts w:ascii="Times New Roman" w:hAnsi="Times New Roman" w:cs="Times New Roman"/>
          <w:sz w:val="24"/>
          <w:szCs w:val="24"/>
        </w:rPr>
        <w:t>.</w:t>
      </w:r>
      <w:r>
        <w:rPr>
          <w:rFonts w:ascii="Times New Roman" w:hAnsi="Times New Roman" w:cs="Times New Roman"/>
          <w:sz w:val="24"/>
          <w:szCs w:val="24"/>
        </w:rPr>
        <w:t xml:space="preserve"> E</w:t>
      </w:r>
      <w:r w:rsidR="00BB6C22">
        <w:rPr>
          <w:rFonts w:ascii="Times New Roman" w:hAnsi="Times New Roman" w:cs="Times New Roman"/>
          <w:sz w:val="24"/>
          <w:szCs w:val="24"/>
        </w:rPr>
        <w:t>,</w:t>
      </w:r>
      <w:r>
        <w:rPr>
          <w:rFonts w:ascii="Times New Roman" w:hAnsi="Times New Roman" w:cs="Times New Roman"/>
          <w:sz w:val="24"/>
          <w:szCs w:val="24"/>
        </w:rPr>
        <w:t xml:space="preserve"> nos termos do seu polêmico parágrafo único, "s</w:t>
      </w:r>
      <w:r w:rsidR="004A5852" w:rsidRPr="004A5852">
        <w:rPr>
          <w:rFonts w:ascii="Times New Roman" w:hAnsi="Times New Roman" w:cs="Times New Roman"/>
          <w:sz w:val="24"/>
          <w:szCs w:val="24"/>
        </w:rPr>
        <w:t>e o cônjuge declarado culpado vier a necessitar de alimentos, e não tiver parentes em condições de prestá-los, nem aptidão para o trabalho, o outro cônjuge será obrigado a assegurá-los, fixando o juiz o valor indispensável à sobrevivência</w:t>
      </w:r>
      <w:r>
        <w:rPr>
          <w:rFonts w:ascii="Times New Roman" w:hAnsi="Times New Roman" w:cs="Times New Roman"/>
          <w:sz w:val="24"/>
          <w:szCs w:val="24"/>
        </w:rPr>
        <w:t>"</w:t>
      </w:r>
      <w:r w:rsidR="004A5852" w:rsidRPr="004A5852">
        <w:rPr>
          <w:rFonts w:ascii="Times New Roman" w:hAnsi="Times New Roman" w:cs="Times New Roman"/>
          <w:sz w:val="24"/>
          <w:szCs w:val="24"/>
        </w:rPr>
        <w:t>.</w:t>
      </w:r>
    </w:p>
    <w:p w:rsidR="00FC6067" w:rsidRDefault="00FC6067" w:rsidP="004A585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Assim, mais uma vez, </w:t>
      </w:r>
      <w:r w:rsidR="004A5852" w:rsidRPr="004A5852">
        <w:rPr>
          <w:rFonts w:ascii="Times New Roman" w:hAnsi="Times New Roman" w:cs="Times New Roman"/>
          <w:sz w:val="24"/>
          <w:szCs w:val="24"/>
        </w:rPr>
        <w:t xml:space="preserve">manteve-se literalmente na codificação privada </w:t>
      </w:r>
      <w:r w:rsidR="00923A54">
        <w:rPr>
          <w:rFonts w:ascii="Times New Roman" w:hAnsi="Times New Roman" w:cs="Times New Roman"/>
          <w:sz w:val="24"/>
          <w:szCs w:val="24"/>
        </w:rPr>
        <w:t xml:space="preserve">em vigor </w:t>
      </w:r>
      <w:r w:rsidR="004A5852" w:rsidRPr="004A5852">
        <w:rPr>
          <w:rFonts w:ascii="Times New Roman" w:hAnsi="Times New Roman" w:cs="Times New Roman"/>
          <w:sz w:val="24"/>
          <w:szCs w:val="24"/>
        </w:rPr>
        <w:t xml:space="preserve">a influência da culpa quanto aos alimentos, o que já era retirado do art. 19 da Lei do Divórcio, segundo o qual “o cônjuge responsável pela separação judicial prestará ao outro, se dela necessitar, a pensão que o juiz fixar”. Assim, o cônjuge inocente pelo fim da união pode pleitear os alimentos do culpado, de forma integral e sem qualquer ressalva, o que é retirado do </w:t>
      </w:r>
      <w:r w:rsidR="00F54D35" w:rsidRPr="00F54D35">
        <w:rPr>
          <w:rFonts w:ascii="Times New Roman" w:hAnsi="Times New Roman" w:cs="Times New Roman"/>
          <w:i/>
          <w:iCs/>
          <w:sz w:val="24"/>
          <w:szCs w:val="24"/>
        </w:rPr>
        <w:t xml:space="preserve">caput </w:t>
      </w:r>
      <w:r w:rsidR="004A5852" w:rsidRPr="004A5852">
        <w:rPr>
          <w:rFonts w:ascii="Times New Roman" w:hAnsi="Times New Roman" w:cs="Times New Roman"/>
          <w:sz w:val="24"/>
          <w:szCs w:val="24"/>
        </w:rPr>
        <w:t xml:space="preserve">da norma em comentário. Quanto à possibilidade de o culpado pleitear alimentos do inocente, a premissa geral, que igualmente consta do </w:t>
      </w:r>
      <w:r w:rsidR="004A5852" w:rsidRPr="004A5852">
        <w:rPr>
          <w:rFonts w:ascii="Times New Roman" w:hAnsi="Times New Roman" w:cs="Times New Roman"/>
          <w:sz w:val="24"/>
          <w:szCs w:val="24"/>
        </w:rPr>
        <w:lastRenderedPageBreak/>
        <w:t>preceito em análise</w:t>
      </w:r>
      <w:r w:rsidR="00BB6C22">
        <w:rPr>
          <w:rFonts w:ascii="Times New Roman" w:hAnsi="Times New Roman" w:cs="Times New Roman"/>
          <w:sz w:val="24"/>
          <w:szCs w:val="24"/>
        </w:rPr>
        <w:t>,</w:t>
      </w:r>
      <w:r w:rsidR="004A5852" w:rsidRPr="004A5852">
        <w:rPr>
          <w:rFonts w:ascii="Times New Roman" w:hAnsi="Times New Roman" w:cs="Times New Roman"/>
          <w:sz w:val="24"/>
          <w:szCs w:val="24"/>
        </w:rPr>
        <w:t xml:space="preserve"> é pela resposta negativa. </w:t>
      </w:r>
    </w:p>
    <w:p w:rsidR="00FC6067" w:rsidRDefault="004A5852" w:rsidP="004A5852">
      <w:pPr>
        <w:pStyle w:val="t"/>
        <w:spacing w:before="120" w:after="120" w:line="360" w:lineRule="auto"/>
        <w:ind w:firstLine="1701"/>
        <w:rPr>
          <w:rFonts w:ascii="Times New Roman" w:hAnsi="Times New Roman" w:cs="Times New Roman"/>
          <w:sz w:val="24"/>
          <w:szCs w:val="24"/>
        </w:rPr>
      </w:pPr>
      <w:r w:rsidRPr="004A5852">
        <w:rPr>
          <w:rFonts w:ascii="Times New Roman" w:hAnsi="Times New Roman" w:cs="Times New Roman"/>
          <w:sz w:val="24"/>
          <w:szCs w:val="24"/>
        </w:rPr>
        <w:t xml:space="preserve">Entretanto, nos termos do </w:t>
      </w:r>
      <w:r w:rsidR="00FC6067">
        <w:rPr>
          <w:rFonts w:ascii="Times New Roman" w:hAnsi="Times New Roman" w:cs="Times New Roman"/>
          <w:sz w:val="24"/>
          <w:szCs w:val="24"/>
        </w:rPr>
        <w:t xml:space="preserve">vigente </w:t>
      </w:r>
      <w:r w:rsidRPr="004A5852">
        <w:rPr>
          <w:rFonts w:ascii="Times New Roman" w:hAnsi="Times New Roman" w:cs="Times New Roman"/>
          <w:sz w:val="24"/>
          <w:szCs w:val="24"/>
        </w:rPr>
        <w:t xml:space="preserve">art. 1.694, § 2º, </w:t>
      </w:r>
      <w:r w:rsidR="00923A54">
        <w:rPr>
          <w:rFonts w:ascii="Times New Roman" w:hAnsi="Times New Roman" w:cs="Times New Roman"/>
          <w:sz w:val="24"/>
          <w:szCs w:val="24"/>
        </w:rPr>
        <w:t xml:space="preserve">da Lei Civil, </w:t>
      </w:r>
      <w:r w:rsidRPr="004A5852">
        <w:rPr>
          <w:rFonts w:ascii="Times New Roman" w:hAnsi="Times New Roman" w:cs="Times New Roman"/>
          <w:sz w:val="24"/>
          <w:szCs w:val="24"/>
        </w:rPr>
        <w:t>os alimentos serão apenas os indispensáveis à subsistência quando a situação de necessidade resultar de culpa de quem os pleiteia. Melhor explicando, o comando legal está prevendo expressamente que</w:t>
      </w:r>
      <w:r w:rsidR="00BB6C22">
        <w:rPr>
          <w:rFonts w:ascii="Times New Roman" w:hAnsi="Times New Roman" w:cs="Times New Roman"/>
          <w:sz w:val="24"/>
          <w:szCs w:val="24"/>
        </w:rPr>
        <w:t>,</w:t>
      </w:r>
      <w:r w:rsidRPr="004A5852">
        <w:rPr>
          <w:rFonts w:ascii="Times New Roman" w:hAnsi="Times New Roman" w:cs="Times New Roman"/>
          <w:sz w:val="24"/>
          <w:szCs w:val="24"/>
        </w:rPr>
        <w:t xml:space="preserve"> em casos de dissolução do casamento, da sociedade conjugal ou da união estável, aquele que foi o culpado pelo fim do relacionamento, o que acabou por causar eventual situação de necessidade, terá somente direito aos alimentos necessários ou indispensáveis, visando à manutenção da sua dignidade</w:t>
      </w:r>
      <w:r w:rsidRPr="004A5852">
        <w:rPr>
          <w:rFonts w:ascii="Times New Roman" w:hAnsi="Times New Roman" w:cs="Times New Roman"/>
          <w:sz w:val="24"/>
          <w:szCs w:val="24"/>
        </w:rPr>
        <w:t xml:space="preserve">. </w:t>
      </w:r>
    </w:p>
    <w:p w:rsidR="00FC6067" w:rsidRDefault="004A5852" w:rsidP="004A5852">
      <w:pPr>
        <w:pStyle w:val="t"/>
        <w:spacing w:before="120" w:after="120" w:line="360" w:lineRule="auto"/>
        <w:ind w:firstLine="1701"/>
        <w:rPr>
          <w:rFonts w:ascii="Times New Roman" w:hAnsi="Times New Roman" w:cs="Times New Roman"/>
          <w:sz w:val="24"/>
          <w:szCs w:val="24"/>
        </w:rPr>
      </w:pPr>
      <w:r w:rsidRPr="004A5852">
        <w:rPr>
          <w:rFonts w:ascii="Times New Roman" w:hAnsi="Times New Roman" w:cs="Times New Roman"/>
          <w:sz w:val="24"/>
          <w:szCs w:val="24"/>
        </w:rPr>
        <w:t>O art. 1.694, § 2º, do CC/2002, como se nota, quebr</w:t>
      </w:r>
      <w:r w:rsidR="00923A54">
        <w:rPr>
          <w:rFonts w:ascii="Times New Roman" w:hAnsi="Times New Roman" w:cs="Times New Roman"/>
          <w:sz w:val="24"/>
          <w:szCs w:val="24"/>
        </w:rPr>
        <w:t>ou</w:t>
      </w:r>
      <w:r w:rsidRPr="004A5852">
        <w:rPr>
          <w:rFonts w:ascii="Times New Roman" w:hAnsi="Times New Roman" w:cs="Times New Roman"/>
          <w:sz w:val="24"/>
          <w:szCs w:val="24"/>
        </w:rPr>
        <w:t xml:space="preserve"> a regra geral, consagrada há tempos, de que o culpado não pode pleitear alimentos do inocente, abrandando o impacto da culpa na separação judicial litigiosa e, eventualmente, na ação de dissolução de união estável, para aqueles que entendem pela possibilidade de discussão da culpa </w:t>
      </w:r>
      <w:r w:rsidR="00BB6C22" w:rsidRPr="004A5852">
        <w:rPr>
          <w:rFonts w:ascii="Times New Roman" w:hAnsi="Times New Roman" w:cs="Times New Roman"/>
          <w:sz w:val="24"/>
          <w:szCs w:val="24"/>
        </w:rPr>
        <w:t>nes</w:t>
      </w:r>
      <w:r w:rsidR="00BB6C22">
        <w:rPr>
          <w:rFonts w:ascii="Times New Roman" w:hAnsi="Times New Roman" w:cs="Times New Roman"/>
          <w:sz w:val="24"/>
          <w:szCs w:val="24"/>
        </w:rPr>
        <w:t>s</w:t>
      </w:r>
      <w:r w:rsidR="00BB6C22" w:rsidRPr="004A5852">
        <w:rPr>
          <w:rFonts w:ascii="Times New Roman" w:hAnsi="Times New Roman" w:cs="Times New Roman"/>
          <w:sz w:val="24"/>
          <w:szCs w:val="24"/>
        </w:rPr>
        <w:t xml:space="preserve">as </w:t>
      </w:r>
      <w:r w:rsidRPr="004A5852">
        <w:rPr>
          <w:rFonts w:ascii="Times New Roman" w:hAnsi="Times New Roman" w:cs="Times New Roman"/>
          <w:sz w:val="24"/>
          <w:szCs w:val="24"/>
        </w:rPr>
        <w:t xml:space="preserve">ações, o que é meu caso. </w:t>
      </w:r>
      <w:r w:rsidR="00923A54">
        <w:rPr>
          <w:rFonts w:ascii="Times New Roman" w:hAnsi="Times New Roman" w:cs="Times New Roman"/>
          <w:sz w:val="24"/>
          <w:szCs w:val="24"/>
        </w:rPr>
        <w:t>Ne</w:t>
      </w:r>
      <w:r w:rsidRPr="004A5852">
        <w:rPr>
          <w:rFonts w:ascii="Times New Roman" w:hAnsi="Times New Roman" w:cs="Times New Roman"/>
          <w:sz w:val="24"/>
          <w:szCs w:val="24"/>
        </w:rPr>
        <w:t xml:space="preserve">sse contexto, o parágrafo único do art. 1.704 complementa </w:t>
      </w:r>
      <w:r w:rsidR="00923A54">
        <w:rPr>
          <w:rFonts w:ascii="Times New Roman" w:hAnsi="Times New Roman" w:cs="Times New Roman"/>
          <w:sz w:val="24"/>
          <w:szCs w:val="24"/>
        </w:rPr>
        <w:t xml:space="preserve">esse último </w:t>
      </w:r>
      <w:r w:rsidRPr="004A5852">
        <w:rPr>
          <w:rFonts w:ascii="Times New Roman" w:hAnsi="Times New Roman" w:cs="Times New Roman"/>
          <w:sz w:val="24"/>
          <w:szCs w:val="24"/>
        </w:rPr>
        <w:t>dispositivo ao enunciar que</w:t>
      </w:r>
      <w:r w:rsidR="00BB6C22">
        <w:rPr>
          <w:rFonts w:ascii="Times New Roman" w:hAnsi="Times New Roman" w:cs="Times New Roman"/>
          <w:sz w:val="24"/>
          <w:szCs w:val="24"/>
        </w:rPr>
        <w:t>,</w:t>
      </w:r>
      <w:r w:rsidRPr="004A5852">
        <w:rPr>
          <w:rFonts w:ascii="Times New Roman" w:hAnsi="Times New Roman" w:cs="Times New Roman"/>
          <w:sz w:val="24"/>
          <w:szCs w:val="24"/>
        </w:rPr>
        <w:t xml:space="preserve"> se o cônjuge declarado culpado vier a necessitar de alimentos, e não tiver parentes em condições de prestá-los, nem aptidão para o trabalho, o outro cônjuge será obrigado a assegurá-los, fixando o juiz o valor indispensável à sobrevivência. </w:t>
      </w:r>
    </w:p>
    <w:p w:rsidR="00FC6067" w:rsidRDefault="004A5852" w:rsidP="004A5852">
      <w:pPr>
        <w:pStyle w:val="t"/>
        <w:spacing w:before="120" w:after="120" w:line="360" w:lineRule="auto"/>
        <w:ind w:firstLine="1701"/>
        <w:rPr>
          <w:rFonts w:ascii="Times New Roman" w:hAnsi="Times New Roman" w:cs="Times New Roman"/>
          <w:sz w:val="24"/>
          <w:szCs w:val="24"/>
        </w:rPr>
      </w:pPr>
      <w:r w:rsidRPr="004A5852">
        <w:rPr>
          <w:rFonts w:ascii="Times New Roman" w:hAnsi="Times New Roman" w:cs="Times New Roman"/>
          <w:sz w:val="24"/>
          <w:szCs w:val="24"/>
        </w:rPr>
        <w:t xml:space="preserve">Em resumo, somente serão devidos os </w:t>
      </w:r>
      <w:r w:rsidRPr="00923A54">
        <w:rPr>
          <w:rFonts w:ascii="Times New Roman" w:hAnsi="Times New Roman" w:cs="Times New Roman"/>
          <w:i/>
          <w:sz w:val="24"/>
          <w:szCs w:val="24"/>
        </w:rPr>
        <w:t>alimentos indispensáveis</w:t>
      </w:r>
      <w:r w:rsidRPr="004A5852">
        <w:rPr>
          <w:rFonts w:ascii="Times New Roman" w:hAnsi="Times New Roman" w:cs="Times New Roman"/>
          <w:sz w:val="24"/>
          <w:szCs w:val="24"/>
        </w:rPr>
        <w:t xml:space="preserve"> ou </w:t>
      </w:r>
      <w:r w:rsidRPr="00923A54">
        <w:rPr>
          <w:rFonts w:ascii="Times New Roman" w:hAnsi="Times New Roman" w:cs="Times New Roman"/>
          <w:i/>
          <w:sz w:val="24"/>
          <w:szCs w:val="24"/>
        </w:rPr>
        <w:t>necessários</w:t>
      </w:r>
      <w:r w:rsidRPr="004A5852">
        <w:rPr>
          <w:rFonts w:ascii="Times New Roman" w:hAnsi="Times New Roman" w:cs="Times New Roman"/>
          <w:sz w:val="24"/>
          <w:szCs w:val="24"/>
        </w:rPr>
        <w:t xml:space="preserve"> ao culpado se preenchidos esses últimos requisitos, ou seja, se o culpado não tiver parentes em condições de fazê-lo, nem condições de trabalho, tudo dentro do </w:t>
      </w:r>
      <w:r w:rsidRPr="00923A54">
        <w:rPr>
          <w:rFonts w:ascii="Times New Roman" w:hAnsi="Times New Roman" w:cs="Times New Roman"/>
          <w:i/>
          <w:sz w:val="24"/>
          <w:szCs w:val="24"/>
        </w:rPr>
        <w:t>binômio</w:t>
      </w:r>
      <w:r w:rsidRPr="004A5852">
        <w:rPr>
          <w:rFonts w:ascii="Times New Roman" w:hAnsi="Times New Roman" w:cs="Times New Roman"/>
          <w:sz w:val="24"/>
          <w:szCs w:val="24"/>
        </w:rPr>
        <w:t xml:space="preserve"> ou </w:t>
      </w:r>
      <w:r w:rsidRPr="00923A54">
        <w:rPr>
          <w:rFonts w:ascii="Times New Roman" w:hAnsi="Times New Roman" w:cs="Times New Roman"/>
          <w:i/>
          <w:sz w:val="24"/>
          <w:szCs w:val="24"/>
        </w:rPr>
        <w:t>trinômio alimentar</w:t>
      </w:r>
      <w:r w:rsidRPr="004A5852">
        <w:rPr>
          <w:rFonts w:ascii="Times New Roman" w:hAnsi="Times New Roman" w:cs="Times New Roman"/>
          <w:sz w:val="24"/>
          <w:szCs w:val="24"/>
        </w:rPr>
        <w:t xml:space="preserve">. Reafirmo a minha posição doutrinária no sentido de que esses critérios igualmente servem para a ação de reconhecimento e dissolução de união estável, se a culpa eventualmente for discutida nesta última demanda. </w:t>
      </w:r>
    </w:p>
    <w:p w:rsidR="00923A54" w:rsidRDefault="00FC6067" w:rsidP="004A585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De todo modo, t</w:t>
      </w:r>
      <w:r w:rsidR="004A5852" w:rsidRPr="004A5852">
        <w:rPr>
          <w:rFonts w:ascii="Times New Roman" w:hAnsi="Times New Roman" w:cs="Times New Roman"/>
          <w:sz w:val="24"/>
          <w:szCs w:val="24"/>
        </w:rPr>
        <w:t>odas essas normas devem ser analisadas à luz da Emenda Constitucional n. 66/2010</w:t>
      </w:r>
      <w:r w:rsidR="00BB6C22">
        <w:rPr>
          <w:rFonts w:ascii="Times New Roman" w:hAnsi="Times New Roman" w:cs="Times New Roman"/>
          <w:sz w:val="24"/>
          <w:szCs w:val="24"/>
        </w:rPr>
        <w:t>,</w:t>
      </w:r>
      <w:r w:rsidR="004A5852" w:rsidRPr="004A5852">
        <w:rPr>
          <w:rFonts w:ascii="Times New Roman" w:hAnsi="Times New Roman" w:cs="Times New Roman"/>
          <w:sz w:val="24"/>
          <w:szCs w:val="24"/>
        </w:rPr>
        <w:t xml:space="preserve"> surgindo três correntes doutrinárias sobre o tema da culpa e dos alimentos. </w:t>
      </w:r>
    </w:p>
    <w:p w:rsidR="00FC6067" w:rsidRDefault="004A5852" w:rsidP="004A5852">
      <w:pPr>
        <w:pStyle w:val="t"/>
        <w:spacing w:before="120" w:after="120" w:line="360" w:lineRule="auto"/>
        <w:ind w:firstLine="1701"/>
        <w:rPr>
          <w:rFonts w:ascii="Times New Roman" w:hAnsi="Times New Roman" w:cs="Times New Roman"/>
          <w:sz w:val="24"/>
          <w:szCs w:val="24"/>
        </w:rPr>
      </w:pPr>
      <w:r w:rsidRPr="004A5852">
        <w:rPr>
          <w:rFonts w:ascii="Times New Roman" w:hAnsi="Times New Roman" w:cs="Times New Roman"/>
          <w:sz w:val="24"/>
          <w:szCs w:val="24"/>
        </w:rPr>
        <w:t xml:space="preserve">A </w:t>
      </w:r>
      <w:r w:rsidRPr="00923A54">
        <w:rPr>
          <w:rFonts w:ascii="Times New Roman" w:hAnsi="Times New Roman" w:cs="Times New Roman"/>
          <w:i/>
          <w:sz w:val="24"/>
          <w:szCs w:val="24"/>
        </w:rPr>
        <w:t>primeira corrente</w:t>
      </w:r>
      <w:r w:rsidRPr="004A5852">
        <w:rPr>
          <w:rFonts w:ascii="Times New Roman" w:hAnsi="Times New Roman" w:cs="Times New Roman"/>
          <w:sz w:val="24"/>
          <w:szCs w:val="24"/>
        </w:rPr>
        <w:t xml:space="preserve">, que prevalecido, sustenta a total impossibilidade de discussão de culpa para a dissolução do casamento, incluindo a questão de alimentos, estando revogados tacitamente os arts. 1.702 e 1.704, </w:t>
      </w:r>
      <w:r w:rsidRPr="00FC6067">
        <w:rPr>
          <w:rFonts w:ascii="Times New Roman" w:hAnsi="Times New Roman" w:cs="Times New Roman"/>
          <w:i/>
          <w:sz w:val="24"/>
          <w:szCs w:val="24"/>
        </w:rPr>
        <w:t>caput</w:t>
      </w:r>
      <w:r w:rsidRPr="004A5852">
        <w:rPr>
          <w:rFonts w:ascii="Times New Roman" w:hAnsi="Times New Roman" w:cs="Times New Roman"/>
          <w:sz w:val="24"/>
          <w:szCs w:val="24"/>
        </w:rPr>
        <w:t xml:space="preserve">, do CC/2002. Como consequência, desaparece a relevância jurídica dos arts. 1.694, § 2º, e 1.704, parágrafo único, do CC/2002, devendo os alimentos ser fixados de acordo com o </w:t>
      </w:r>
      <w:r w:rsidRPr="00923A54">
        <w:rPr>
          <w:rFonts w:ascii="Times New Roman" w:hAnsi="Times New Roman" w:cs="Times New Roman"/>
          <w:i/>
          <w:sz w:val="24"/>
          <w:szCs w:val="24"/>
        </w:rPr>
        <w:t>binômio</w:t>
      </w:r>
      <w:r w:rsidRPr="004A5852">
        <w:rPr>
          <w:rFonts w:ascii="Times New Roman" w:hAnsi="Times New Roman" w:cs="Times New Roman"/>
          <w:sz w:val="24"/>
          <w:szCs w:val="24"/>
        </w:rPr>
        <w:t xml:space="preserve"> ou </w:t>
      </w:r>
      <w:r w:rsidRPr="00923A54">
        <w:rPr>
          <w:rFonts w:ascii="Times New Roman" w:hAnsi="Times New Roman" w:cs="Times New Roman"/>
          <w:i/>
          <w:sz w:val="24"/>
          <w:szCs w:val="24"/>
        </w:rPr>
        <w:t>trinômio alimentar</w:t>
      </w:r>
      <w:r w:rsidRPr="004A5852">
        <w:rPr>
          <w:rFonts w:ascii="Times New Roman" w:hAnsi="Times New Roman" w:cs="Times New Roman"/>
          <w:sz w:val="24"/>
          <w:szCs w:val="24"/>
        </w:rPr>
        <w:t xml:space="preserve">. </w:t>
      </w:r>
    </w:p>
    <w:p w:rsidR="00FC6067" w:rsidRDefault="004A5852" w:rsidP="004A5852">
      <w:pPr>
        <w:pStyle w:val="t"/>
        <w:spacing w:before="120" w:after="120" w:line="360" w:lineRule="auto"/>
        <w:ind w:firstLine="1701"/>
        <w:rPr>
          <w:rFonts w:ascii="Times New Roman" w:hAnsi="Times New Roman" w:cs="Times New Roman"/>
          <w:sz w:val="24"/>
          <w:szCs w:val="24"/>
        </w:rPr>
      </w:pPr>
      <w:r w:rsidRPr="004A5852">
        <w:rPr>
          <w:rFonts w:ascii="Times New Roman" w:hAnsi="Times New Roman" w:cs="Times New Roman"/>
          <w:sz w:val="24"/>
          <w:szCs w:val="24"/>
        </w:rPr>
        <w:lastRenderedPageBreak/>
        <w:t xml:space="preserve">Para a </w:t>
      </w:r>
      <w:r w:rsidRPr="00923A54">
        <w:rPr>
          <w:rFonts w:ascii="Times New Roman" w:hAnsi="Times New Roman" w:cs="Times New Roman"/>
          <w:i/>
          <w:sz w:val="24"/>
          <w:szCs w:val="24"/>
        </w:rPr>
        <w:t>segunda corrente</w:t>
      </w:r>
      <w:r w:rsidRPr="004A5852">
        <w:rPr>
          <w:rFonts w:ascii="Times New Roman" w:hAnsi="Times New Roman" w:cs="Times New Roman"/>
          <w:sz w:val="24"/>
          <w:szCs w:val="24"/>
        </w:rPr>
        <w:t xml:space="preserve">, não há possibilidade de se discutir a culpa para a dissolução do casamento em sede de ação de divórcio. Todavia, a culpa pode ser debatida em sede de ação especial de alimentos, podendo os alimentos ser fixados nos parâmetros dos arts. 1.694, § 2º, e 1.704, </w:t>
      </w:r>
      <w:r w:rsidRPr="00923A54">
        <w:rPr>
          <w:rFonts w:ascii="Times New Roman" w:hAnsi="Times New Roman" w:cs="Times New Roman"/>
          <w:i/>
          <w:sz w:val="24"/>
          <w:szCs w:val="24"/>
        </w:rPr>
        <w:t>caput</w:t>
      </w:r>
      <w:r w:rsidRPr="004A5852">
        <w:rPr>
          <w:rFonts w:ascii="Times New Roman" w:hAnsi="Times New Roman" w:cs="Times New Roman"/>
          <w:sz w:val="24"/>
          <w:szCs w:val="24"/>
        </w:rPr>
        <w:t xml:space="preserve"> e parágrafo único, do Código Civil. </w:t>
      </w:r>
    </w:p>
    <w:p w:rsidR="00FC6067" w:rsidRDefault="004A5852" w:rsidP="004A5852">
      <w:pPr>
        <w:pStyle w:val="t"/>
        <w:spacing w:before="120" w:after="120" w:line="360" w:lineRule="auto"/>
        <w:ind w:firstLine="1701"/>
        <w:rPr>
          <w:rFonts w:ascii="Times New Roman" w:hAnsi="Times New Roman" w:cs="Times New Roman"/>
          <w:sz w:val="24"/>
          <w:szCs w:val="24"/>
        </w:rPr>
      </w:pPr>
      <w:r w:rsidRPr="004A5852">
        <w:rPr>
          <w:rFonts w:ascii="Times New Roman" w:hAnsi="Times New Roman" w:cs="Times New Roman"/>
          <w:sz w:val="24"/>
          <w:szCs w:val="24"/>
        </w:rPr>
        <w:t xml:space="preserve">Por fim, a </w:t>
      </w:r>
      <w:r w:rsidRPr="00923A54">
        <w:rPr>
          <w:rFonts w:ascii="Times New Roman" w:hAnsi="Times New Roman" w:cs="Times New Roman"/>
          <w:i/>
          <w:sz w:val="24"/>
          <w:szCs w:val="24"/>
        </w:rPr>
        <w:t>terceira corrente</w:t>
      </w:r>
      <w:r w:rsidRPr="004A5852">
        <w:rPr>
          <w:rFonts w:ascii="Times New Roman" w:hAnsi="Times New Roman" w:cs="Times New Roman"/>
          <w:sz w:val="24"/>
          <w:szCs w:val="24"/>
        </w:rPr>
        <w:t xml:space="preserve"> alega que em algumas situações, de maior gravidade, a culpa pode ser debatida em sede de ação de divórcio, inclusive para a análise da fixação dos </w:t>
      </w:r>
      <w:r w:rsidRPr="00923A54">
        <w:rPr>
          <w:rFonts w:ascii="Times New Roman" w:hAnsi="Times New Roman" w:cs="Times New Roman"/>
          <w:i/>
          <w:sz w:val="24"/>
          <w:szCs w:val="24"/>
        </w:rPr>
        <w:t>alimentos necessários</w:t>
      </w:r>
      <w:r w:rsidRPr="004A5852">
        <w:rPr>
          <w:rFonts w:ascii="Times New Roman" w:hAnsi="Times New Roman" w:cs="Times New Roman"/>
          <w:sz w:val="24"/>
          <w:szCs w:val="24"/>
        </w:rPr>
        <w:t xml:space="preserve">. Destaque-se que tais alimentos também podem ser pleiteados em ação autônoma, o que depende da opção processual dos requerentes. </w:t>
      </w:r>
    </w:p>
    <w:p w:rsidR="004A5852" w:rsidRPr="004A5852" w:rsidRDefault="00FC6067" w:rsidP="004A585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Sigo na atualidade essa </w:t>
      </w:r>
      <w:r w:rsidRPr="00A07C7A">
        <w:rPr>
          <w:rFonts w:ascii="Times New Roman" w:hAnsi="Times New Roman" w:cs="Times New Roman"/>
          <w:i/>
          <w:sz w:val="24"/>
          <w:szCs w:val="24"/>
        </w:rPr>
        <w:t>terceira corrente</w:t>
      </w:r>
      <w:r>
        <w:rPr>
          <w:rFonts w:ascii="Times New Roman" w:hAnsi="Times New Roman" w:cs="Times New Roman"/>
          <w:sz w:val="24"/>
          <w:szCs w:val="24"/>
        </w:rPr>
        <w:t xml:space="preserve">, pois </w:t>
      </w:r>
      <w:r w:rsidR="004A5852" w:rsidRPr="004A5852">
        <w:rPr>
          <w:rFonts w:ascii="Times New Roman" w:hAnsi="Times New Roman" w:cs="Times New Roman"/>
          <w:sz w:val="24"/>
          <w:szCs w:val="24"/>
        </w:rPr>
        <w:t xml:space="preserve">não houve, </w:t>
      </w:r>
      <w:r>
        <w:rPr>
          <w:rFonts w:ascii="Times New Roman" w:hAnsi="Times New Roman" w:cs="Times New Roman"/>
          <w:sz w:val="24"/>
          <w:szCs w:val="24"/>
        </w:rPr>
        <w:t xml:space="preserve">na minha </w:t>
      </w:r>
      <w:r>
        <w:rPr>
          <w:rFonts w:ascii="Times New Roman" w:hAnsi="Times New Roman" w:cs="Times New Roman"/>
          <w:sz w:val="24"/>
          <w:szCs w:val="24"/>
        </w:rPr>
        <w:t xml:space="preserve">opinião doutrinária, </w:t>
      </w:r>
      <w:r w:rsidR="004A5852" w:rsidRPr="004A5852">
        <w:rPr>
          <w:rFonts w:ascii="Times New Roman" w:hAnsi="Times New Roman" w:cs="Times New Roman"/>
          <w:sz w:val="24"/>
          <w:szCs w:val="24"/>
        </w:rPr>
        <w:t xml:space="preserve">a revogação de todos os preceitos aqui citados, mantendo-se um sistema dual, com e sem culpa, podendo esta ser mitigada em algumas situações. </w:t>
      </w:r>
      <w:r>
        <w:rPr>
          <w:rFonts w:ascii="Times New Roman" w:hAnsi="Times New Roman" w:cs="Times New Roman"/>
          <w:sz w:val="24"/>
          <w:szCs w:val="24"/>
        </w:rPr>
        <w:t>Assim, o</w:t>
      </w:r>
      <w:r w:rsidR="004A5852" w:rsidRPr="004A5852">
        <w:rPr>
          <w:rFonts w:ascii="Times New Roman" w:hAnsi="Times New Roman" w:cs="Times New Roman"/>
          <w:sz w:val="24"/>
          <w:szCs w:val="24"/>
        </w:rPr>
        <w:t xml:space="preserve"> art. 1.702 do CC/2002 somente terá aplicação aos separados judicialmente até a Emenda do Divórcio, eis que a separação jurídica foi banida do sistema</w:t>
      </w:r>
      <w:r w:rsidR="00826C30">
        <w:rPr>
          <w:rFonts w:ascii="Times New Roman" w:hAnsi="Times New Roman" w:cs="Times New Roman"/>
          <w:sz w:val="24"/>
          <w:szCs w:val="24"/>
        </w:rPr>
        <w:t>,</w:t>
      </w:r>
      <w:r w:rsidR="00826C30" w:rsidRPr="004A5852">
        <w:rPr>
          <w:rFonts w:ascii="Times New Roman" w:hAnsi="Times New Roman" w:cs="Times New Roman"/>
          <w:sz w:val="24"/>
          <w:szCs w:val="24"/>
        </w:rPr>
        <w:t xml:space="preserve"> </w:t>
      </w:r>
      <w:r w:rsidR="004A5852" w:rsidRPr="004A5852">
        <w:rPr>
          <w:rFonts w:ascii="Times New Roman" w:hAnsi="Times New Roman" w:cs="Times New Roman"/>
          <w:sz w:val="24"/>
          <w:szCs w:val="24"/>
        </w:rPr>
        <w:t>mesmo tendo sido reafirmada pelo CPC/2015. Pode-se até ler no dispositivo menção à ação de divórcio e não mais à separação judicial</w:t>
      </w:r>
      <w:r>
        <w:rPr>
          <w:rFonts w:ascii="Times New Roman" w:hAnsi="Times New Roman" w:cs="Times New Roman"/>
          <w:sz w:val="24"/>
          <w:szCs w:val="24"/>
        </w:rPr>
        <w:t xml:space="preserve">. </w:t>
      </w:r>
      <w:r w:rsidR="004A5852" w:rsidRPr="004A5852">
        <w:rPr>
          <w:rFonts w:ascii="Times New Roman" w:hAnsi="Times New Roman" w:cs="Times New Roman"/>
          <w:sz w:val="24"/>
          <w:szCs w:val="24"/>
        </w:rPr>
        <w:t xml:space="preserve">De todo modo, </w:t>
      </w:r>
      <w:r w:rsidR="00923A54">
        <w:rPr>
          <w:rFonts w:ascii="Times New Roman" w:hAnsi="Times New Roman" w:cs="Times New Roman"/>
          <w:sz w:val="24"/>
          <w:szCs w:val="24"/>
        </w:rPr>
        <w:t xml:space="preserve">como está claro, </w:t>
      </w:r>
      <w:r w:rsidR="004A5852" w:rsidRPr="004A5852">
        <w:rPr>
          <w:rFonts w:ascii="Times New Roman" w:hAnsi="Times New Roman" w:cs="Times New Roman"/>
          <w:sz w:val="24"/>
          <w:szCs w:val="24"/>
        </w:rPr>
        <w:t xml:space="preserve">a questão está </w:t>
      </w:r>
      <w:r w:rsidR="004A5852" w:rsidRPr="00923A54">
        <w:rPr>
          <w:rFonts w:ascii="Times New Roman" w:hAnsi="Times New Roman" w:cs="Times New Roman"/>
          <w:i/>
          <w:sz w:val="24"/>
          <w:szCs w:val="24"/>
        </w:rPr>
        <w:t>nebulosa</w:t>
      </w:r>
      <w:r w:rsidR="00923A54" w:rsidRPr="00923A54">
        <w:rPr>
          <w:rFonts w:ascii="Times New Roman" w:hAnsi="Times New Roman" w:cs="Times New Roman"/>
          <w:i/>
          <w:sz w:val="24"/>
          <w:szCs w:val="24"/>
        </w:rPr>
        <w:t xml:space="preserve"> </w:t>
      </w:r>
      <w:r w:rsidR="00923A54">
        <w:rPr>
          <w:rFonts w:ascii="Times New Roman" w:hAnsi="Times New Roman" w:cs="Times New Roman"/>
          <w:sz w:val="24"/>
          <w:szCs w:val="24"/>
        </w:rPr>
        <w:t>no âmbito doutrinário</w:t>
      </w:r>
      <w:r w:rsidR="004A5852" w:rsidRPr="004A5852">
        <w:rPr>
          <w:rFonts w:ascii="Times New Roman" w:hAnsi="Times New Roman" w:cs="Times New Roman"/>
          <w:sz w:val="24"/>
          <w:szCs w:val="24"/>
        </w:rPr>
        <w:t xml:space="preserve">, sendo necessário alterar o Código Civil para deixá-la mais efetiva na prática. </w:t>
      </w:r>
    </w:p>
    <w:p w:rsidR="00FC6067" w:rsidRDefault="00FC6067" w:rsidP="004A585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No que diz respeito à jurisprudência, a</w:t>
      </w:r>
      <w:r w:rsidR="004A5852" w:rsidRPr="004A5852">
        <w:rPr>
          <w:rFonts w:ascii="Times New Roman" w:hAnsi="Times New Roman" w:cs="Times New Roman"/>
          <w:sz w:val="24"/>
          <w:szCs w:val="24"/>
        </w:rPr>
        <w:t xml:space="preserve">ntes da Emenda do Divórcio, os preceitos citados já vinham recebendo a devida aplicação pela jurisprudência nacional, cabendo a transcrição de duas ementas, para ilustrar: </w:t>
      </w:r>
    </w:p>
    <w:p w:rsidR="00FC6067" w:rsidRPr="00CA7E8C" w:rsidRDefault="004A5852" w:rsidP="00CA7E8C">
      <w:pPr>
        <w:pStyle w:val="t"/>
        <w:spacing w:before="120" w:after="120" w:line="360" w:lineRule="auto"/>
        <w:ind w:left="567" w:firstLine="0"/>
        <w:rPr>
          <w:rFonts w:ascii="Times New Roman" w:hAnsi="Times New Roman" w:cs="Times New Roman"/>
        </w:rPr>
      </w:pPr>
      <w:r w:rsidRPr="00CA7E8C">
        <w:rPr>
          <w:rFonts w:ascii="Times New Roman" w:hAnsi="Times New Roman" w:cs="Times New Roman"/>
        </w:rPr>
        <w:t xml:space="preserve">“Separação judicial. Culpa da ré verificada. Demonstração da relação extraconjugal bastante suspeita mantida entre a ré e terceiro, com as características do denominado ‘quase adultério’, que constitui injúria grave. Alimentos. Ausência de comprovação de não ter parentes em condições de prestá-los. Inteligência do art. 1.704, parágrafo único, do Código Civil. Encargo indevido. Valores depositados em conta vinculada ao Fundo de Garantia por Tempo de Serviço (FGTS) do autor. Adoção do regime de comunhão parcial de bens. Partilha indevida, por não integrar o patrimônio comum” (TJSP, Apelação com Revisão 566.291.4/0, Acórdão 3642822, 1.ª Câmara de Direito Privado, Rosana, Rel. Des. Luiz Antonio de Godoy, j. 19.05.2009, </w:t>
      </w:r>
      <w:r w:rsidR="00F54D35" w:rsidRPr="00F54D35">
        <w:rPr>
          <w:rFonts w:ascii="Times New Roman" w:hAnsi="Times New Roman" w:cs="Times New Roman"/>
          <w:i/>
          <w:iCs/>
        </w:rPr>
        <w:t>DJESP</w:t>
      </w:r>
      <w:r w:rsidRPr="00CA7E8C">
        <w:rPr>
          <w:rFonts w:ascii="Times New Roman" w:hAnsi="Times New Roman" w:cs="Times New Roman"/>
        </w:rPr>
        <w:t xml:space="preserve"> 08.07.2009). </w:t>
      </w:r>
    </w:p>
    <w:p w:rsidR="00CA7E8C" w:rsidRPr="00CA7E8C" w:rsidRDefault="004A5852" w:rsidP="00CA7E8C">
      <w:pPr>
        <w:pStyle w:val="t"/>
        <w:spacing w:before="120" w:after="120" w:line="360" w:lineRule="auto"/>
        <w:ind w:left="567" w:firstLine="0"/>
        <w:rPr>
          <w:rFonts w:ascii="Times New Roman" w:hAnsi="Times New Roman" w:cs="Times New Roman"/>
        </w:rPr>
      </w:pPr>
      <w:r w:rsidRPr="00CA7E8C">
        <w:rPr>
          <w:rFonts w:ascii="Times New Roman" w:hAnsi="Times New Roman" w:cs="Times New Roman"/>
        </w:rPr>
        <w:t xml:space="preserve">“Alimentos. Inexistência da obrigação de prestar alimentos decorrente de vínculo matrimonial, em razão da existência de filhas maiores e capazes. Dever de sustento previsto no parágrafo único do art. 1.704 do Novo Código Civil. 1. Em suas razões a </w:t>
      </w:r>
      <w:r w:rsidRPr="00CA7E8C">
        <w:rPr>
          <w:rFonts w:ascii="Times New Roman" w:hAnsi="Times New Roman" w:cs="Times New Roman"/>
        </w:rPr>
        <w:lastRenderedPageBreak/>
        <w:t xml:space="preserve">autora sustenta sua necessidade de perceber alimentos e a possibilidade da ré em prestá-los, o que não afasta a obrigatoriedade proveniente do vínculo de parentesco existente com suas filhas. 2. Embora seja questão incontroversa o vínculo matrimonial ainda existente entre as partes, vigorando, em tese, o dever de mútua assistência entre os cônjuges, na forma do art. 1.566 do CC, também é fato incontroverso que a autora é mãe de filhas maiores, as quais teriam o dever de auxílio no seu sustento, em razão do vínculo de parentesco, afastando a obrigação por parte do apelado, nos termos do que dispõe o parágrafo único do art. 1.704 do Código Civil vigente. Precedentes citados: TJRJ Acórdão n. 2006.001.59227, rel. Des. José de Samuel Marques, julgado em 10/01/2007 e Acórdão n. 2006.001.65409, Rel. Des. Rogério de Oliveira Souza, julgado em 27/03/2007” (TJRJ, Acórdão 2007.001.32813, Rio de Janeiro, Rel. Des. Letícia de Faria Sardas, j. 09.08.2007, </w:t>
      </w:r>
      <w:r w:rsidR="00F54D35" w:rsidRPr="00F54D35">
        <w:rPr>
          <w:rFonts w:ascii="Times New Roman" w:hAnsi="Times New Roman" w:cs="Times New Roman"/>
          <w:i/>
          <w:iCs/>
        </w:rPr>
        <w:t>DORJ</w:t>
      </w:r>
      <w:r w:rsidRPr="00CA7E8C">
        <w:rPr>
          <w:rFonts w:ascii="Times New Roman" w:hAnsi="Times New Roman" w:cs="Times New Roman"/>
        </w:rPr>
        <w:t xml:space="preserve"> 05.03.2008, p. 312). </w:t>
      </w:r>
    </w:p>
    <w:p w:rsidR="00CA7E8C" w:rsidRDefault="004A5852" w:rsidP="004A5852">
      <w:pPr>
        <w:pStyle w:val="t"/>
        <w:spacing w:before="120" w:after="120" w:line="360" w:lineRule="auto"/>
        <w:ind w:firstLine="1701"/>
        <w:rPr>
          <w:rFonts w:ascii="Times New Roman" w:hAnsi="Times New Roman" w:cs="Times New Roman"/>
          <w:sz w:val="24"/>
          <w:szCs w:val="24"/>
        </w:rPr>
      </w:pPr>
      <w:r w:rsidRPr="004A5852">
        <w:rPr>
          <w:rFonts w:ascii="Times New Roman" w:hAnsi="Times New Roman" w:cs="Times New Roman"/>
          <w:sz w:val="24"/>
          <w:szCs w:val="24"/>
        </w:rPr>
        <w:t xml:space="preserve">Porém, </w:t>
      </w:r>
      <w:r w:rsidR="00923A54">
        <w:rPr>
          <w:rFonts w:ascii="Times New Roman" w:hAnsi="Times New Roman" w:cs="Times New Roman"/>
          <w:sz w:val="24"/>
          <w:szCs w:val="24"/>
        </w:rPr>
        <w:t>desde a emergência d</w:t>
      </w:r>
      <w:r w:rsidRPr="004A5852">
        <w:rPr>
          <w:rFonts w:ascii="Times New Roman" w:hAnsi="Times New Roman" w:cs="Times New Roman"/>
          <w:sz w:val="24"/>
          <w:szCs w:val="24"/>
        </w:rPr>
        <w:t>a Emenda do Divórcio têm prevalecido os julgados que desassociam os alimentos da culpa no âmbito do divórcio, ou mesmo da separação judicial. Veja-se, nessa linha</w:t>
      </w:r>
      <w:r w:rsidR="00923A54">
        <w:rPr>
          <w:rFonts w:ascii="Times New Roman" w:hAnsi="Times New Roman" w:cs="Times New Roman"/>
          <w:sz w:val="24"/>
          <w:szCs w:val="24"/>
        </w:rPr>
        <w:t>, entre os primeiros julgados</w:t>
      </w:r>
      <w:r w:rsidRPr="004A5852">
        <w:rPr>
          <w:rFonts w:ascii="Times New Roman" w:hAnsi="Times New Roman" w:cs="Times New Roman"/>
          <w:sz w:val="24"/>
          <w:szCs w:val="24"/>
        </w:rPr>
        <w:t xml:space="preserve">: </w:t>
      </w:r>
    </w:p>
    <w:p w:rsidR="00CA7E8C" w:rsidRPr="00CA7E8C" w:rsidRDefault="004A5852" w:rsidP="00CA7E8C">
      <w:pPr>
        <w:pStyle w:val="t"/>
        <w:spacing w:before="120" w:after="120" w:line="360" w:lineRule="auto"/>
        <w:ind w:left="567" w:firstLine="0"/>
        <w:rPr>
          <w:rFonts w:ascii="Times New Roman" w:hAnsi="Times New Roman" w:cs="Times New Roman"/>
        </w:rPr>
      </w:pPr>
      <w:r w:rsidRPr="004A5852">
        <w:rPr>
          <w:rFonts w:ascii="Times New Roman" w:hAnsi="Times New Roman" w:cs="Times New Roman"/>
          <w:sz w:val="24"/>
          <w:szCs w:val="24"/>
        </w:rPr>
        <w:t>“</w:t>
      </w:r>
      <w:r w:rsidRPr="00CA7E8C">
        <w:rPr>
          <w:rFonts w:ascii="Times New Roman" w:hAnsi="Times New Roman" w:cs="Times New Roman"/>
        </w:rPr>
        <w:t xml:space="preserve">No mais, sabe-se que, com a alteração da redação do art. 226, § 6º, da Constituição Federal pela Emenda Constitucional n. 66/2010, a separação judicial deixou de existir, tornando-se desnecessário o transcurso do tempo para a decretação do divórcio e a discussão sobre culpa. Desta forma, não se cogita mais da culpa na análise da obrigação de prestar alimentos, que serão definidos pela necessidade do outro cônjuge em hipóteses excepcionais, do que não se trata o caso” (TJSP, Agravo 0060840-25.2013.8.26.0000, 4.ª Câmara de Direito </w:t>
      </w:r>
      <w:r w:rsidRPr="00CA7E8C">
        <w:rPr>
          <w:rFonts w:ascii="Times New Roman" w:hAnsi="Times New Roman" w:cs="Times New Roman"/>
        </w:rPr>
        <w:t xml:space="preserve">Privado, Rel. Des. Maia da Cunha, j. 09.05.2013). </w:t>
      </w:r>
    </w:p>
    <w:p w:rsidR="00CA7E8C" w:rsidRDefault="004A5852" w:rsidP="004A5852">
      <w:pPr>
        <w:pStyle w:val="t"/>
        <w:spacing w:before="120" w:after="120" w:line="360" w:lineRule="auto"/>
        <w:ind w:firstLine="1701"/>
        <w:rPr>
          <w:rFonts w:ascii="Times New Roman" w:hAnsi="Times New Roman" w:cs="Times New Roman"/>
          <w:sz w:val="24"/>
          <w:szCs w:val="24"/>
        </w:rPr>
      </w:pPr>
      <w:r w:rsidRPr="004A5852">
        <w:rPr>
          <w:rFonts w:ascii="Times New Roman" w:hAnsi="Times New Roman" w:cs="Times New Roman"/>
          <w:sz w:val="24"/>
          <w:szCs w:val="24"/>
        </w:rPr>
        <w:t xml:space="preserve">Tal afirmação também tem </w:t>
      </w:r>
      <w:r w:rsidR="00CA7E8C">
        <w:rPr>
          <w:rFonts w:ascii="Times New Roman" w:hAnsi="Times New Roman" w:cs="Times New Roman"/>
          <w:sz w:val="24"/>
          <w:szCs w:val="24"/>
        </w:rPr>
        <w:t xml:space="preserve">prevalecido </w:t>
      </w:r>
      <w:r w:rsidRPr="004A5852">
        <w:rPr>
          <w:rFonts w:ascii="Times New Roman" w:hAnsi="Times New Roman" w:cs="Times New Roman"/>
          <w:sz w:val="24"/>
          <w:szCs w:val="24"/>
        </w:rPr>
        <w:t>no âmbito do S</w:t>
      </w:r>
      <w:r w:rsidR="00923A54">
        <w:rPr>
          <w:rFonts w:ascii="Times New Roman" w:hAnsi="Times New Roman" w:cs="Times New Roman"/>
          <w:sz w:val="24"/>
          <w:szCs w:val="24"/>
        </w:rPr>
        <w:t xml:space="preserve">uperior Tribunal </w:t>
      </w:r>
      <w:r w:rsidR="00826C30">
        <w:rPr>
          <w:rFonts w:ascii="Times New Roman" w:hAnsi="Times New Roman" w:cs="Times New Roman"/>
          <w:sz w:val="24"/>
          <w:szCs w:val="24"/>
        </w:rPr>
        <w:t xml:space="preserve">de </w:t>
      </w:r>
      <w:r w:rsidR="00923A54">
        <w:rPr>
          <w:rFonts w:ascii="Times New Roman" w:hAnsi="Times New Roman" w:cs="Times New Roman"/>
          <w:sz w:val="24"/>
          <w:szCs w:val="24"/>
        </w:rPr>
        <w:t>Justiça</w:t>
      </w:r>
      <w:r w:rsidRPr="004A5852">
        <w:rPr>
          <w:rFonts w:ascii="Times New Roman" w:hAnsi="Times New Roman" w:cs="Times New Roman"/>
          <w:sz w:val="24"/>
          <w:szCs w:val="24"/>
        </w:rPr>
        <w:t xml:space="preserve">, na linha da primeira corrente doutrinária que expus, que deve ser considerada </w:t>
      </w:r>
      <w:r w:rsidR="00923A54">
        <w:rPr>
          <w:rFonts w:ascii="Times New Roman" w:hAnsi="Times New Roman" w:cs="Times New Roman"/>
          <w:sz w:val="24"/>
          <w:szCs w:val="24"/>
        </w:rPr>
        <w:t xml:space="preserve">a majoritária </w:t>
      </w:r>
      <w:r w:rsidRPr="004A5852">
        <w:rPr>
          <w:rFonts w:ascii="Times New Roman" w:hAnsi="Times New Roman" w:cs="Times New Roman"/>
          <w:sz w:val="24"/>
          <w:szCs w:val="24"/>
        </w:rPr>
        <w:t xml:space="preserve">para os devidos fins práticos. Conforme aresto publicado no </w:t>
      </w:r>
      <w:r w:rsidRPr="00CA7E8C">
        <w:rPr>
          <w:rFonts w:ascii="Times New Roman" w:hAnsi="Times New Roman" w:cs="Times New Roman"/>
          <w:i/>
          <w:sz w:val="24"/>
          <w:szCs w:val="24"/>
        </w:rPr>
        <w:t>Informativo n.</w:t>
      </w:r>
      <w:r w:rsidRPr="004A5852">
        <w:rPr>
          <w:rFonts w:ascii="Times New Roman" w:hAnsi="Times New Roman" w:cs="Times New Roman"/>
          <w:sz w:val="24"/>
          <w:szCs w:val="24"/>
        </w:rPr>
        <w:t xml:space="preserve"> 558 da </w:t>
      </w:r>
      <w:r w:rsidRPr="004A5852">
        <w:rPr>
          <w:rFonts w:ascii="Times New Roman" w:hAnsi="Times New Roman" w:cs="Times New Roman"/>
          <w:sz w:val="24"/>
          <w:szCs w:val="24"/>
        </w:rPr>
        <w:t>Corte, “com a edição da EC n. 66/2010, a nova redação do art. 226, § 6º, da CF – que dispõe que o casamento civil pode ser dissolvido pelo divórcio – eliminou os prazos à concessão do divórcio e afastou a necessidade de arguição de culpa, presente na separação, não mais adentrando nas causas do fim da união, deixando de expor desnecessária e vexatoriamente a intimidade do casal, persistindo essa questão apenas na esfera patrimonial quando da quantificação dos alimentos. Criou-se, dessa forma, nova figura totalmente dissociada do divórcio anterior”. Diante dessas afirmações, conclui-se no aresto pela desnecessidade da audiência para a concessão do divórcio, o que conta com o meu apoio em tal aspecto</w:t>
      </w:r>
      <w:r w:rsidR="00923A54">
        <w:rPr>
          <w:rFonts w:ascii="Times New Roman" w:hAnsi="Times New Roman" w:cs="Times New Roman"/>
          <w:sz w:val="24"/>
          <w:szCs w:val="24"/>
        </w:rPr>
        <w:t>. Vejamos</w:t>
      </w:r>
      <w:r w:rsidRPr="004A5852">
        <w:rPr>
          <w:rFonts w:ascii="Times New Roman" w:hAnsi="Times New Roman" w:cs="Times New Roman"/>
          <w:sz w:val="24"/>
          <w:szCs w:val="24"/>
        </w:rPr>
        <w:t xml:space="preserve">: </w:t>
      </w:r>
    </w:p>
    <w:p w:rsidR="004A5852" w:rsidRPr="00CA7E8C" w:rsidRDefault="004A5852" w:rsidP="00CA7E8C">
      <w:pPr>
        <w:pStyle w:val="t"/>
        <w:spacing w:before="120" w:after="120" w:line="360" w:lineRule="auto"/>
        <w:ind w:left="567" w:firstLine="0"/>
        <w:rPr>
          <w:rFonts w:ascii="Times New Roman" w:hAnsi="Times New Roman" w:cs="Times New Roman"/>
        </w:rPr>
      </w:pPr>
      <w:r w:rsidRPr="00CA7E8C">
        <w:rPr>
          <w:rFonts w:ascii="Times New Roman" w:hAnsi="Times New Roman" w:cs="Times New Roman"/>
        </w:rPr>
        <w:lastRenderedPageBreak/>
        <w:t xml:space="preserve">“Assim, os arts. 40, § 2º, da Lei n. 6.515/1977 (Lei do Divórcio) e 1.122, §§ 1º e 2º, do CPC, ao exigirem uma audiência a fim de se conceder o divórcio direto consensual, passaram a ter redação conflitante com o novo entendimento, segundo o qual não mais existem as condições preexistentes ao divórcio: de averiguação dos motivos e do transcurso de tempo. Isso porque, consoante a nova redação, o divórcio passou a ser efetivamente direto. A novel figura passa ser voltada para o futuro. Passa a ter vez no Direito de Família a figura da intervenção mínima do Estado, como deve ser. Vale relembrar que, na ação de divórcio consensual direto, não há causa de pedir, inexiste necessidade de os autores declinarem o fundamento do pedido, cuidando-se de simples exercício de um direito potestativo. Portanto, em que pese a determinação constante no art. 1.122 do CPC, não mais subsiste o referido artigo no caso em que o magistrado tiver condições de aferir a firme disposição dos cônjuges em se divorciarem, bem como de atestar que as demais formalidades foram atendidas. Com efeito, o art. 1.122 do CPC cuida obrigatoriamente da audiência em caso de separação e posterior divórcio. Assim, não havendo mais a separação, mas o divórcio consensual direto e, principalmente, em razão de não mais haver que se apurarem as causas da separação para fins de divórcio, não cabe a audiência de conciliação ou ratificação, por se tornar letra morta. Nessa perspectiva, a audiência de conciliação ou ratificação teria apenas cunho eminentemente formal, sem nada a produzir. De fato, não se desconhece que a Lei do Divórcio ainda permanece em vigor, discorrendo acerca de procedimentos da separação judicial e do divórcio (arts. 34 a 37, 40, § 2º, e 47 e 48), a qual remete ao CPC (arts. 1.120 a 1.124). Entretanto, a interpretação de todos esses dispositivos infraconstitucionais deverá observar a nova </w:t>
      </w:r>
      <w:r w:rsidRPr="00CA7E8C">
        <w:rPr>
          <w:rFonts w:ascii="Times New Roman" w:hAnsi="Times New Roman" w:cs="Times New Roman"/>
        </w:rPr>
        <w:t xml:space="preserve">ordem constitucional e a ela se adequar, seja por meio de declaração de inconstitucionalidade parcial sem redução de texto, seja como da interpretação conforme a Constituição ou, como no caso em comento, pela interpretação sistemática dos artigos” (STJ, REsp 1.483.841/RS, 3.ª Turma, Rel. Min. Moura Ribeiro, j. 17.03.2015, </w:t>
      </w:r>
      <w:r w:rsidR="00F54D35" w:rsidRPr="00F54D35">
        <w:rPr>
          <w:rFonts w:ascii="Times New Roman" w:hAnsi="Times New Roman" w:cs="Times New Roman"/>
          <w:i/>
          <w:iCs/>
        </w:rPr>
        <w:t>DJe</w:t>
      </w:r>
      <w:r w:rsidRPr="00CA7E8C">
        <w:rPr>
          <w:rFonts w:ascii="Times New Roman" w:hAnsi="Times New Roman" w:cs="Times New Roman"/>
        </w:rPr>
        <w:t xml:space="preserve"> 27.03.2015). </w:t>
      </w:r>
    </w:p>
    <w:p w:rsidR="00CA7E8C" w:rsidRDefault="00CA7E8C" w:rsidP="004A585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Diante desse panorama, de distância da lei da realidade doutrinária e jurisprudencial, </w:t>
      </w:r>
      <w:r w:rsidR="004A5852" w:rsidRPr="004A5852">
        <w:rPr>
          <w:rFonts w:ascii="Times New Roman" w:hAnsi="Times New Roman" w:cs="Times New Roman"/>
          <w:sz w:val="24"/>
          <w:szCs w:val="24"/>
        </w:rPr>
        <w:t>é necessário melhorar o art. 1.704 do CC</w:t>
      </w:r>
      <w:r>
        <w:rPr>
          <w:rFonts w:ascii="Times New Roman" w:hAnsi="Times New Roman" w:cs="Times New Roman"/>
          <w:sz w:val="24"/>
          <w:szCs w:val="24"/>
        </w:rPr>
        <w:t>/2002</w:t>
      </w:r>
      <w:r w:rsidR="004A5852" w:rsidRPr="004A5852">
        <w:rPr>
          <w:rFonts w:ascii="Times New Roman" w:hAnsi="Times New Roman" w:cs="Times New Roman"/>
          <w:sz w:val="24"/>
          <w:szCs w:val="24"/>
        </w:rPr>
        <w:t>, tendo em vista a Emenda do Divórcio e a retirada da separação judicial do sistema jurídico. Assim, o texto que passou na votação final da Comissão de Juristas</w:t>
      </w:r>
      <w:r>
        <w:rPr>
          <w:rFonts w:ascii="Times New Roman" w:hAnsi="Times New Roman" w:cs="Times New Roman"/>
          <w:sz w:val="24"/>
          <w:szCs w:val="24"/>
        </w:rPr>
        <w:t xml:space="preserve"> encarregada da Reforma do Código Civil</w:t>
      </w:r>
      <w:r w:rsidR="004A5852" w:rsidRPr="004A5852">
        <w:rPr>
          <w:rFonts w:ascii="Times New Roman" w:hAnsi="Times New Roman" w:cs="Times New Roman"/>
          <w:sz w:val="24"/>
          <w:szCs w:val="24"/>
        </w:rPr>
        <w:t xml:space="preserve">, após intensos debates, foi o seguinte: “Art. 1.704. O fim da sociedade conjugal ou convivencial do devedor com o credor de alimentos extingue o dever alimentar”. Com isso, encerra-se qualquer </w:t>
      </w:r>
      <w:r>
        <w:rPr>
          <w:rFonts w:ascii="Times New Roman" w:hAnsi="Times New Roman" w:cs="Times New Roman"/>
          <w:sz w:val="24"/>
          <w:szCs w:val="24"/>
        </w:rPr>
        <w:t xml:space="preserve">discussão </w:t>
      </w:r>
      <w:r w:rsidR="004A5852" w:rsidRPr="004A5852">
        <w:rPr>
          <w:rFonts w:ascii="Times New Roman" w:hAnsi="Times New Roman" w:cs="Times New Roman"/>
          <w:sz w:val="24"/>
          <w:szCs w:val="24"/>
        </w:rPr>
        <w:t xml:space="preserve">sobre a </w:t>
      </w:r>
      <w:r>
        <w:rPr>
          <w:rFonts w:ascii="Times New Roman" w:hAnsi="Times New Roman" w:cs="Times New Roman"/>
          <w:sz w:val="24"/>
          <w:szCs w:val="24"/>
        </w:rPr>
        <w:t>discussão de culpa</w:t>
      </w:r>
      <w:r w:rsidR="00923A54">
        <w:rPr>
          <w:rFonts w:ascii="Times New Roman" w:hAnsi="Times New Roman" w:cs="Times New Roman"/>
          <w:sz w:val="24"/>
          <w:szCs w:val="24"/>
        </w:rPr>
        <w:t xml:space="preserve"> para os alimentos</w:t>
      </w:r>
      <w:r>
        <w:rPr>
          <w:rFonts w:ascii="Times New Roman" w:hAnsi="Times New Roman" w:cs="Times New Roman"/>
          <w:sz w:val="24"/>
          <w:szCs w:val="24"/>
        </w:rPr>
        <w:t xml:space="preserve">, bem como a </w:t>
      </w:r>
      <w:r w:rsidR="004A5852" w:rsidRPr="004A5852">
        <w:rPr>
          <w:rFonts w:ascii="Times New Roman" w:hAnsi="Times New Roman" w:cs="Times New Roman"/>
          <w:sz w:val="24"/>
          <w:szCs w:val="24"/>
        </w:rPr>
        <w:t xml:space="preserve">possibilidade de </w:t>
      </w:r>
      <w:r>
        <w:rPr>
          <w:rFonts w:ascii="Times New Roman" w:hAnsi="Times New Roman" w:cs="Times New Roman"/>
          <w:sz w:val="24"/>
          <w:szCs w:val="24"/>
        </w:rPr>
        <w:t xml:space="preserve">pleito de </w:t>
      </w:r>
      <w:r w:rsidR="004A5852" w:rsidRPr="00CA7E8C">
        <w:rPr>
          <w:rFonts w:ascii="Times New Roman" w:hAnsi="Times New Roman" w:cs="Times New Roman"/>
          <w:i/>
          <w:sz w:val="24"/>
          <w:szCs w:val="24"/>
        </w:rPr>
        <w:t>alimentos pós-divórcio</w:t>
      </w:r>
      <w:r w:rsidR="004A5852" w:rsidRPr="004A5852">
        <w:rPr>
          <w:rFonts w:ascii="Times New Roman" w:hAnsi="Times New Roman" w:cs="Times New Roman"/>
          <w:sz w:val="24"/>
          <w:szCs w:val="24"/>
        </w:rPr>
        <w:t xml:space="preserve">, sendo certo que bastará a separação de fato do casal para a extinção da obrigação de alimentos </w:t>
      </w:r>
      <w:r w:rsidR="004A5852" w:rsidRPr="004A5852">
        <w:rPr>
          <w:rFonts w:ascii="Times New Roman" w:hAnsi="Times New Roman" w:cs="Times New Roman"/>
          <w:sz w:val="24"/>
          <w:szCs w:val="24"/>
        </w:rPr>
        <w:lastRenderedPageBreak/>
        <w:t xml:space="preserve">familiares. </w:t>
      </w:r>
    </w:p>
    <w:p w:rsidR="00CA7E8C" w:rsidRDefault="00923A54" w:rsidP="004A585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Destaco que, na Comissão de Juristas, c</w:t>
      </w:r>
      <w:r w:rsidR="004A5852" w:rsidRPr="004A5852">
        <w:rPr>
          <w:rFonts w:ascii="Times New Roman" w:hAnsi="Times New Roman" w:cs="Times New Roman"/>
          <w:sz w:val="24"/>
          <w:szCs w:val="24"/>
        </w:rPr>
        <w:t xml:space="preserve">hegou-se a </w:t>
      </w:r>
      <w:r w:rsidR="00CA7E8C">
        <w:rPr>
          <w:rFonts w:ascii="Times New Roman" w:hAnsi="Times New Roman" w:cs="Times New Roman"/>
          <w:sz w:val="24"/>
          <w:szCs w:val="24"/>
        </w:rPr>
        <w:t>analisar</w:t>
      </w:r>
      <w:r w:rsidR="004A5852" w:rsidRPr="004A5852">
        <w:rPr>
          <w:rFonts w:ascii="Times New Roman" w:hAnsi="Times New Roman" w:cs="Times New Roman"/>
          <w:sz w:val="24"/>
          <w:szCs w:val="24"/>
        </w:rPr>
        <w:t xml:space="preserve"> uma proposta em favor do cônjuge ou convivente em situação de extrema vulnerabilidade, para a manutenção da obrigação do outro cônjuge ou convivente em casos tais</w:t>
      </w:r>
      <w:r>
        <w:rPr>
          <w:rFonts w:ascii="Times New Roman" w:hAnsi="Times New Roman" w:cs="Times New Roman"/>
          <w:sz w:val="24"/>
          <w:szCs w:val="24"/>
        </w:rPr>
        <w:t>, enumerados de forma excepcionalíssima na proposição de um parágrafo único para o último comando</w:t>
      </w:r>
      <w:r w:rsidR="004A5852" w:rsidRPr="004A5852">
        <w:rPr>
          <w:rFonts w:ascii="Times New Roman" w:hAnsi="Times New Roman" w:cs="Times New Roman"/>
          <w:sz w:val="24"/>
          <w:szCs w:val="24"/>
        </w:rPr>
        <w:t>. Porém, por ampla maioria, o texto foi rejeitado, com o meu voto contrário, pois penso que seria necessária uma regra nesse sentido.</w:t>
      </w:r>
      <w:r w:rsidR="00102A92">
        <w:rPr>
          <w:rFonts w:ascii="Times New Roman" w:hAnsi="Times New Roman" w:cs="Times New Roman"/>
          <w:sz w:val="24"/>
          <w:szCs w:val="24"/>
        </w:rPr>
        <w:t xml:space="preserve"> </w:t>
      </w:r>
    </w:p>
    <w:p w:rsidR="004A5852" w:rsidRDefault="00CA7E8C" w:rsidP="004A5852">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Seja como for, não se pode negar que as propostas trazem maior segurança jurídica para o instituto dos </w:t>
      </w:r>
      <w:r w:rsidRPr="00923A54">
        <w:rPr>
          <w:rFonts w:ascii="Times New Roman" w:hAnsi="Times New Roman" w:cs="Times New Roman"/>
          <w:i/>
          <w:sz w:val="24"/>
          <w:szCs w:val="24"/>
        </w:rPr>
        <w:t>alimentos familiares</w:t>
      </w:r>
      <w:r>
        <w:rPr>
          <w:rFonts w:ascii="Times New Roman" w:hAnsi="Times New Roman" w:cs="Times New Roman"/>
          <w:sz w:val="24"/>
          <w:szCs w:val="24"/>
        </w:rPr>
        <w:t xml:space="preserve">, sobretudo para os pleitos formulados por cônjuges ou conviventes, sendo o atual tratamento desatualizado e distante da posição que prevalece na doutrina e na jurisprudência, além de gerar muitas dúvidas práticas. Espera-se, por tudo isso, a sua profunda análise e aprovação pelo Parlamento Brasileiro. </w:t>
      </w:r>
    </w:p>
    <w:p w:rsidR="00CA7E8C" w:rsidRPr="00CA7E8C" w:rsidRDefault="00CA7E8C" w:rsidP="00CA7E8C"/>
    <w:p w:rsidR="00CA7E8C" w:rsidRPr="00CA7E8C" w:rsidRDefault="00CA7E8C" w:rsidP="00CA7E8C"/>
    <w:p w:rsidR="00CA7E8C" w:rsidRPr="00CA7E8C" w:rsidRDefault="00CA7E8C" w:rsidP="00CA7E8C"/>
    <w:p w:rsidR="004A5852" w:rsidRPr="004A5852" w:rsidRDefault="004A5852" w:rsidP="004A5852"/>
    <w:p w:rsidR="004A5852" w:rsidRPr="004A5852" w:rsidRDefault="004A5852" w:rsidP="004A5852"/>
    <w:p w:rsidR="004A5852" w:rsidRPr="004A5852" w:rsidRDefault="004A5852" w:rsidP="004A5852"/>
    <w:sectPr w:rsidR="004A5852" w:rsidRPr="004A5852" w:rsidSect="008964FA">
      <w:footerReference w:type="even" r:id="rId8"/>
      <w:footerReference w:type="default" r:id="rId9"/>
      <w:pgSz w:w="11906" w:h="16838"/>
      <w:pgMar w:top="1417" w:right="1701" w:bottom="1417" w:left="1701"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7599514A" w15:done="0"/>
  <w15:commentEx w15:paraId="0D1160C1" w15:done="0"/>
  <w15:commentEx w15:paraId="4256B36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13605C4" w16cex:dateUtc="2024-12-12T20:34:00Z"/>
  <w16cex:commentExtensible w16cex:durableId="2DF618D4" w16cex:dateUtc="2024-12-12T20:35:00Z"/>
  <w16cex:commentExtensible w16cex:durableId="5FF78DF6" w16cex:dateUtc="2024-12-12T20: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7599514A" w16cid:durableId="713605C4"/>
  <w16cid:commentId w16cid:paraId="0D1160C1" w16cid:durableId="2DF618D4"/>
  <w16cid:commentId w16cid:paraId="4256B364" w16cid:durableId="5FF78DF6"/>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900F4" w:rsidRPr="00264A05" w:rsidRDefault="008900F4">
      <w:r w:rsidRPr="00264A05">
        <w:separator/>
      </w:r>
    </w:p>
  </w:endnote>
  <w:endnote w:type="continuationSeparator" w:id="0">
    <w:p w:rsidR="008900F4" w:rsidRPr="00264A05" w:rsidRDefault="008900F4">
      <w:r w:rsidRPr="00264A05">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MS Gothic">
    <w:altName w:val="?l?r ?S?V?b?N"/>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yriad Pro">
    <w:altName w:val="Malgun Gothic"/>
    <w:panose1 w:val="00000000000000000000"/>
    <w:charset w:val="00"/>
    <w:family w:val="swiss"/>
    <w:notTrueType/>
    <w:pitch w:val="variable"/>
    <w:sig w:usb0="00000003" w:usb1="00000000" w:usb2="00000000" w:usb3="00000000" w:csb0="00000001" w:csb1="00000000"/>
  </w:font>
  <w:font w:name="Times">
    <w:altName w:val="Times New Roman"/>
    <w:panose1 w:val="02020603050405020304"/>
    <w:charset w:val="00"/>
    <w:family w:val="roman"/>
    <w:notTrueType/>
    <w:pitch w:val="variable"/>
    <w:sig w:usb0="00000003" w:usb1="00000000" w:usb2="00000000" w:usb3="00000000" w:csb0="00000001" w:csb1="00000000"/>
  </w:font>
  <w:font w:name="MS Mincho">
    <w:altName w:val="?l?r ??fc"/>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6067" w:rsidRPr="00264A05" w:rsidRDefault="00F54D35" w:rsidP="008A6CB4">
    <w:pPr>
      <w:pStyle w:val="Rodap"/>
      <w:framePr w:wrap="around" w:vAnchor="text" w:hAnchor="margin" w:xAlign="right" w:y="1"/>
      <w:rPr>
        <w:rStyle w:val="Nmerodepgina"/>
      </w:rPr>
    </w:pPr>
    <w:r w:rsidRPr="00264A05">
      <w:rPr>
        <w:rStyle w:val="Nmerodepgina"/>
      </w:rPr>
      <w:fldChar w:fldCharType="begin"/>
    </w:r>
    <w:r w:rsidR="00FC6067" w:rsidRPr="00264A05">
      <w:rPr>
        <w:rStyle w:val="Nmerodepgina"/>
      </w:rPr>
      <w:instrText xml:space="preserve">PAGE  </w:instrText>
    </w:r>
    <w:r w:rsidRPr="00264A05">
      <w:rPr>
        <w:rStyle w:val="Nmerodepgina"/>
      </w:rPr>
      <w:fldChar w:fldCharType="end"/>
    </w:r>
  </w:p>
  <w:p w:rsidR="00FC6067" w:rsidRPr="00264A05" w:rsidRDefault="00FC6067" w:rsidP="008A6CB4">
    <w:pPr>
      <w:pStyle w:val="Rodap"/>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4698470"/>
      <w:docPartObj>
        <w:docPartGallery w:val="Page Numbers (Bottom of Page)"/>
        <w:docPartUnique/>
      </w:docPartObj>
    </w:sdtPr>
    <w:sdtContent>
      <w:p w:rsidR="00FC6067" w:rsidRPr="00264A05" w:rsidRDefault="00F54D35">
        <w:pPr>
          <w:pStyle w:val="Rodap"/>
          <w:jc w:val="right"/>
        </w:pPr>
        <w:r>
          <w:fldChar w:fldCharType="begin"/>
        </w:r>
        <w:r w:rsidR="00923A54">
          <w:instrText xml:space="preserve"> PAGE   \* MERGEFORMAT </w:instrText>
        </w:r>
        <w:r>
          <w:fldChar w:fldCharType="separate"/>
        </w:r>
        <w:r w:rsidR="00A07C7A">
          <w:rPr>
            <w:noProof/>
          </w:rPr>
          <w:t>1</w:t>
        </w:r>
        <w:r>
          <w:rPr>
            <w:noProof/>
          </w:rPr>
          <w:fldChar w:fldCharType="end"/>
        </w:r>
      </w:p>
    </w:sdtContent>
  </w:sdt>
  <w:p w:rsidR="00FC6067" w:rsidRPr="00264A05" w:rsidRDefault="00FC6067" w:rsidP="008A6CB4">
    <w:pPr>
      <w:pStyle w:val="Rodap"/>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900F4" w:rsidRPr="00264A05" w:rsidRDefault="008900F4">
      <w:r w:rsidRPr="00264A05">
        <w:separator/>
      </w:r>
    </w:p>
  </w:footnote>
  <w:footnote w:type="continuationSeparator" w:id="0">
    <w:p w:rsidR="008900F4" w:rsidRPr="00264A05" w:rsidRDefault="008900F4">
      <w:r w:rsidRPr="00264A05">
        <w:continuationSeparator/>
      </w:r>
    </w:p>
  </w:footnote>
  <w:footnote w:id="1">
    <w:p w:rsidR="00FC6067" w:rsidRPr="00197971" w:rsidRDefault="00FC6067" w:rsidP="00470DA9">
      <w:pPr>
        <w:pStyle w:val="Textodenotaderodap"/>
        <w:jc w:val="both"/>
      </w:pPr>
      <w:r w:rsidRPr="00264A05">
        <w:rPr>
          <w:rStyle w:val="Refdenotaderodap"/>
        </w:rPr>
        <w:footnoteRef/>
      </w:r>
      <w:r w:rsidRPr="00264A05">
        <w:t xml:space="preserve"> Pós-Doutor e Doutor em Direito Civil pela USP. Mestre em Direito Civil Comparado pela PUCSP. Professor Titular permanente e coordenador do mestrado da Escola Paulista de Direito (EPD). Professor e coordenador dos cursos de pós-graduação </w:t>
      </w:r>
      <w:r w:rsidRPr="00264A05">
        <w:rPr>
          <w:i/>
        </w:rPr>
        <w:t>lato sensu</w:t>
      </w:r>
      <w:r w:rsidRPr="00264A05">
        <w:t xml:space="preserve"> em Direito Privado da EPD. Relator do Projeto de Reforma do Código Civil. Primeiro Presidente e Fundador do Instituto Brasileiro de Direito Contratual (IBDCONT). Presidente da Comissão de Direito das Sucessões do Instituto Brasileiro de Direito de Família (IBDFAM). Conselheiro seccional da OABSP e Diretor da ESAOABSP. Advogado em São Paulo, parecerista, árbitro e consultor jurídico.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8F72AAF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Revisão_KH">
    <w15:presenceInfo w15:providerId="None" w15:userId="Revisão_KH"/>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18"/>
  <w:proofState w:spelling="clean"/>
  <w:stylePaneFormatFilter w:val="3F01"/>
  <w:defaultTabStop w:val="708"/>
  <w:hyphenationZone w:val="425"/>
  <w:characterSpacingControl w:val="doNotCompress"/>
  <w:footnotePr>
    <w:footnote w:id="-1"/>
    <w:footnote w:id="0"/>
  </w:footnotePr>
  <w:endnotePr>
    <w:endnote w:id="-1"/>
    <w:endnote w:id="0"/>
  </w:endnotePr>
  <w:compat/>
  <w:rsids>
    <w:rsidRoot w:val="001A6B5F"/>
    <w:rsid w:val="000006D7"/>
    <w:rsid w:val="00000FCE"/>
    <w:rsid w:val="00002DFB"/>
    <w:rsid w:val="00003AC8"/>
    <w:rsid w:val="000043AC"/>
    <w:rsid w:val="00004871"/>
    <w:rsid w:val="00012E1F"/>
    <w:rsid w:val="00013F07"/>
    <w:rsid w:val="00017793"/>
    <w:rsid w:val="00022FFB"/>
    <w:rsid w:val="000321C3"/>
    <w:rsid w:val="0003241B"/>
    <w:rsid w:val="0004089E"/>
    <w:rsid w:val="0004323C"/>
    <w:rsid w:val="000467E1"/>
    <w:rsid w:val="00056861"/>
    <w:rsid w:val="0005749C"/>
    <w:rsid w:val="0005756E"/>
    <w:rsid w:val="00057960"/>
    <w:rsid w:val="00064D8B"/>
    <w:rsid w:val="000666C0"/>
    <w:rsid w:val="000756D9"/>
    <w:rsid w:val="0007773C"/>
    <w:rsid w:val="00080EA6"/>
    <w:rsid w:val="0008159D"/>
    <w:rsid w:val="00096F53"/>
    <w:rsid w:val="000A2F7A"/>
    <w:rsid w:val="000A3FA9"/>
    <w:rsid w:val="000B051F"/>
    <w:rsid w:val="000B6563"/>
    <w:rsid w:val="000C1649"/>
    <w:rsid w:val="000C2117"/>
    <w:rsid w:val="000C2699"/>
    <w:rsid w:val="000D3F71"/>
    <w:rsid w:val="000D6AF0"/>
    <w:rsid w:val="000E05E6"/>
    <w:rsid w:val="000E3CAF"/>
    <w:rsid w:val="000E3DF0"/>
    <w:rsid w:val="000E65CA"/>
    <w:rsid w:val="000F615E"/>
    <w:rsid w:val="00102A92"/>
    <w:rsid w:val="00107141"/>
    <w:rsid w:val="00107FA1"/>
    <w:rsid w:val="0011279E"/>
    <w:rsid w:val="0011532B"/>
    <w:rsid w:val="00116986"/>
    <w:rsid w:val="001230A1"/>
    <w:rsid w:val="001238FF"/>
    <w:rsid w:val="00125F59"/>
    <w:rsid w:val="001262FE"/>
    <w:rsid w:val="00126D26"/>
    <w:rsid w:val="00126E1F"/>
    <w:rsid w:val="001347DA"/>
    <w:rsid w:val="00145B34"/>
    <w:rsid w:val="001461FD"/>
    <w:rsid w:val="001509E7"/>
    <w:rsid w:val="001535FA"/>
    <w:rsid w:val="00154043"/>
    <w:rsid w:val="00155F03"/>
    <w:rsid w:val="0016083E"/>
    <w:rsid w:val="00160A14"/>
    <w:rsid w:val="00165E7A"/>
    <w:rsid w:val="00174153"/>
    <w:rsid w:val="0018146F"/>
    <w:rsid w:val="001841D1"/>
    <w:rsid w:val="001A0233"/>
    <w:rsid w:val="001A064D"/>
    <w:rsid w:val="001A07E7"/>
    <w:rsid w:val="001A202B"/>
    <w:rsid w:val="001A37EA"/>
    <w:rsid w:val="001A4407"/>
    <w:rsid w:val="001A50AF"/>
    <w:rsid w:val="001A6B5F"/>
    <w:rsid w:val="001B3220"/>
    <w:rsid w:val="001B578C"/>
    <w:rsid w:val="001B58DA"/>
    <w:rsid w:val="001B69D2"/>
    <w:rsid w:val="001C2BD2"/>
    <w:rsid w:val="001C3F0B"/>
    <w:rsid w:val="001D38EA"/>
    <w:rsid w:val="001F0631"/>
    <w:rsid w:val="001F47C3"/>
    <w:rsid w:val="001F5756"/>
    <w:rsid w:val="001F6DC5"/>
    <w:rsid w:val="00200326"/>
    <w:rsid w:val="00206C85"/>
    <w:rsid w:val="00207256"/>
    <w:rsid w:val="00207782"/>
    <w:rsid w:val="002116B9"/>
    <w:rsid w:val="00212FFA"/>
    <w:rsid w:val="0021687A"/>
    <w:rsid w:val="0022707E"/>
    <w:rsid w:val="00235D42"/>
    <w:rsid w:val="00243EF4"/>
    <w:rsid w:val="002443C4"/>
    <w:rsid w:val="00252754"/>
    <w:rsid w:val="00253155"/>
    <w:rsid w:val="002578C0"/>
    <w:rsid w:val="00261CDF"/>
    <w:rsid w:val="00264A05"/>
    <w:rsid w:val="00265BFA"/>
    <w:rsid w:val="002663C8"/>
    <w:rsid w:val="00266F36"/>
    <w:rsid w:val="00267066"/>
    <w:rsid w:val="002700B2"/>
    <w:rsid w:val="00271AFC"/>
    <w:rsid w:val="00274BC6"/>
    <w:rsid w:val="00276586"/>
    <w:rsid w:val="002802B7"/>
    <w:rsid w:val="00282E8D"/>
    <w:rsid w:val="002836B5"/>
    <w:rsid w:val="00284075"/>
    <w:rsid w:val="002844C0"/>
    <w:rsid w:val="0028730E"/>
    <w:rsid w:val="0028758E"/>
    <w:rsid w:val="0029490F"/>
    <w:rsid w:val="002A003E"/>
    <w:rsid w:val="002A2AF5"/>
    <w:rsid w:val="002A431B"/>
    <w:rsid w:val="002A71F3"/>
    <w:rsid w:val="002A7E0F"/>
    <w:rsid w:val="002B0136"/>
    <w:rsid w:val="002B0CBA"/>
    <w:rsid w:val="002B0D7E"/>
    <w:rsid w:val="002B4A47"/>
    <w:rsid w:val="002B5F5D"/>
    <w:rsid w:val="002C57C0"/>
    <w:rsid w:val="002D1487"/>
    <w:rsid w:val="002D1DEF"/>
    <w:rsid w:val="002D3E5B"/>
    <w:rsid w:val="002D564A"/>
    <w:rsid w:val="002E07CB"/>
    <w:rsid w:val="002E0F20"/>
    <w:rsid w:val="002E4732"/>
    <w:rsid w:val="002F15D2"/>
    <w:rsid w:val="002F2D05"/>
    <w:rsid w:val="002F6594"/>
    <w:rsid w:val="00302F58"/>
    <w:rsid w:val="00303856"/>
    <w:rsid w:val="0030419F"/>
    <w:rsid w:val="0030483C"/>
    <w:rsid w:val="00306685"/>
    <w:rsid w:val="00311887"/>
    <w:rsid w:val="00312A5C"/>
    <w:rsid w:val="003135FC"/>
    <w:rsid w:val="00314A07"/>
    <w:rsid w:val="00314C35"/>
    <w:rsid w:val="00315AA6"/>
    <w:rsid w:val="00326A1D"/>
    <w:rsid w:val="00331190"/>
    <w:rsid w:val="00332A07"/>
    <w:rsid w:val="00332BD0"/>
    <w:rsid w:val="00333A29"/>
    <w:rsid w:val="00335007"/>
    <w:rsid w:val="003404DC"/>
    <w:rsid w:val="00341202"/>
    <w:rsid w:val="003419E5"/>
    <w:rsid w:val="00347FAA"/>
    <w:rsid w:val="003516FE"/>
    <w:rsid w:val="003529EE"/>
    <w:rsid w:val="003562C5"/>
    <w:rsid w:val="00360AF2"/>
    <w:rsid w:val="00362874"/>
    <w:rsid w:val="003648FD"/>
    <w:rsid w:val="00366C65"/>
    <w:rsid w:val="0037785C"/>
    <w:rsid w:val="00381576"/>
    <w:rsid w:val="003876ED"/>
    <w:rsid w:val="00390016"/>
    <w:rsid w:val="00395C95"/>
    <w:rsid w:val="0039603A"/>
    <w:rsid w:val="00396423"/>
    <w:rsid w:val="003A3A25"/>
    <w:rsid w:val="003B230A"/>
    <w:rsid w:val="003B2F06"/>
    <w:rsid w:val="003B42DD"/>
    <w:rsid w:val="003B4386"/>
    <w:rsid w:val="003B5C7B"/>
    <w:rsid w:val="003B62F0"/>
    <w:rsid w:val="003B6A73"/>
    <w:rsid w:val="003B727B"/>
    <w:rsid w:val="003C0520"/>
    <w:rsid w:val="003C3729"/>
    <w:rsid w:val="003C5702"/>
    <w:rsid w:val="003D0418"/>
    <w:rsid w:val="003D1CB3"/>
    <w:rsid w:val="003D4118"/>
    <w:rsid w:val="003E3529"/>
    <w:rsid w:val="003E4E5C"/>
    <w:rsid w:val="003E5A3C"/>
    <w:rsid w:val="003F01E4"/>
    <w:rsid w:val="003F1915"/>
    <w:rsid w:val="003F347D"/>
    <w:rsid w:val="00403184"/>
    <w:rsid w:val="00403C33"/>
    <w:rsid w:val="004046ED"/>
    <w:rsid w:val="004158FC"/>
    <w:rsid w:val="00415B01"/>
    <w:rsid w:val="00416567"/>
    <w:rsid w:val="0042315D"/>
    <w:rsid w:val="00425B8A"/>
    <w:rsid w:val="00427EC5"/>
    <w:rsid w:val="0043008C"/>
    <w:rsid w:val="00445471"/>
    <w:rsid w:val="00445964"/>
    <w:rsid w:val="00447FCA"/>
    <w:rsid w:val="004503B6"/>
    <w:rsid w:val="00450475"/>
    <w:rsid w:val="00450E93"/>
    <w:rsid w:val="004542E5"/>
    <w:rsid w:val="00466141"/>
    <w:rsid w:val="00467072"/>
    <w:rsid w:val="00470DA9"/>
    <w:rsid w:val="004718B4"/>
    <w:rsid w:val="00481009"/>
    <w:rsid w:val="00483462"/>
    <w:rsid w:val="00484C70"/>
    <w:rsid w:val="004950AE"/>
    <w:rsid w:val="004A104B"/>
    <w:rsid w:val="004A5852"/>
    <w:rsid w:val="004B0C73"/>
    <w:rsid w:val="004B4706"/>
    <w:rsid w:val="004B704C"/>
    <w:rsid w:val="004C16BB"/>
    <w:rsid w:val="004C75AF"/>
    <w:rsid w:val="004D1D7C"/>
    <w:rsid w:val="004D5F7C"/>
    <w:rsid w:val="004E3553"/>
    <w:rsid w:val="004E4F19"/>
    <w:rsid w:val="004F010D"/>
    <w:rsid w:val="004F2F6E"/>
    <w:rsid w:val="004F6AF3"/>
    <w:rsid w:val="00500F66"/>
    <w:rsid w:val="00503083"/>
    <w:rsid w:val="0050336B"/>
    <w:rsid w:val="00511B17"/>
    <w:rsid w:val="005164AD"/>
    <w:rsid w:val="0051753D"/>
    <w:rsid w:val="005175CE"/>
    <w:rsid w:val="005218F3"/>
    <w:rsid w:val="00522D58"/>
    <w:rsid w:val="005432D2"/>
    <w:rsid w:val="005441F0"/>
    <w:rsid w:val="00550D67"/>
    <w:rsid w:val="005650CE"/>
    <w:rsid w:val="00566332"/>
    <w:rsid w:val="005729A9"/>
    <w:rsid w:val="00573D39"/>
    <w:rsid w:val="005813C3"/>
    <w:rsid w:val="005820A6"/>
    <w:rsid w:val="005A036A"/>
    <w:rsid w:val="005A30BB"/>
    <w:rsid w:val="005A4C20"/>
    <w:rsid w:val="005B3F8B"/>
    <w:rsid w:val="005B6B53"/>
    <w:rsid w:val="005C4BE2"/>
    <w:rsid w:val="005C604C"/>
    <w:rsid w:val="005D0B13"/>
    <w:rsid w:val="005D31CF"/>
    <w:rsid w:val="005E1EF2"/>
    <w:rsid w:val="005E6678"/>
    <w:rsid w:val="005E709A"/>
    <w:rsid w:val="005F1A84"/>
    <w:rsid w:val="005F4DB7"/>
    <w:rsid w:val="005F51F3"/>
    <w:rsid w:val="005F5FBE"/>
    <w:rsid w:val="00600443"/>
    <w:rsid w:val="0060774F"/>
    <w:rsid w:val="006168BF"/>
    <w:rsid w:val="00621E46"/>
    <w:rsid w:val="006241B2"/>
    <w:rsid w:val="0062754A"/>
    <w:rsid w:val="00633101"/>
    <w:rsid w:val="0063311A"/>
    <w:rsid w:val="006377C1"/>
    <w:rsid w:val="00641E16"/>
    <w:rsid w:val="00650436"/>
    <w:rsid w:val="00650A0C"/>
    <w:rsid w:val="006571AD"/>
    <w:rsid w:val="006577F0"/>
    <w:rsid w:val="00660CF6"/>
    <w:rsid w:val="00661D33"/>
    <w:rsid w:val="00682E9B"/>
    <w:rsid w:val="00684C42"/>
    <w:rsid w:val="006861F8"/>
    <w:rsid w:val="00690158"/>
    <w:rsid w:val="006977E9"/>
    <w:rsid w:val="006A3FA9"/>
    <w:rsid w:val="006B2243"/>
    <w:rsid w:val="006B3907"/>
    <w:rsid w:val="006C46ED"/>
    <w:rsid w:val="006C5EDA"/>
    <w:rsid w:val="006C62FC"/>
    <w:rsid w:val="006D6191"/>
    <w:rsid w:val="006E03DE"/>
    <w:rsid w:val="006E40EA"/>
    <w:rsid w:val="006E4481"/>
    <w:rsid w:val="006E4DE5"/>
    <w:rsid w:val="006E5126"/>
    <w:rsid w:val="006F61E0"/>
    <w:rsid w:val="006F6380"/>
    <w:rsid w:val="00703DBB"/>
    <w:rsid w:val="00710123"/>
    <w:rsid w:val="00710C29"/>
    <w:rsid w:val="00713BF2"/>
    <w:rsid w:val="007203E9"/>
    <w:rsid w:val="00736FBF"/>
    <w:rsid w:val="00745489"/>
    <w:rsid w:val="00753E89"/>
    <w:rsid w:val="0075661A"/>
    <w:rsid w:val="00764D23"/>
    <w:rsid w:val="00765768"/>
    <w:rsid w:val="00766AAD"/>
    <w:rsid w:val="007704C3"/>
    <w:rsid w:val="00770B3F"/>
    <w:rsid w:val="007741C1"/>
    <w:rsid w:val="00777BD2"/>
    <w:rsid w:val="00777F4E"/>
    <w:rsid w:val="00786137"/>
    <w:rsid w:val="007863FE"/>
    <w:rsid w:val="00790139"/>
    <w:rsid w:val="0079104F"/>
    <w:rsid w:val="00791DCC"/>
    <w:rsid w:val="00794B2C"/>
    <w:rsid w:val="00797E75"/>
    <w:rsid w:val="007A0620"/>
    <w:rsid w:val="007A30FB"/>
    <w:rsid w:val="007A4E85"/>
    <w:rsid w:val="007B2C8C"/>
    <w:rsid w:val="007C091E"/>
    <w:rsid w:val="007C4436"/>
    <w:rsid w:val="007C5CC7"/>
    <w:rsid w:val="007C66CE"/>
    <w:rsid w:val="007D02B9"/>
    <w:rsid w:val="007D0D12"/>
    <w:rsid w:val="007D2DB6"/>
    <w:rsid w:val="007D448F"/>
    <w:rsid w:val="007F0AD2"/>
    <w:rsid w:val="007F2532"/>
    <w:rsid w:val="007F2C2C"/>
    <w:rsid w:val="007F2F20"/>
    <w:rsid w:val="007F3FFC"/>
    <w:rsid w:val="007F68F1"/>
    <w:rsid w:val="008016D0"/>
    <w:rsid w:val="00811D73"/>
    <w:rsid w:val="00814295"/>
    <w:rsid w:val="00817226"/>
    <w:rsid w:val="00817CCB"/>
    <w:rsid w:val="00820290"/>
    <w:rsid w:val="008239EC"/>
    <w:rsid w:val="00826C30"/>
    <w:rsid w:val="00827C6B"/>
    <w:rsid w:val="00835568"/>
    <w:rsid w:val="008376DF"/>
    <w:rsid w:val="008421B2"/>
    <w:rsid w:val="00845356"/>
    <w:rsid w:val="00851222"/>
    <w:rsid w:val="00852438"/>
    <w:rsid w:val="00854530"/>
    <w:rsid w:val="008569FC"/>
    <w:rsid w:val="008611CD"/>
    <w:rsid w:val="00871C6C"/>
    <w:rsid w:val="00873886"/>
    <w:rsid w:val="00875A56"/>
    <w:rsid w:val="00875E34"/>
    <w:rsid w:val="0088482E"/>
    <w:rsid w:val="008849A9"/>
    <w:rsid w:val="00886A93"/>
    <w:rsid w:val="008900F4"/>
    <w:rsid w:val="00893DE8"/>
    <w:rsid w:val="00894057"/>
    <w:rsid w:val="00895C10"/>
    <w:rsid w:val="008964FA"/>
    <w:rsid w:val="008967F0"/>
    <w:rsid w:val="008973DC"/>
    <w:rsid w:val="008A02AB"/>
    <w:rsid w:val="008A4C28"/>
    <w:rsid w:val="008A6CB4"/>
    <w:rsid w:val="008B22CE"/>
    <w:rsid w:val="008B2594"/>
    <w:rsid w:val="008B29A9"/>
    <w:rsid w:val="008B432E"/>
    <w:rsid w:val="008B4368"/>
    <w:rsid w:val="008C2D79"/>
    <w:rsid w:val="008C5596"/>
    <w:rsid w:val="008D449D"/>
    <w:rsid w:val="008D567B"/>
    <w:rsid w:val="008D5C00"/>
    <w:rsid w:val="008E4D7B"/>
    <w:rsid w:val="008F2C26"/>
    <w:rsid w:val="008F2F31"/>
    <w:rsid w:val="008F37DF"/>
    <w:rsid w:val="008F7850"/>
    <w:rsid w:val="008F7FFE"/>
    <w:rsid w:val="009033DC"/>
    <w:rsid w:val="0091001B"/>
    <w:rsid w:val="00910799"/>
    <w:rsid w:val="009128D9"/>
    <w:rsid w:val="00914DAB"/>
    <w:rsid w:val="009228A0"/>
    <w:rsid w:val="00922DF9"/>
    <w:rsid w:val="0092357D"/>
    <w:rsid w:val="00923A54"/>
    <w:rsid w:val="00930495"/>
    <w:rsid w:val="00931FF5"/>
    <w:rsid w:val="00934036"/>
    <w:rsid w:val="00943BD4"/>
    <w:rsid w:val="00945603"/>
    <w:rsid w:val="00950BD8"/>
    <w:rsid w:val="0095470A"/>
    <w:rsid w:val="00960170"/>
    <w:rsid w:val="00962442"/>
    <w:rsid w:val="0096430E"/>
    <w:rsid w:val="009644EA"/>
    <w:rsid w:val="009705F0"/>
    <w:rsid w:val="00980F9F"/>
    <w:rsid w:val="00984C5F"/>
    <w:rsid w:val="00994731"/>
    <w:rsid w:val="009A65E6"/>
    <w:rsid w:val="009B3CEB"/>
    <w:rsid w:val="009B4B45"/>
    <w:rsid w:val="009B5857"/>
    <w:rsid w:val="009B5DA8"/>
    <w:rsid w:val="009C06C6"/>
    <w:rsid w:val="009C3C88"/>
    <w:rsid w:val="009C5908"/>
    <w:rsid w:val="009C5CE2"/>
    <w:rsid w:val="009D1203"/>
    <w:rsid w:val="009D1958"/>
    <w:rsid w:val="009E0681"/>
    <w:rsid w:val="009E30DF"/>
    <w:rsid w:val="009E7A92"/>
    <w:rsid w:val="009F035B"/>
    <w:rsid w:val="009F0977"/>
    <w:rsid w:val="009F14C3"/>
    <w:rsid w:val="009F3416"/>
    <w:rsid w:val="009F35D0"/>
    <w:rsid w:val="009F6DA7"/>
    <w:rsid w:val="00A0182E"/>
    <w:rsid w:val="00A0538C"/>
    <w:rsid w:val="00A05763"/>
    <w:rsid w:val="00A076E5"/>
    <w:rsid w:val="00A07C7A"/>
    <w:rsid w:val="00A11B9C"/>
    <w:rsid w:val="00A151DB"/>
    <w:rsid w:val="00A16B93"/>
    <w:rsid w:val="00A20F4D"/>
    <w:rsid w:val="00A2356F"/>
    <w:rsid w:val="00A2471F"/>
    <w:rsid w:val="00A333D9"/>
    <w:rsid w:val="00A35350"/>
    <w:rsid w:val="00A3554E"/>
    <w:rsid w:val="00A35F27"/>
    <w:rsid w:val="00A410E3"/>
    <w:rsid w:val="00A445F0"/>
    <w:rsid w:val="00A466B1"/>
    <w:rsid w:val="00A47AD4"/>
    <w:rsid w:val="00A534D6"/>
    <w:rsid w:val="00A53992"/>
    <w:rsid w:val="00A542B8"/>
    <w:rsid w:val="00A561DB"/>
    <w:rsid w:val="00A6189C"/>
    <w:rsid w:val="00A712CA"/>
    <w:rsid w:val="00A7386F"/>
    <w:rsid w:val="00A73F46"/>
    <w:rsid w:val="00A7512D"/>
    <w:rsid w:val="00A838EB"/>
    <w:rsid w:val="00A84653"/>
    <w:rsid w:val="00A8549C"/>
    <w:rsid w:val="00A87B11"/>
    <w:rsid w:val="00A940D9"/>
    <w:rsid w:val="00A95D4E"/>
    <w:rsid w:val="00A96EBD"/>
    <w:rsid w:val="00AA073D"/>
    <w:rsid w:val="00AA5071"/>
    <w:rsid w:val="00AA6071"/>
    <w:rsid w:val="00AB0281"/>
    <w:rsid w:val="00AB2490"/>
    <w:rsid w:val="00AB2A78"/>
    <w:rsid w:val="00AB2DB8"/>
    <w:rsid w:val="00AB330C"/>
    <w:rsid w:val="00AB51C3"/>
    <w:rsid w:val="00AB65E3"/>
    <w:rsid w:val="00AC3440"/>
    <w:rsid w:val="00AD4C2C"/>
    <w:rsid w:val="00AD5581"/>
    <w:rsid w:val="00AD57FF"/>
    <w:rsid w:val="00AD7100"/>
    <w:rsid w:val="00AE279D"/>
    <w:rsid w:val="00AE6742"/>
    <w:rsid w:val="00AF36EF"/>
    <w:rsid w:val="00AF4A6D"/>
    <w:rsid w:val="00B07E2B"/>
    <w:rsid w:val="00B120D2"/>
    <w:rsid w:val="00B15684"/>
    <w:rsid w:val="00B15A6E"/>
    <w:rsid w:val="00B22246"/>
    <w:rsid w:val="00B23902"/>
    <w:rsid w:val="00B27CE0"/>
    <w:rsid w:val="00B32B8C"/>
    <w:rsid w:val="00B362D6"/>
    <w:rsid w:val="00B40631"/>
    <w:rsid w:val="00B5550D"/>
    <w:rsid w:val="00B62AC6"/>
    <w:rsid w:val="00B6323A"/>
    <w:rsid w:val="00B6764D"/>
    <w:rsid w:val="00B72750"/>
    <w:rsid w:val="00B75A13"/>
    <w:rsid w:val="00B77056"/>
    <w:rsid w:val="00B8143A"/>
    <w:rsid w:val="00B8471F"/>
    <w:rsid w:val="00B85EF7"/>
    <w:rsid w:val="00B9312F"/>
    <w:rsid w:val="00B961A3"/>
    <w:rsid w:val="00BA0485"/>
    <w:rsid w:val="00BA2AD9"/>
    <w:rsid w:val="00BA2BB1"/>
    <w:rsid w:val="00BA3AB9"/>
    <w:rsid w:val="00BA7706"/>
    <w:rsid w:val="00BB082A"/>
    <w:rsid w:val="00BB527A"/>
    <w:rsid w:val="00BB6B55"/>
    <w:rsid w:val="00BB6C22"/>
    <w:rsid w:val="00BB6C90"/>
    <w:rsid w:val="00BC049F"/>
    <w:rsid w:val="00BC32AD"/>
    <w:rsid w:val="00BC3B23"/>
    <w:rsid w:val="00BC7FAC"/>
    <w:rsid w:val="00BD008F"/>
    <w:rsid w:val="00BD438D"/>
    <w:rsid w:val="00BE2F3A"/>
    <w:rsid w:val="00BF0CC7"/>
    <w:rsid w:val="00BF22C4"/>
    <w:rsid w:val="00BF37B6"/>
    <w:rsid w:val="00BF6AD3"/>
    <w:rsid w:val="00C11598"/>
    <w:rsid w:val="00C1449B"/>
    <w:rsid w:val="00C16DC0"/>
    <w:rsid w:val="00C215F6"/>
    <w:rsid w:val="00C21FFF"/>
    <w:rsid w:val="00C23F79"/>
    <w:rsid w:val="00C27409"/>
    <w:rsid w:val="00C27770"/>
    <w:rsid w:val="00C30044"/>
    <w:rsid w:val="00C32772"/>
    <w:rsid w:val="00C332DE"/>
    <w:rsid w:val="00C36C86"/>
    <w:rsid w:val="00C4213C"/>
    <w:rsid w:val="00C53561"/>
    <w:rsid w:val="00C5361C"/>
    <w:rsid w:val="00C54A44"/>
    <w:rsid w:val="00C60023"/>
    <w:rsid w:val="00C72E02"/>
    <w:rsid w:val="00C7684F"/>
    <w:rsid w:val="00C80C5F"/>
    <w:rsid w:val="00C81DE1"/>
    <w:rsid w:val="00C83F91"/>
    <w:rsid w:val="00C8737D"/>
    <w:rsid w:val="00C920D1"/>
    <w:rsid w:val="00C9283F"/>
    <w:rsid w:val="00C93D45"/>
    <w:rsid w:val="00C9679D"/>
    <w:rsid w:val="00C96C30"/>
    <w:rsid w:val="00CA2FF0"/>
    <w:rsid w:val="00CA5DFF"/>
    <w:rsid w:val="00CA72CD"/>
    <w:rsid w:val="00CA7E8C"/>
    <w:rsid w:val="00CB25AF"/>
    <w:rsid w:val="00CB444A"/>
    <w:rsid w:val="00CB65C2"/>
    <w:rsid w:val="00CB70F3"/>
    <w:rsid w:val="00CB7BA8"/>
    <w:rsid w:val="00CC001F"/>
    <w:rsid w:val="00CC4E6C"/>
    <w:rsid w:val="00CC585D"/>
    <w:rsid w:val="00CD1DDD"/>
    <w:rsid w:val="00CD2F1C"/>
    <w:rsid w:val="00CE0598"/>
    <w:rsid w:val="00CE2425"/>
    <w:rsid w:val="00CF01DB"/>
    <w:rsid w:val="00CF17D5"/>
    <w:rsid w:val="00D02705"/>
    <w:rsid w:val="00D028D1"/>
    <w:rsid w:val="00D03B8F"/>
    <w:rsid w:val="00D052CF"/>
    <w:rsid w:val="00D060B1"/>
    <w:rsid w:val="00D1177D"/>
    <w:rsid w:val="00D21206"/>
    <w:rsid w:val="00D27BF2"/>
    <w:rsid w:val="00D27D1F"/>
    <w:rsid w:val="00D32449"/>
    <w:rsid w:val="00D34DB3"/>
    <w:rsid w:val="00D3547E"/>
    <w:rsid w:val="00D36702"/>
    <w:rsid w:val="00D3680D"/>
    <w:rsid w:val="00D44A29"/>
    <w:rsid w:val="00D44A99"/>
    <w:rsid w:val="00D50612"/>
    <w:rsid w:val="00D60372"/>
    <w:rsid w:val="00D61891"/>
    <w:rsid w:val="00D62A38"/>
    <w:rsid w:val="00D63AA0"/>
    <w:rsid w:val="00D75BE9"/>
    <w:rsid w:val="00D76780"/>
    <w:rsid w:val="00D76989"/>
    <w:rsid w:val="00D77203"/>
    <w:rsid w:val="00D84F01"/>
    <w:rsid w:val="00D85A6B"/>
    <w:rsid w:val="00D92231"/>
    <w:rsid w:val="00D93B5C"/>
    <w:rsid w:val="00D95F5C"/>
    <w:rsid w:val="00D97CB4"/>
    <w:rsid w:val="00DA3F7A"/>
    <w:rsid w:val="00DA7D79"/>
    <w:rsid w:val="00DD2AFB"/>
    <w:rsid w:val="00DD7906"/>
    <w:rsid w:val="00DD7E05"/>
    <w:rsid w:val="00DE393D"/>
    <w:rsid w:val="00DE4472"/>
    <w:rsid w:val="00DF0866"/>
    <w:rsid w:val="00DF1B1C"/>
    <w:rsid w:val="00DF7F93"/>
    <w:rsid w:val="00E02943"/>
    <w:rsid w:val="00E03361"/>
    <w:rsid w:val="00E119CF"/>
    <w:rsid w:val="00E201A4"/>
    <w:rsid w:val="00E2022D"/>
    <w:rsid w:val="00E22692"/>
    <w:rsid w:val="00E23120"/>
    <w:rsid w:val="00E318F5"/>
    <w:rsid w:val="00E371F6"/>
    <w:rsid w:val="00E43649"/>
    <w:rsid w:val="00E44A60"/>
    <w:rsid w:val="00E530CA"/>
    <w:rsid w:val="00E611EF"/>
    <w:rsid w:val="00E629CA"/>
    <w:rsid w:val="00E64F45"/>
    <w:rsid w:val="00E6733C"/>
    <w:rsid w:val="00E710B3"/>
    <w:rsid w:val="00E72790"/>
    <w:rsid w:val="00E75838"/>
    <w:rsid w:val="00E82113"/>
    <w:rsid w:val="00E94EE5"/>
    <w:rsid w:val="00E94F11"/>
    <w:rsid w:val="00EA34FE"/>
    <w:rsid w:val="00EA5378"/>
    <w:rsid w:val="00EA6575"/>
    <w:rsid w:val="00EA6A53"/>
    <w:rsid w:val="00EB325F"/>
    <w:rsid w:val="00EB688D"/>
    <w:rsid w:val="00EC14B0"/>
    <w:rsid w:val="00ED3E85"/>
    <w:rsid w:val="00ED65FE"/>
    <w:rsid w:val="00EE2E8C"/>
    <w:rsid w:val="00EE7459"/>
    <w:rsid w:val="00EF353B"/>
    <w:rsid w:val="00EF5FB5"/>
    <w:rsid w:val="00EF62A4"/>
    <w:rsid w:val="00F03AB1"/>
    <w:rsid w:val="00F04189"/>
    <w:rsid w:val="00F04FA0"/>
    <w:rsid w:val="00F24371"/>
    <w:rsid w:val="00F25EA9"/>
    <w:rsid w:val="00F27517"/>
    <w:rsid w:val="00F35E75"/>
    <w:rsid w:val="00F40DF8"/>
    <w:rsid w:val="00F44D90"/>
    <w:rsid w:val="00F46420"/>
    <w:rsid w:val="00F50837"/>
    <w:rsid w:val="00F5362E"/>
    <w:rsid w:val="00F54D35"/>
    <w:rsid w:val="00F56A11"/>
    <w:rsid w:val="00F57FCA"/>
    <w:rsid w:val="00F60AD1"/>
    <w:rsid w:val="00F61589"/>
    <w:rsid w:val="00F63CC5"/>
    <w:rsid w:val="00F64A15"/>
    <w:rsid w:val="00F66509"/>
    <w:rsid w:val="00F67B86"/>
    <w:rsid w:val="00F77C76"/>
    <w:rsid w:val="00F8220E"/>
    <w:rsid w:val="00F827A3"/>
    <w:rsid w:val="00F90174"/>
    <w:rsid w:val="00F92372"/>
    <w:rsid w:val="00FA1C7D"/>
    <w:rsid w:val="00FB3C65"/>
    <w:rsid w:val="00FB5CA5"/>
    <w:rsid w:val="00FC1608"/>
    <w:rsid w:val="00FC5D22"/>
    <w:rsid w:val="00FC6067"/>
    <w:rsid w:val="00FD4AF4"/>
    <w:rsid w:val="00FD4FF9"/>
    <w:rsid w:val="00FD525E"/>
    <w:rsid w:val="00FD58AE"/>
    <w:rsid w:val="00FD7AB7"/>
    <w:rsid w:val="00FE222B"/>
    <w:rsid w:val="00FE4B16"/>
    <w:rsid w:val="00FE56D9"/>
    <w:rsid w:val="00FE7F0B"/>
    <w:rsid w:val="00FF49E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Strong" w:semiHidden="0" w:unhideWhenUsed="0" w:qFormat="1"/>
    <w:lsdException w:name="Emphasis" w:semiHidden="0" w:unhideWhenUsed="0" w:qFormat="1"/>
    <w:lsdException w:name="Normal (Web)" w:uiPriority="99"/>
    <w:lsdException w:name="Table Grid" w:semiHidden="0" w:unhideWhenUsed="0"/>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6B5F"/>
    <w:rPr>
      <w:sz w:val="24"/>
      <w:szCs w:val="24"/>
      <w:lang w:eastAsia="pt-BR"/>
    </w:rPr>
  </w:style>
  <w:style w:type="paragraph" w:styleId="Ttulo1">
    <w:name w:val="heading 1"/>
    <w:basedOn w:val="Normal"/>
    <w:next w:val="Normal"/>
    <w:link w:val="Ttulo1Char"/>
    <w:uiPriority w:val="9"/>
    <w:qFormat/>
    <w:rsid w:val="003B2F06"/>
    <w:pPr>
      <w:keepNext/>
      <w:keepLines/>
      <w:spacing w:before="480" w:line="276" w:lineRule="auto"/>
      <w:outlineLvl w:val="0"/>
    </w:pPr>
    <w:rPr>
      <w:rFonts w:ascii="Calibri" w:eastAsia="MS Gothic" w:hAnsi="Calibri"/>
      <w:b/>
      <w:bCs/>
      <w:color w:val="365F91"/>
      <w:sz w:val="28"/>
      <w:szCs w:val="28"/>
      <w:lang w:val="en-US" w:eastAsia="en-US" w:bidi="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
    <w:name w:val="t"/>
    <w:basedOn w:val="Normal"/>
    <w:next w:val="Normal"/>
    <w:uiPriority w:val="99"/>
    <w:rsid w:val="001A6B5F"/>
    <w:pPr>
      <w:widowControl w:val="0"/>
      <w:autoSpaceDE w:val="0"/>
      <w:autoSpaceDN w:val="0"/>
      <w:adjustRightInd w:val="0"/>
      <w:spacing w:before="64" w:line="250" w:lineRule="atLeast"/>
      <w:ind w:firstLine="512"/>
      <w:jc w:val="both"/>
      <w:textAlignment w:val="center"/>
    </w:pPr>
    <w:rPr>
      <w:rFonts w:ascii="Calibri" w:hAnsi="Calibri" w:cs="Calibri"/>
      <w:color w:val="000000"/>
      <w:sz w:val="22"/>
      <w:szCs w:val="22"/>
    </w:rPr>
  </w:style>
  <w:style w:type="character" w:styleId="Refdecomentrio">
    <w:name w:val="annotation reference"/>
    <w:semiHidden/>
    <w:rsid w:val="001A6B5F"/>
    <w:rPr>
      <w:sz w:val="16"/>
      <w:szCs w:val="16"/>
    </w:rPr>
  </w:style>
  <w:style w:type="paragraph" w:styleId="Textodecomentrio">
    <w:name w:val="annotation text"/>
    <w:basedOn w:val="Normal"/>
    <w:link w:val="TextodecomentrioChar"/>
    <w:semiHidden/>
    <w:rsid w:val="001A6B5F"/>
    <w:pPr>
      <w:spacing w:after="160" w:line="259" w:lineRule="auto"/>
    </w:pPr>
    <w:rPr>
      <w:rFonts w:ascii="Calibri" w:hAnsi="Calibri"/>
      <w:sz w:val="20"/>
      <w:szCs w:val="20"/>
    </w:rPr>
  </w:style>
  <w:style w:type="paragraph" w:styleId="Textodenotaderodap">
    <w:name w:val="footnote text"/>
    <w:basedOn w:val="Normal"/>
    <w:link w:val="TextodenotaderodapChar"/>
    <w:rsid w:val="001A6B5F"/>
    <w:rPr>
      <w:sz w:val="20"/>
      <w:szCs w:val="20"/>
    </w:rPr>
  </w:style>
  <w:style w:type="character" w:styleId="Refdenotaderodap">
    <w:name w:val="footnote reference"/>
    <w:semiHidden/>
    <w:rsid w:val="001A6B5F"/>
    <w:rPr>
      <w:vertAlign w:val="superscript"/>
    </w:rPr>
  </w:style>
  <w:style w:type="character" w:customStyle="1" w:styleId="TextodenotaderodapChar">
    <w:name w:val="Texto de nota de rodapé Char"/>
    <w:link w:val="Textodenotaderodap"/>
    <w:rsid w:val="001A6B5F"/>
    <w:rPr>
      <w:lang w:val="pt-BR" w:eastAsia="pt-BR" w:bidi="ar-SA"/>
    </w:rPr>
  </w:style>
  <w:style w:type="character" w:customStyle="1" w:styleId="TextodecomentrioChar">
    <w:name w:val="Texto de comentário Char"/>
    <w:link w:val="Textodecomentrio"/>
    <w:semiHidden/>
    <w:rsid w:val="001A6B5F"/>
    <w:rPr>
      <w:rFonts w:ascii="Calibri" w:hAnsi="Calibri"/>
      <w:lang w:bidi="ar-SA"/>
    </w:rPr>
  </w:style>
  <w:style w:type="paragraph" w:styleId="Textodebalo">
    <w:name w:val="Balloon Text"/>
    <w:basedOn w:val="Normal"/>
    <w:semiHidden/>
    <w:rsid w:val="001A6B5F"/>
    <w:rPr>
      <w:rFonts w:ascii="Tahoma" w:hAnsi="Tahoma" w:cs="Tahoma"/>
      <w:sz w:val="16"/>
      <w:szCs w:val="16"/>
    </w:rPr>
  </w:style>
  <w:style w:type="paragraph" w:styleId="NormalWeb">
    <w:name w:val="Normal (Web)"/>
    <w:basedOn w:val="Normal"/>
    <w:uiPriority w:val="99"/>
    <w:rsid w:val="001A6B5F"/>
    <w:pPr>
      <w:spacing w:before="100" w:beforeAutospacing="1" w:after="100" w:afterAutospacing="1"/>
    </w:pPr>
  </w:style>
  <w:style w:type="paragraph" w:customStyle="1" w:styleId="nota">
    <w:name w:val="nota"/>
    <w:basedOn w:val="t"/>
    <w:uiPriority w:val="99"/>
    <w:rsid w:val="001A6B5F"/>
    <w:pPr>
      <w:tabs>
        <w:tab w:val="left" w:pos="320"/>
      </w:tabs>
      <w:spacing w:before="0" w:line="200" w:lineRule="atLeast"/>
      <w:ind w:left="213" w:hanging="213"/>
    </w:pPr>
    <w:rPr>
      <w:rFonts w:ascii="Myriad Pro" w:hAnsi="Myriad Pro" w:cs="Myriad Pro"/>
      <w:sz w:val="17"/>
      <w:szCs w:val="17"/>
    </w:rPr>
  </w:style>
  <w:style w:type="character" w:customStyle="1" w:styleId="Ttulo1Char">
    <w:name w:val="Título 1 Char"/>
    <w:basedOn w:val="Fontepargpadro"/>
    <w:link w:val="Ttulo1"/>
    <w:uiPriority w:val="9"/>
    <w:rsid w:val="003B2F06"/>
    <w:rPr>
      <w:rFonts w:ascii="Calibri" w:eastAsia="MS Gothic" w:hAnsi="Calibri"/>
      <w:b/>
      <w:bCs/>
      <w:color w:val="365F91"/>
      <w:sz w:val="28"/>
      <w:szCs w:val="28"/>
      <w:lang w:val="en-US" w:bidi="en-US"/>
    </w:rPr>
  </w:style>
  <w:style w:type="paragraph" w:styleId="Rodap">
    <w:name w:val="footer"/>
    <w:basedOn w:val="Normal"/>
    <w:link w:val="RodapChar"/>
    <w:uiPriority w:val="99"/>
    <w:rsid w:val="008A6CB4"/>
    <w:pPr>
      <w:tabs>
        <w:tab w:val="center" w:pos="4320"/>
        <w:tab w:val="right" w:pos="8640"/>
      </w:tabs>
    </w:pPr>
  </w:style>
  <w:style w:type="character" w:customStyle="1" w:styleId="RodapChar">
    <w:name w:val="Rodapé Char"/>
    <w:basedOn w:val="Fontepargpadro"/>
    <w:link w:val="Rodap"/>
    <w:uiPriority w:val="99"/>
    <w:rsid w:val="008A6CB4"/>
    <w:rPr>
      <w:sz w:val="24"/>
      <w:szCs w:val="24"/>
      <w:lang w:eastAsia="pt-BR"/>
    </w:rPr>
  </w:style>
  <w:style w:type="character" w:styleId="Nmerodepgina">
    <w:name w:val="page number"/>
    <w:basedOn w:val="Fontepargpadro"/>
    <w:rsid w:val="008A6CB4"/>
  </w:style>
  <w:style w:type="paragraph" w:styleId="Assuntodocomentrio">
    <w:name w:val="annotation subject"/>
    <w:basedOn w:val="Textodecomentrio"/>
    <w:next w:val="Textodecomentrio"/>
    <w:link w:val="AssuntodocomentrioChar"/>
    <w:rsid w:val="00D84F01"/>
    <w:pPr>
      <w:spacing w:after="0" w:line="240" w:lineRule="auto"/>
    </w:pPr>
    <w:rPr>
      <w:rFonts w:ascii="Times New Roman" w:hAnsi="Times New Roman"/>
      <w:b/>
      <w:bCs/>
    </w:rPr>
  </w:style>
  <w:style w:type="character" w:customStyle="1" w:styleId="AssuntodocomentrioChar">
    <w:name w:val="Assunto do comentário Char"/>
    <w:basedOn w:val="TextodecomentrioChar"/>
    <w:link w:val="Assuntodocomentrio"/>
    <w:rsid w:val="00D84F01"/>
    <w:rPr>
      <w:rFonts w:ascii="Calibri" w:hAnsi="Calibri"/>
      <w:b/>
      <w:bCs/>
      <w:lang w:eastAsia="pt-BR" w:bidi="ar-SA"/>
    </w:rPr>
  </w:style>
  <w:style w:type="character" w:styleId="Hyperlink">
    <w:name w:val="Hyperlink"/>
    <w:basedOn w:val="Fontepargpadro"/>
    <w:unhideWhenUsed/>
    <w:rsid w:val="003B42DD"/>
    <w:rPr>
      <w:color w:val="0000FF" w:themeColor="hyperlink"/>
      <w:u w:val="single"/>
    </w:rPr>
  </w:style>
  <w:style w:type="paragraph" w:styleId="Cabealho">
    <w:name w:val="header"/>
    <w:basedOn w:val="Normal"/>
    <w:link w:val="CabealhoChar"/>
    <w:semiHidden/>
    <w:unhideWhenUsed/>
    <w:rsid w:val="007F68F1"/>
    <w:pPr>
      <w:tabs>
        <w:tab w:val="center" w:pos="4252"/>
        <w:tab w:val="right" w:pos="8504"/>
      </w:tabs>
    </w:pPr>
  </w:style>
  <w:style w:type="character" w:customStyle="1" w:styleId="CabealhoChar">
    <w:name w:val="Cabeçalho Char"/>
    <w:basedOn w:val="Fontepargpadro"/>
    <w:link w:val="Cabealho"/>
    <w:semiHidden/>
    <w:rsid w:val="007F68F1"/>
    <w:rPr>
      <w:sz w:val="24"/>
      <w:szCs w:val="24"/>
      <w:lang w:eastAsia="pt-BR"/>
    </w:rPr>
  </w:style>
  <w:style w:type="paragraph" w:styleId="Reviso">
    <w:name w:val="Revision"/>
    <w:hidden/>
    <w:uiPriority w:val="71"/>
    <w:semiHidden/>
    <w:rsid w:val="001B69D2"/>
    <w:rPr>
      <w:sz w:val="24"/>
      <w:szCs w:val="24"/>
      <w:lang w:eastAsia="pt-BR"/>
    </w:rPr>
  </w:style>
  <w:style w:type="paragraph" w:customStyle="1" w:styleId="rec">
    <w:name w:val="rec"/>
    <w:basedOn w:val="Normal"/>
    <w:uiPriority w:val="99"/>
    <w:rsid w:val="00012E1F"/>
    <w:pPr>
      <w:widowControl w:val="0"/>
      <w:autoSpaceDE w:val="0"/>
      <w:autoSpaceDN w:val="0"/>
      <w:adjustRightInd w:val="0"/>
      <w:spacing w:before="64" w:line="260" w:lineRule="atLeast"/>
      <w:ind w:left="512" w:firstLine="256"/>
      <w:jc w:val="both"/>
    </w:pPr>
    <w:rPr>
      <w:rFonts w:ascii="Times" w:hAnsi="Times" w:cs="Times"/>
      <w:sz w:val="23"/>
      <w:szCs w:val="23"/>
    </w:rPr>
  </w:style>
  <w:style w:type="paragraph" w:styleId="Recuodecorpodetexto">
    <w:name w:val="Body Text Indent"/>
    <w:basedOn w:val="Normal"/>
    <w:link w:val="RecuodecorpodetextoChar"/>
    <w:rsid w:val="00012E1F"/>
    <w:pPr>
      <w:spacing w:before="120" w:after="120" w:line="360" w:lineRule="auto"/>
      <w:ind w:firstLine="1701"/>
      <w:jc w:val="both"/>
    </w:pPr>
    <w:rPr>
      <w:szCs w:val="20"/>
    </w:rPr>
  </w:style>
  <w:style w:type="character" w:customStyle="1" w:styleId="RecuodecorpodetextoChar">
    <w:name w:val="Recuo de corpo de texto Char"/>
    <w:basedOn w:val="Fontepargpadro"/>
    <w:link w:val="Recuodecorpodetexto"/>
    <w:rsid w:val="00012E1F"/>
    <w:rPr>
      <w:sz w:val="24"/>
      <w:lang w:eastAsia="pt-BR"/>
    </w:rPr>
  </w:style>
  <w:style w:type="table" w:styleId="Tabelacomgrade">
    <w:name w:val="Table Grid"/>
    <w:basedOn w:val="Tabelanormal"/>
    <w:rsid w:val="00FC5D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enoPendente1">
    <w:name w:val="Menção Pendente1"/>
    <w:basedOn w:val="Fontepargpadro"/>
    <w:uiPriority w:val="99"/>
    <w:semiHidden/>
    <w:unhideWhenUsed/>
    <w:rsid w:val="00000FCE"/>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8422067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8/08/relationships/commentsExtensible" Target="commentsExtensible.xml"/><Relationship Id="rId17" Type="http://schemas.microsoft.com/office/2011/relationships/commentsExtended" Target="commentsExtended.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F8CA95-0EA8-46BE-B28B-43CD112420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2869</Words>
  <Characters>15498</Characters>
  <Application>Microsoft Office Word</Application>
  <DocSecurity>0</DocSecurity>
  <Lines>129</Lines>
  <Paragraphs>36</Paragraphs>
  <ScaleCrop>false</ScaleCrop>
  <HeadingPairs>
    <vt:vector size="2" baseType="variant">
      <vt:variant>
        <vt:lpstr>Título</vt:lpstr>
      </vt:variant>
      <vt:variant>
        <vt:i4>1</vt:i4>
      </vt:variant>
    </vt:vector>
  </HeadingPairs>
  <TitlesOfParts>
    <vt:vector size="1" baseType="lpstr">
      <vt:lpstr>O Novo Código de Processo Civil teve a feliz opção de equalizar expressamente a união estável ao casamento em vários de seus preceitos, o que trará consequências para o modo como a comparação dessas entidades familiares é feita no âmbito do direito mater</vt:lpstr>
    </vt:vector>
  </TitlesOfParts>
  <Company>R&amp;R Informatica</Company>
  <LinksUpToDate>false</LinksUpToDate>
  <CharactersWithSpaces>18331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 Novo Código de Processo Civil teve a feliz opção de equalizar expressamente a união estável ao casamento em vários de seus preceitos, o que trará consequências para o modo como a comparação dessas entidades familiares é feita no âmbito do direito mater</dc:title>
  <dc:creator>Douglas</dc:creator>
  <cp:lastModifiedBy>Flavio</cp:lastModifiedBy>
  <cp:revision>2</cp:revision>
  <cp:lastPrinted>2016-09-23T18:20:00Z</cp:lastPrinted>
  <dcterms:created xsi:type="dcterms:W3CDTF">2024-12-13T13:58:00Z</dcterms:created>
  <dcterms:modified xsi:type="dcterms:W3CDTF">2024-12-13T13:58:00Z</dcterms:modified>
</cp:coreProperties>
</file>