
<file path=[Content_Types].xml><?xml version="1.0" encoding="utf-8"?>
<Types xmlns="http://schemas.openxmlformats.org/package/2006/content-types">
  <Override PartName="/word/footnotes.xml" ContentType="application/vnd.openxmlformats-officedocument.wordprocessingml.footnotes+xml"/>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1639" w:rsidRDefault="00683E7B" w:rsidP="009F1639">
      <w:pPr>
        <w:spacing w:before="120" w:after="120" w:line="36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POLÊMICAS ATUAIS SOBRE O </w:t>
      </w:r>
      <w:r w:rsidR="009F1639">
        <w:rPr>
          <w:rFonts w:ascii="Times New Roman" w:hAnsi="Times New Roman" w:cs="Times New Roman"/>
          <w:b/>
          <w:bCs/>
          <w:sz w:val="24"/>
          <w:szCs w:val="24"/>
        </w:rPr>
        <w:t>CONTRATO DE COMODATO</w:t>
      </w:r>
      <w:r w:rsidR="00C8326E">
        <w:rPr>
          <w:rFonts w:ascii="Times New Roman" w:hAnsi="Times New Roman" w:cs="Times New Roman"/>
          <w:b/>
          <w:bCs/>
          <w:sz w:val="24"/>
          <w:szCs w:val="24"/>
        </w:rPr>
        <w:t xml:space="preserve"> </w:t>
      </w:r>
      <w:r>
        <w:rPr>
          <w:rFonts w:ascii="Times New Roman" w:hAnsi="Times New Roman" w:cs="Times New Roman"/>
          <w:b/>
          <w:bCs/>
          <w:sz w:val="24"/>
          <w:szCs w:val="24"/>
        </w:rPr>
        <w:t xml:space="preserve">E </w:t>
      </w:r>
      <w:r w:rsidR="00C8326E">
        <w:rPr>
          <w:rFonts w:ascii="Times New Roman" w:hAnsi="Times New Roman" w:cs="Times New Roman"/>
          <w:b/>
          <w:bCs/>
          <w:sz w:val="24"/>
          <w:szCs w:val="24"/>
        </w:rPr>
        <w:t>A REFORMA DO CÓDIGO CIVIL</w:t>
      </w:r>
      <w:r w:rsidR="00587EB4">
        <w:rPr>
          <w:rFonts w:ascii="Times New Roman" w:hAnsi="Times New Roman" w:cs="Times New Roman"/>
          <w:b/>
          <w:bCs/>
          <w:sz w:val="24"/>
          <w:szCs w:val="24"/>
        </w:rPr>
        <w:t xml:space="preserve"> </w:t>
      </w:r>
    </w:p>
    <w:p w:rsidR="00AF3E95" w:rsidRDefault="00AF3E95" w:rsidP="001F0B30">
      <w:pPr>
        <w:spacing w:before="120" w:after="120" w:line="360" w:lineRule="auto"/>
        <w:jc w:val="center"/>
        <w:rPr>
          <w:rFonts w:ascii="Times New Roman" w:hAnsi="Times New Roman" w:cs="Times New Roman"/>
          <w:b/>
          <w:bCs/>
          <w:sz w:val="24"/>
          <w:szCs w:val="24"/>
        </w:rPr>
      </w:pPr>
    </w:p>
    <w:p w:rsidR="001B0CD7" w:rsidRDefault="001B0CD7" w:rsidP="00B15AD0">
      <w:pPr>
        <w:spacing w:before="120" w:after="120" w:line="360" w:lineRule="auto"/>
        <w:jc w:val="right"/>
        <w:rPr>
          <w:rFonts w:ascii="Times New Roman" w:hAnsi="Times New Roman" w:cs="Times New Roman"/>
          <w:bCs/>
          <w:sz w:val="24"/>
          <w:szCs w:val="24"/>
        </w:rPr>
      </w:pPr>
    </w:p>
    <w:p w:rsidR="00805969" w:rsidRPr="00F36722" w:rsidRDefault="00B15AD0" w:rsidP="00F36722">
      <w:pPr>
        <w:spacing w:before="120" w:after="120" w:line="360" w:lineRule="auto"/>
        <w:jc w:val="right"/>
        <w:rPr>
          <w:rFonts w:ascii="Times New Roman" w:hAnsi="Times New Roman" w:cs="Times New Roman"/>
          <w:bCs/>
          <w:sz w:val="24"/>
          <w:szCs w:val="24"/>
        </w:rPr>
      </w:pPr>
      <w:r w:rsidRPr="0027030E">
        <w:rPr>
          <w:rFonts w:ascii="Times New Roman" w:hAnsi="Times New Roman" w:cs="Times New Roman"/>
          <w:bCs/>
          <w:sz w:val="24"/>
          <w:szCs w:val="24"/>
        </w:rPr>
        <w:t>Flávio Tartuce</w:t>
      </w:r>
      <w:r w:rsidRPr="0027030E">
        <w:rPr>
          <w:rFonts w:ascii="Times New Roman" w:hAnsi="Times New Roman" w:cs="Times New Roman"/>
          <w:bCs/>
          <w:sz w:val="24"/>
          <w:szCs w:val="24"/>
          <w:vertAlign w:val="superscript"/>
        </w:rPr>
        <w:footnoteReference w:id="1"/>
      </w:r>
    </w:p>
    <w:p w:rsidR="00805969" w:rsidRPr="00805969" w:rsidRDefault="00805969" w:rsidP="00674CF0">
      <w:pPr>
        <w:tabs>
          <w:tab w:val="left" w:pos="2800"/>
        </w:tabs>
        <w:rPr>
          <w:lang w:eastAsia="pt-BR"/>
        </w:rPr>
      </w:pPr>
    </w:p>
    <w:p w:rsidR="009F1639" w:rsidRPr="009F1639" w:rsidRDefault="009F1639" w:rsidP="009F1639">
      <w:pPr>
        <w:pStyle w:val="t"/>
        <w:spacing w:before="120" w:after="120" w:line="360" w:lineRule="auto"/>
        <w:ind w:firstLine="1701"/>
        <w:rPr>
          <w:rFonts w:ascii="Times New Roman" w:hAnsi="Times New Roman" w:cs="Times New Roman"/>
          <w:sz w:val="24"/>
          <w:szCs w:val="24"/>
        </w:rPr>
      </w:pPr>
      <w:r w:rsidRPr="009F1639">
        <w:rPr>
          <w:rFonts w:ascii="Times New Roman" w:hAnsi="Times New Roman" w:cs="Times New Roman"/>
          <w:sz w:val="24"/>
          <w:szCs w:val="24"/>
        </w:rPr>
        <w:t>O contrato de empréstimo pode ser conceituado como o negócio jurídico pelo qual uma pessoa entrega uma coisa a outra, de forma gratuita, obrigando-se esta a devolver a coisa emprestada ou outra de mesma espécie e quantidade. O negócio em questão é um exemplo claro de contrato unilateral e gratuito, abrangendo duas espécies:</w:t>
      </w:r>
      <w:r>
        <w:rPr>
          <w:rFonts w:ascii="Times New Roman" w:hAnsi="Times New Roman" w:cs="Times New Roman"/>
          <w:sz w:val="24"/>
          <w:szCs w:val="24"/>
        </w:rPr>
        <w:t xml:space="preserve"> </w:t>
      </w:r>
      <w:r w:rsidR="00AA3780" w:rsidRPr="00AA3780">
        <w:rPr>
          <w:rFonts w:ascii="Times New Roman" w:hAnsi="Times New Roman" w:cs="Times New Roman"/>
          <w:i/>
          <w:sz w:val="24"/>
          <w:szCs w:val="24"/>
        </w:rPr>
        <w:t>a)</w:t>
      </w:r>
      <w:r w:rsidR="00AA3780">
        <w:rPr>
          <w:rFonts w:ascii="Times New Roman" w:hAnsi="Times New Roman" w:cs="Times New Roman"/>
          <w:sz w:val="24"/>
          <w:szCs w:val="24"/>
        </w:rPr>
        <w:t xml:space="preserve"> </w:t>
      </w:r>
      <w:r>
        <w:rPr>
          <w:rFonts w:ascii="Times New Roman" w:hAnsi="Times New Roman" w:cs="Times New Roman"/>
          <w:sz w:val="24"/>
          <w:szCs w:val="24"/>
        </w:rPr>
        <w:t xml:space="preserve">o comodato, </w:t>
      </w:r>
      <w:r w:rsidRPr="009F1639">
        <w:rPr>
          <w:rFonts w:ascii="Times New Roman" w:hAnsi="Times New Roman" w:cs="Times New Roman"/>
          <w:sz w:val="24"/>
          <w:szCs w:val="24"/>
        </w:rPr>
        <w:t>empréstimo de bem infungível e inconsumível, em que a coisa emprestada deverá ser restituída findo o contrato (</w:t>
      </w:r>
      <w:r w:rsidRPr="009F1639">
        <w:rPr>
          <w:rFonts w:ascii="Times New Roman" w:hAnsi="Times New Roman" w:cs="Times New Roman"/>
          <w:i/>
          <w:sz w:val="24"/>
          <w:szCs w:val="24"/>
        </w:rPr>
        <w:t>empréstimo de uso</w:t>
      </w:r>
      <w:r w:rsidRPr="009F1639">
        <w:rPr>
          <w:rFonts w:ascii="Times New Roman" w:hAnsi="Times New Roman" w:cs="Times New Roman"/>
          <w:sz w:val="24"/>
          <w:szCs w:val="24"/>
        </w:rPr>
        <w:t>)</w:t>
      </w:r>
      <w:r>
        <w:rPr>
          <w:rFonts w:ascii="Times New Roman" w:hAnsi="Times New Roman" w:cs="Times New Roman"/>
          <w:sz w:val="24"/>
          <w:szCs w:val="24"/>
        </w:rPr>
        <w:t xml:space="preserve">; e </w:t>
      </w:r>
      <w:r w:rsidR="000B160F" w:rsidRPr="000B160F">
        <w:rPr>
          <w:rFonts w:ascii="Times New Roman" w:hAnsi="Times New Roman" w:cs="Times New Roman"/>
          <w:i/>
          <w:sz w:val="24"/>
          <w:szCs w:val="24"/>
        </w:rPr>
        <w:t>b)</w:t>
      </w:r>
      <w:r w:rsidR="00AA3780">
        <w:rPr>
          <w:rFonts w:ascii="Times New Roman" w:hAnsi="Times New Roman" w:cs="Times New Roman"/>
          <w:sz w:val="24"/>
          <w:szCs w:val="24"/>
        </w:rPr>
        <w:t xml:space="preserve"> </w:t>
      </w:r>
      <w:r>
        <w:rPr>
          <w:rFonts w:ascii="Times New Roman" w:hAnsi="Times New Roman" w:cs="Times New Roman"/>
          <w:sz w:val="24"/>
          <w:szCs w:val="24"/>
        </w:rPr>
        <w:t xml:space="preserve">o mútuo, </w:t>
      </w:r>
      <w:r w:rsidRPr="009F1639">
        <w:rPr>
          <w:rFonts w:ascii="Times New Roman" w:hAnsi="Times New Roman" w:cs="Times New Roman"/>
          <w:sz w:val="24"/>
          <w:szCs w:val="24"/>
        </w:rPr>
        <w:t>empréstimo de bem fungível e consumível, em que a coisa é consumida e desaparece, devendo ser devolvida outra de mesma espécie e quantidade (</w:t>
      </w:r>
      <w:r w:rsidRPr="009F1639">
        <w:rPr>
          <w:rFonts w:ascii="Times New Roman" w:hAnsi="Times New Roman" w:cs="Times New Roman"/>
          <w:i/>
          <w:sz w:val="24"/>
          <w:szCs w:val="24"/>
        </w:rPr>
        <w:t>empréstimo de consumo</w:t>
      </w:r>
      <w:r w:rsidRPr="009F1639">
        <w:rPr>
          <w:rFonts w:ascii="Times New Roman" w:hAnsi="Times New Roman" w:cs="Times New Roman"/>
          <w:sz w:val="24"/>
          <w:szCs w:val="24"/>
        </w:rPr>
        <w:t>).</w:t>
      </w:r>
    </w:p>
    <w:p w:rsidR="009F1639" w:rsidRPr="009F1639" w:rsidRDefault="009F1639" w:rsidP="009F1639">
      <w:pPr>
        <w:pStyle w:val="t"/>
        <w:spacing w:before="120" w:after="120" w:line="360" w:lineRule="auto"/>
        <w:ind w:firstLine="1701"/>
        <w:rPr>
          <w:rFonts w:ascii="Times New Roman" w:hAnsi="Times New Roman" w:cs="Times New Roman"/>
          <w:sz w:val="24"/>
          <w:szCs w:val="24"/>
        </w:rPr>
      </w:pPr>
      <w:r w:rsidRPr="009F1639">
        <w:rPr>
          <w:rFonts w:ascii="Times New Roman" w:hAnsi="Times New Roman" w:cs="Times New Roman"/>
          <w:sz w:val="24"/>
          <w:szCs w:val="24"/>
        </w:rPr>
        <w:t>Os dois contratos de empréstimo, além de serem unilaterais e gratuitos</w:t>
      </w:r>
      <w:r w:rsidR="00AA3780">
        <w:rPr>
          <w:rFonts w:ascii="Times New Roman" w:hAnsi="Times New Roman" w:cs="Times New Roman"/>
          <w:sz w:val="24"/>
          <w:szCs w:val="24"/>
        </w:rPr>
        <w:t xml:space="preserve"> ou </w:t>
      </w:r>
      <w:r w:rsidRPr="009F1639">
        <w:rPr>
          <w:rFonts w:ascii="Times New Roman" w:hAnsi="Times New Roman" w:cs="Times New Roman"/>
          <w:sz w:val="24"/>
          <w:szCs w:val="24"/>
        </w:rPr>
        <w:t>benéficos, em regra, são ainda negócios comutativos, informais e reais. A última característica decorre do fato de que esses contratos têm aperfeiçoamento com a entr</w:t>
      </w:r>
      <w:r>
        <w:rPr>
          <w:rFonts w:ascii="Times New Roman" w:hAnsi="Times New Roman" w:cs="Times New Roman"/>
          <w:sz w:val="24"/>
          <w:szCs w:val="24"/>
        </w:rPr>
        <w:t>e</w:t>
      </w:r>
      <w:r w:rsidRPr="009F1639">
        <w:rPr>
          <w:rFonts w:ascii="Times New Roman" w:hAnsi="Times New Roman" w:cs="Times New Roman"/>
          <w:sz w:val="24"/>
          <w:szCs w:val="24"/>
        </w:rPr>
        <w:t xml:space="preserve">ga da coisa emprestada (tradição ou </w:t>
      </w:r>
      <w:r w:rsidRPr="009F1639">
        <w:rPr>
          <w:rFonts w:ascii="Times New Roman" w:hAnsi="Times New Roman" w:cs="Times New Roman"/>
          <w:i/>
          <w:sz w:val="24"/>
          <w:szCs w:val="24"/>
        </w:rPr>
        <w:t>traditio</w:t>
      </w:r>
      <w:r w:rsidRPr="009F1639">
        <w:rPr>
          <w:rFonts w:ascii="Times New Roman" w:hAnsi="Times New Roman" w:cs="Times New Roman"/>
          <w:sz w:val="24"/>
          <w:szCs w:val="24"/>
        </w:rPr>
        <w:t>). Isso desloca a tradição do plano da eficácia</w:t>
      </w:r>
      <w:r>
        <w:rPr>
          <w:rFonts w:ascii="Times New Roman" w:hAnsi="Times New Roman" w:cs="Times New Roman"/>
          <w:sz w:val="24"/>
          <w:szCs w:val="24"/>
        </w:rPr>
        <w:t xml:space="preserve"> </w:t>
      </w:r>
      <w:r w:rsidRPr="009F1639">
        <w:rPr>
          <w:rFonts w:ascii="Times New Roman" w:hAnsi="Times New Roman" w:cs="Times New Roman"/>
          <w:sz w:val="24"/>
          <w:szCs w:val="24"/>
        </w:rPr>
        <w:t xml:space="preserve">para o plano da validade </w:t>
      </w:r>
      <w:r>
        <w:rPr>
          <w:rFonts w:ascii="Times New Roman" w:hAnsi="Times New Roman" w:cs="Times New Roman"/>
          <w:sz w:val="24"/>
          <w:szCs w:val="24"/>
        </w:rPr>
        <w:t xml:space="preserve">do negócio jurídico em questão. </w:t>
      </w:r>
    </w:p>
    <w:p w:rsidR="009F1639" w:rsidRPr="009F1639" w:rsidRDefault="009F1639" w:rsidP="009F163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já se adiantou, </w:t>
      </w:r>
      <w:r w:rsidR="009F3FBF">
        <w:rPr>
          <w:rFonts w:ascii="Times New Roman" w:hAnsi="Times New Roman" w:cs="Times New Roman"/>
          <w:sz w:val="24"/>
          <w:szCs w:val="24"/>
        </w:rPr>
        <w:t xml:space="preserve">o </w:t>
      </w:r>
      <w:r>
        <w:rPr>
          <w:rFonts w:ascii="Times New Roman" w:hAnsi="Times New Roman" w:cs="Times New Roman"/>
          <w:sz w:val="24"/>
          <w:szCs w:val="24"/>
        </w:rPr>
        <w:t xml:space="preserve">objeto principal deste texto, </w:t>
      </w:r>
      <w:r w:rsidRPr="009F1639">
        <w:rPr>
          <w:rFonts w:ascii="Times New Roman" w:hAnsi="Times New Roman" w:cs="Times New Roman"/>
          <w:sz w:val="24"/>
          <w:szCs w:val="24"/>
        </w:rPr>
        <w:t>o comodato</w:t>
      </w:r>
      <w:r w:rsidR="00AA3780">
        <w:rPr>
          <w:rFonts w:ascii="Times New Roman" w:hAnsi="Times New Roman" w:cs="Times New Roman"/>
          <w:sz w:val="24"/>
          <w:szCs w:val="24"/>
        </w:rPr>
        <w:t>,</w:t>
      </w:r>
      <w:r w:rsidRPr="009F1639">
        <w:rPr>
          <w:rFonts w:ascii="Times New Roman" w:hAnsi="Times New Roman" w:cs="Times New Roman"/>
          <w:sz w:val="24"/>
          <w:szCs w:val="24"/>
        </w:rPr>
        <w:t xml:space="preserve"> é um contrato unilateral, benéfico e gratuito em que alguém entrega a outra pessoa uma coisa infungível, para ser utilizada por um determinado tempo e devolvida findo o contrato. </w:t>
      </w:r>
      <w:r w:rsidR="00AA3780">
        <w:rPr>
          <w:rFonts w:ascii="Times New Roman" w:hAnsi="Times New Roman" w:cs="Times New Roman"/>
          <w:sz w:val="24"/>
          <w:szCs w:val="24"/>
        </w:rPr>
        <w:t xml:space="preserve">Justamente por isso, fala-se em </w:t>
      </w:r>
      <w:r w:rsidR="00AA3780" w:rsidRPr="00AA3780">
        <w:rPr>
          <w:rFonts w:ascii="Times New Roman" w:hAnsi="Times New Roman" w:cs="Times New Roman"/>
          <w:i/>
          <w:sz w:val="24"/>
          <w:szCs w:val="24"/>
        </w:rPr>
        <w:t>empréstimo de uso</w:t>
      </w:r>
      <w:r w:rsidR="000B160F" w:rsidRPr="000B160F">
        <w:rPr>
          <w:rFonts w:ascii="Times New Roman" w:hAnsi="Times New Roman" w:cs="Times New Roman"/>
          <w:iCs/>
          <w:sz w:val="24"/>
          <w:szCs w:val="24"/>
        </w:rPr>
        <w:t>,</w:t>
      </w:r>
      <w:r w:rsidR="00AA3780">
        <w:rPr>
          <w:rFonts w:ascii="Times New Roman" w:hAnsi="Times New Roman" w:cs="Times New Roman"/>
          <w:sz w:val="24"/>
          <w:szCs w:val="24"/>
        </w:rPr>
        <w:t xml:space="preserve"> e, p</w:t>
      </w:r>
      <w:r w:rsidRPr="009F1639">
        <w:rPr>
          <w:rFonts w:ascii="Times New Roman" w:hAnsi="Times New Roman" w:cs="Times New Roman"/>
          <w:sz w:val="24"/>
          <w:szCs w:val="24"/>
        </w:rPr>
        <w:t xml:space="preserve">or razões óbvias, o contrato pode ter como objeto bens móveis ou imóveis, pois ambos podem ser infungíveis </w:t>
      </w:r>
      <w:r>
        <w:rPr>
          <w:rFonts w:ascii="Times New Roman" w:hAnsi="Times New Roman" w:cs="Times New Roman"/>
          <w:sz w:val="24"/>
          <w:szCs w:val="24"/>
        </w:rPr>
        <w:t xml:space="preserve">ou </w:t>
      </w:r>
      <w:r w:rsidRPr="009F1639">
        <w:rPr>
          <w:rFonts w:ascii="Times New Roman" w:hAnsi="Times New Roman" w:cs="Times New Roman"/>
          <w:sz w:val="24"/>
          <w:szCs w:val="24"/>
        </w:rPr>
        <w:t>insubstituíveis.</w:t>
      </w:r>
    </w:p>
    <w:p w:rsidR="009F1639" w:rsidRPr="009F1639" w:rsidRDefault="009F1639" w:rsidP="009F1639">
      <w:pPr>
        <w:pStyle w:val="t"/>
        <w:spacing w:before="120" w:after="120" w:line="360" w:lineRule="auto"/>
        <w:ind w:firstLine="1701"/>
        <w:rPr>
          <w:rFonts w:ascii="Times New Roman" w:hAnsi="Times New Roman" w:cs="Times New Roman"/>
          <w:sz w:val="24"/>
          <w:szCs w:val="24"/>
        </w:rPr>
      </w:pPr>
      <w:r w:rsidRPr="009F1639">
        <w:rPr>
          <w:rFonts w:ascii="Times New Roman" w:hAnsi="Times New Roman" w:cs="Times New Roman"/>
          <w:sz w:val="24"/>
          <w:szCs w:val="24"/>
        </w:rPr>
        <w:t xml:space="preserve">A parte que empresta a coisa é denominada comodante, enquanto a </w:t>
      </w:r>
      <w:r w:rsidRPr="009F1639">
        <w:rPr>
          <w:rFonts w:ascii="Times New Roman" w:hAnsi="Times New Roman" w:cs="Times New Roman"/>
          <w:sz w:val="24"/>
          <w:szCs w:val="24"/>
        </w:rPr>
        <w:lastRenderedPageBreak/>
        <w:t xml:space="preserve">que recebe é o comodatário. O contrato é </w:t>
      </w:r>
      <w:r w:rsidRPr="009F1639">
        <w:rPr>
          <w:rFonts w:ascii="Times New Roman" w:hAnsi="Times New Roman" w:cs="Times New Roman"/>
          <w:i/>
          <w:sz w:val="24"/>
          <w:szCs w:val="24"/>
        </w:rPr>
        <w:t>intuitu personae</w:t>
      </w:r>
      <w:r w:rsidRPr="009F1639">
        <w:rPr>
          <w:rFonts w:ascii="Times New Roman" w:hAnsi="Times New Roman" w:cs="Times New Roman"/>
          <w:sz w:val="24"/>
          <w:szCs w:val="24"/>
        </w:rPr>
        <w:t>, baseado na fidúcia, na confiança do comodante em relação ao comodatário. Não exige sequer forma escrita, sendo contrato não solene e informal.</w:t>
      </w:r>
    </w:p>
    <w:p w:rsidR="009F1639" w:rsidRDefault="00AA3780" w:rsidP="009F163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U</w:t>
      </w:r>
      <w:r w:rsidR="009F1639">
        <w:rPr>
          <w:rFonts w:ascii="Times New Roman" w:hAnsi="Times New Roman" w:cs="Times New Roman"/>
          <w:sz w:val="24"/>
          <w:szCs w:val="24"/>
        </w:rPr>
        <w:t xml:space="preserve">m dos dispositivos mais importantes na codificação privada em vigor </w:t>
      </w:r>
      <w:r>
        <w:rPr>
          <w:rFonts w:ascii="Times New Roman" w:hAnsi="Times New Roman" w:cs="Times New Roman"/>
          <w:sz w:val="24"/>
          <w:szCs w:val="24"/>
        </w:rPr>
        <w:t xml:space="preserve">a respeito do comodato </w:t>
      </w:r>
      <w:r w:rsidR="009F1639">
        <w:rPr>
          <w:rFonts w:ascii="Times New Roman" w:hAnsi="Times New Roman" w:cs="Times New Roman"/>
          <w:sz w:val="24"/>
          <w:szCs w:val="24"/>
        </w:rPr>
        <w:t xml:space="preserve">é o </w:t>
      </w:r>
      <w:r>
        <w:rPr>
          <w:rFonts w:ascii="Times New Roman" w:hAnsi="Times New Roman" w:cs="Times New Roman"/>
          <w:sz w:val="24"/>
          <w:szCs w:val="24"/>
        </w:rPr>
        <w:t xml:space="preserve">seu </w:t>
      </w:r>
      <w:r w:rsidR="009F1639">
        <w:rPr>
          <w:rFonts w:ascii="Times New Roman" w:hAnsi="Times New Roman" w:cs="Times New Roman"/>
          <w:sz w:val="24"/>
          <w:szCs w:val="24"/>
        </w:rPr>
        <w:t xml:space="preserve">art. 582, que atualmente tem a seguinte dicção: "o </w:t>
      </w:r>
      <w:r w:rsidR="009F1639" w:rsidRPr="009F1639">
        <w:rPr>
          <w:rFonts w:ascii="Times New Roman" w:hAnsi="Times New Roman" w:cs="Times New Roman"/>
          <w:sz w:val="24"/>
          <w:szCs w:val="24"/>
        </w:rPr>
        <w:t>comodatário é obrigado a conservar, como se sua própria fora, a coisa emprestada, não podendo usá-la senão de acordo com o contrato ou a natureza dela, sob pena de responder por perdas e danos. O comodatário constituído em mora, além de por ela responder, pagará, até restituí-la, o aluguel da coisa que for arbitrado pelo comodante</w:t>
      </w:r>
      <w:r w:rsidR="009F1639">
        <w:rPr>
          <w:rFonts w:ascii="Times New Roman" w:hAnsi="Times New Roman" w:cs="Times New Roman"/>
          <w:sz w:val="24"/>
          <w:szCs w:val="24"/>
        </w:rPr>
        <w:t xml:space="preserve">". O preceito consagra deveres do comodatário e consequências advindas da sua violação. </w:t>
      </w:r>
    </w:p>
    <w:p w:rsidR="009F1639" w:rsidRPr="009F1639" w:rsidRDefault="009F1639" w:rsidP="009F163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Nesse contexto, a</w:t>
      </w:r>
      <w:r w:rsidRPr="009F1639">
        <w:rPr>
          <w:rFonts w:ascii="Times New Roman" w:hAnsi="Times New Roman" w:cs="Times New Roman"/>
          <w:sz w:val="24"/>
          <w:szCs w:val="24"/>
        </w:rPr>
        <w:t xml:space="preserve"> parte final do art. 582 do C</w:t>
      </w:r>
      <w:r>
        <w:rPr>
          <w:rFonts w:ascii="Times New Roman" w:hAnsi="Times New Roman" w:cs="Times New Roman"/>
          <w:sz w:val="24"/>
          <w:szCs w:val="24"/>
        </w:rPr>
        <w:t>ódigo Civil</w:t>
      </w:r>
      <w:r w:rsidRPr="009F1639">
        <w:rPr>
          <w:rFonts w:ascii="Times New Roman" w:hAnsi="Times New Roman" w:cs="Times New Roman"/>
          <w:sz w:val="24"/>
          <w:szCs w:val="24"/>
        </w:rPr>
        <w:t xml:space="preserve"> consagra penalidades nos casos em que o bem não é devolvido</w:t>
      </w:r>
      <w:r>
        <w:rPr>
          <w:rFonts w:ascii="Times New Roman" w:hAnsi="Times New Roman" w:cs="Times New Roman"/>
          <w:sz w:val="24"/>
          <w:szCs w:val="24"/>
        </w:rPr>
        <w:t xml:space="preserve"> pelo comodatário</w:t>
      </w:r>
      <w:r w:rsidRPr="009F1639">
        <w:rPr>
          <w:rFonts w:ascii="Times New Roman" w:hAnsi="Times New Roman" w:cs="Times New Roman"/>
          <w:sz w:val="24"/>
          <w:szCs w:val="24"/>
        </w:rPr>
        <w:t xml:space="preserve">, pois o comodatário constituído em </w:t>
      </w:r>
      <w:r w:rsidRPr="00AA3780">
        <w:rPr>
          <w:rFonts w:ascii="Times New Roman" w:hAnsi="Times New Roman" w:cs="Times New Roman"/>
          <w:i/>
          <w:sz w:val="24"/>
          <w:szCs w:val="24"/>
        </w:rPr>
        <w:t>mora</w:t>
      </w:r>
      <w:r w:rsidR="00AA3780" w:rsidRPr="00AA3780">
        <w:rPr>
          <w:rFonts w:ascii="Times New Roman" w:hAnsi="Times New Roman" w:cs="Times New Roman"/>
          <w:i/>
          <w:sz w:val="24"/>
          <w:szCs w:val="24"/>
        </w:rPr>
        <w:t xml:space="preserve"> persona</w:t>
      </w:r>
      <w:r w:rsidRPr="009F1639">
        <w:rPr>
          <w:rFonts w:ascii="Times New Roman" w:hAnsi="Times New Roman" w:cs="Times New Roman"/>
          <w:sz w:val="24"/>
          <w:szCs w:val="24"/>
        </w:rPr>
        <w:t>, além de responder</w:t>
      </w:r>
      <w:r w:rsidR="00AA3780">
        <w:rPr>
          <w:rFonts w:ascii="Times New Roman" w:hAnsi="Times New Roman" w:cs="Times New Roman"/>
          <w:sz w:val="24"/>
          <w:szCs w:val="24"/>
        </w:rPr>
        <w:t xml:space="preserve"> pela coisa emprestada</w:t>
      </w:r>
      <w:r w:rsidRPr="009F1639">
        <w:rPr>
          <w:rFonts w:ascii="Times New Roman" w:hAnsi="Times New Roman" w:cs="Times New Roman"/>
          <w:sz w:val="24"/>
          <w:szCs w:val="24"/>
        </w:rPr>
        <w:t xml:space="preserve">, pagará, até restituí-la, o aluguel que for arbitrado pelo comodante. </w:t>
      </w:r>
      <w:r>
        <w:rPr>
          <w:rFonts w:ascii="Times New Roman" w:hAnsi="Times New Roman" w:cs="Times New Roman"/>
          <w:sz w:val="24"/>
          <w:szCs w:val="24"/>
        </w:rPr>
        <w:t>A</w:t>
      </w:r>
      <w:r w:rsidRPr="009F1639">
        <w:rPr>
          <w:rFonts w:ascii="Times New Roman" w:hAnsi="Times New Roman" w:cs="Times New Roman"/>
          <w:sz w:val="24"/>
          <w:szCs w:val="24"/>
        </w:rPr>
        <w:t>s consequências da mora do devedor estão previstas no art. 399 d</w:t>
      </w:r>
      <w:r>
        <w:rPr>
          <w:rFonts w:ascii="Times New Roman" w:hAnsi="Times New Roman" w:cs="Times New Roman"/>
          <w:sz w:val="24"/>
          <w:szCs w:val="24"/>
        </w:rPr>
        <w:t xml:space="preserve">a própria codificação privada, </w:t>
      </w:r>
      <w:r w:rsidRPr="009F1639">
        <w:rPr>
          <w:rFonts w:ascii="Times New Roman" w:hAnsi="Times New Roman" w:cs="Times New Roman"/>
          <w:sz w:val="24"/>
          <w:szCs w:val="24"/>
        </w:rPr>
        <w:t>respondendo o comodatário no caso em questão por caso fortuito e força maior, a não ser que prove a ausência de culpa ou que a perda do objeto do contrato ocorreria mesmo se não estivesse em atraso.</w:t>
      </w:r>
    </w:p>
    <w:p w:rsidR="009F1639" w:rsidRPr="009F1639" w:rsidRDefault="009F1639" w:rsidP="009F1639">
      <w:pPr>
        <w:pStyle w:val="t"/>
        <w:spacing w:before="120" w:after="120" w:line="360" w:lineRule="auto"/>
        <w:ind w:firstLine="1701"/>
        <w:rPr>
          <w:rFonts w:ascii="Times New Roman" w:hAnsi="Times New Roman" w:cs="Times New Roman"/>
          <w:sz w:val="24"/>
          <w:szCs w:val="24"/>
        </w:rPr>
      </w:pPr>
      <w:r w:rsidRPr="009F1639">
        <w:rPr>
          <w:rFonts w:ascii="Times New Roman" w:hAnsi="Times New Roman" w:cs="Times New Roman"/>
          <w:sz w:val="24"/>
          <w:szCs w:val="24"/>
        </w:rPr>
        <w:t xml:space="preserve">Essas penalidades são bem delineadas pela jurisprudência, podendo ser </w:t>
      </w:r>
      <w:r>
        <w:rPr>
          <w:rFonts w:ascii="Times New Roman" w:hAnsi="Times New Roman" w:cs="Times New Roman"/>
          <w:sz w:val="24"/>
          <w:szCs w:val="24"/>
        </w:rPr>
        <w:t>citado e ilustrado</w:t>
      </w:r>
      <w:r w:rsidRPr="009F1639">
        <w:rPr>
          <w:rFonts w:ascii="Times New Roman" w:hAnsi="Times New Roman" w:cs="Times New Roman"/>
          <w:sz w:val="24"/>
          <w:szCs w:val="24"/>
        </w:rPr>
        <w:t xml:space="preserve"> importante acórdão do S</w:t>
      </w:r>
      <w:r>
        <w:rPr>
          <w:rFonts w:ascii="Times New Roman" w:hAnsi="Times New Roman" w:cs="Times New Roman"/>
          <w:sz w:val="24"/>
          <w:szCs w:val="24"/>
        </w:rPr>
        <w:t xml:space="preserve">uperior Tribunal de Justiça </w:t>
      </w:r>
      <w:r w:rsidRPr="009F1639">
        <w:rPr>
          <w:rFonts w:ascii="Times New Roman" w:hAnsi="Times New Roman" w:cs="Times New Roman"/>
          <w:sz w:val="24"/>
          <w:szCs w:val="24"/>
        </w:rPr>
        <w:t>do ano de 2022. O caso disse respeito a condomínio</w:t>
      </w:r>
      <w:r>
        <w:rPr>
          <w:rFonts w:ascii="Times New Roman" w:hAnsi="Times New Roman" w:cs="Times New Roman"/>
          <w:sz w:val="24"/>
          <w:szCs w:val="24"/>
        </w:rPr>
        <w:t xml:space="preserve"> comum</w:t>
      </w:r>
      <w:r w:rsidRPr="009F1639">
        <w:rPr>
          <w:rFonts w:ascii="Times New Roman" w:hAnsi="Times New Roman" w:cs="Times New Roman"/>
          <w:sz w:val="24"/>
          <w:szCs w:val="24"/>
        </w:rPr>
        <w:t xml:space="preserve"> e comodato, sendo a sua tese principal a seguinte: “o condômino privado da posse do imóvel tem direito ao recebimento de indenização equivalente aos aluguéis proporcionais ao seu quinhão, dos proprietários que permaneceram na posse exclusiva do bem, os quais, caso não notificados extrajudicialmente, podem ser constituídos em mora por meio da citação nos autos da ação de arbitramento dos aluguéis”. Vejamos </w:t>
      </w:r>
      <w:r>
        <w:rPr>
          <w:rFonts w:ascii="Times New Roman" w:hAnsi="Times New Roman" w:cs="Times New Roman"/>
          <w:sz w:val="24"/>
          <w:szCs w:val="24"/>
        </w:rPr>
        <w:t xml:space="preserve">trecho da </w:t>
      </w:r>
      <w:r w:rsidRPr="009F1639">
        <w:rPr>
          <w:rFonts w:ascii="Times New Roman" w:hAnsi="Times New Roman" w:cs="Times New Roman"/>
          <w:sz w:val="24"/>
          <w:szCs w:val="24"/>
        </w:rPr>
        <w:t xml:space="preserve">sua ementa, que trata de hipótese de condomínio decorrente de casamento: </w:t>
      </w:r>
    </w:p>
    <w:p w:rsidR="009F1639" w:rsidRPr="009F1639" w:rsidRDefault="00C81C90" w:rsidP="009F1639">
      <w:pPr>
        <w:pStyle w:val="t"/>
        <w:spacing w:before="120" w:after="120" w:line="360" w:lineRule="auto"/>
        <w:ind w:left="567" w:firstLine="0"/>
        <w:rPr>
          <w:rFonts w:ascii="Times New Roman" w:hAnsi="Times New Roman" w:cs="Times New Roman"/>
          <w:sz w:val="22"/>
          <w:szCs w:val="22"/>
        </w:rPr>
      </w:pPr>
      <w:r w:rsidRPr="009F1639">
        <w:rPr>
          <w:rFonts w:ascii="Times New Roman" w:hAnsi="Times New Roman" w:cs="Times New Roman"/>
          <w:sz w:val="22"/>
          <w:szCs w:val="22"/>
        </w:rPr>
        <w:t>“</w:t>
      </w:r>
      <w:r>
        <w:rPr>
          <w:rFonts w:ascii="Times New Roman" w:hAnsi="Times New Roman" w:cs="Times New Roman"/>
          <w:sz w:val="22"/>
          <w:szCs w:val="22"/>
        </w:rPr>
        <w:t>[</w:t>
      </w:r>
      <w:r w:rsidRPr="009F1639">
        <w:rPr>
          <w:rFonts w:ascii="Times New Roman" w:hAnsi="Times New Roman" w:cs="Times New Roman"/>
          <w:sz w:val="22"/>
          <w:szCs w:val="22"/>
        </w:rPr>
        <w:t>...</w:t>
      </w:r>
      <w:r>
        <w:rPr>
          <w:rFonts w:ascii="Times New Roman" w:hAnsi="Times New Roman" w:cs="Times New Roman"/>
          <w:sz w:val="22"/>
          <w:szCs w:val="22"/>
        </w:rPr>
        <w:t>]</w:t>
      </w:r>
      <w:r w:rsidRPr="009F1639">
        <w:rPr>
          <w:rFonts w:ascii="Times New Roman" w:hAnsi="Times New Roman" w:cs="Times New Roman"/>
          <w:sz w:val="22"/>
          <w:szCs w:val="22"/>
        </w:rPr>
        <w:t xml:space="preserve">. </w:t>
      </w:r>
      <w:r w:rsidR="009F1639" w:rsidRPr="009F1639">
        <w:rPr>
          <w:rFonts w:ascii="Times New Roman" w:hAnsi="Times New Roman" w:cs="Times New Roman"/>
          <w:sz w:val="22"/>
          <w:szCs w:val="22"/>
        </w:rPr>
        <w:t xml:space="preserve">Quanto ao dever de pagar aluguéis aos comodatários, a jurisprudência do STJ orienta que ‘se houve prévia estipulação do prazo do comodato, o advento do termo previsto implica, de imediato, no dever do comodatário de proceder à restituição da coisa. Não o fazendo, incorrerá o comodatário automaticamente em mora (mora </w:t>
      </w:r>
      <w:r w:rsidR="009F1639" w:rsidRPr="00AA3780">
        <w:rPr>
          <w:rFonts w:ascii="Times New Roman" w:hAnsi="Times New Roman" w:cs="Times New Roman"/>
          <w:i/>
          <w:sz w:val="22"/>
          <w:szCs w:val="22"/>
        </w:rPr>
        <w:t>ex re</w:t>
      </w:r>
      <w:r w:rsidR="009F1639" w:rsidRPr="009F1639">
        <w:rPr>
          <w:rFonts w:ascii="Times New Roman" w:hAnsi="Times New Roman" w:cs="Times New Roman"/>
          <w:sz w:val="22"/>
          <w:szCs w:val="22"/>
        </w:rPr>
        <w:t xml:space="preserve">). Sua posse sobre o bem, anteriormente justa em razão da relação jurídica obrigacional, converte-se em injusta e caracteriza esbulho possessório. [...] De outro turno, na ausência </w:t>
      </w:r>
      <w:r w:rsidR="009F1639" w:rsidRPr="009F1639">
        <w:rPr>
          <w:rFonts w:ascii="Times New Roman" w:hAnsi="Times New Roman" w:cs="Times New Roman"/>
          <w:sz w:val="22"/>
          <w:szCs w:val="22"/>
        </w:rPr>
        <w:lastRenderedPageBreak/>
        <w:t xml:space="preserve">de ajuste acerca do prazo, o comodante, após o decurso de tempo razoável para a utilização da coisa, poderá promover a resilição unilateral do contrato e requerer a restituição do bem, constituindo o comodatário em mora mediante interpelação, judicial ou extrajudicial, na forma do art. 397, parágrafo único, do CC/02 (mora </w:t>
      </w:r>
      <w:r w:rsidR="009F1639" w:rsidRPr="00AA3780">
        <w:rPr>
          <w:rFonts w:ascii="Times New Roman" w:hAnsi="Times New Roman" w:cs="Times New Roman"/>
          <w:i/>
          <w:sz w:val="22"/>
          <w:szCs w:val="22"/>
        </w:rPr>
        <w:t>ex persona</w:t>
      </w:r>
      <w:r w:rsidR="009F1639" w:rsidRPr="009F1639">
        <w:rPr>
          <w:rFonts w:ascii="Times New Roman" w:hAnsi="Times New Roman" w:cs="Times New Roman"/>
          <w:sz w:val="22"/>
          <w:szCs w:val="22"/>
        </w:rPr>
        <w:t xml:space="preserve">). O esbulho possessório se caracterizará se o comodatário, devidamente cientificado da vontade do comodante, não promover a restituição do bem emprestado. [...] O comodatário constituído em mora, seja de forma automática no vencimento ou mediante interpelação, está submetido a dupla sanção, conforme prevê o art. 582, segunda parte, do CC. Por um lado, recairá sobre ele a responsabilidade irrestrita pelos riscos da deterioração ou perecimento do bem emprestado, ainda que decorrente de caso fortuito ou de força maior. Por outro, deverá o comodatário pagar, até a data da efetiva restituição, aluguel pela posse injusta da coisa, conforme arbitrado pelo comodante’ (REsp 1.662.045/RS, Relatora Ministra Nancy Andrighi, Terceira Turma, julgado em 12/09/2017, DJe 14/09/2017). </w:t>
      </w:r>
      <w:r>
        <w:rPr>
          <w:rFonts w:ascii="Times New Roman" w:hAnsi="Times New Roman" w:cs="Times New Roman"/>
          <w:sz w:val="22"/>
          <w:szCs w:val="22"/>
        </w:rPr>
        <w:t>[</w:t>
      </w:r>
      <w:r w:rsidR="009F1639" w:rsidRPr="009F1639">
        <w:rPr>
          <w:rFonts w:ascii="Times New Roman" w:hAnsi="Times New Roman" w:cs="Times New Roman"/>
          <w:sz w:val="22"/>
          <w:szCs w:val="22"/>
        </w:rPr>
        <w:t>...</w:t>
      </w:r>
      <w:r>
        <w:rPr>
          <w:rFonts w:ascii="Times New Roman" w:hAnsi="Times New Roman" w:cs="Times New Roman"/>
          <w:sz w:val="22"/>
          <w:szCs w:val="22"/>
        </w:rPr>
        <w:t>]</w:t>
      </w:r>
      <w:r w:rsidR="009F1639" w:rsidRPr="009F1639">
        <w:rPr>
          <w:rFonts w:ascii="Times New Roman" w:hAnsi="Times New Roman" w:cs="Times New Roman"/>
          <w:sz w:val="22"/>
          <w:szCs w:val="22"/>
        </w:rPr>
        <w:t xml:space="preserve">. E ainda, ‘o pagamento de aluguéis não envolve discussão acerca da licitude ou ilicitude da conduta do ocupante. O ressarcimento é devido por força da determinação legal segundo a qual a ninguém é dado enriquecer sem causa à custa de outrem, usufruindo de bem alheio sem contraprestação’ (REsp 1.613.613/RJ, Relator Ministro Ricardo Villas Bôas Cueva, Terceira Turma, julgado em 12/06/2018, DJe 18/06/2018). Portanto, na linha dos precedentes antes citados, cessado o comodato, por meio de notificação judicial ou extrajudicial, o condômino privado da posse do imóvel tem direito ao recebimento de indenização equivalente aos aluguéis proporcionais ao seu quinhão, devida pelos proprietários e comodatários que permaneceram na posse exclusiva do bem, medida necessária para evitar o enriquecimento sem causa da parte que usufrui da coisa. Sobre a forma de constituição em mora do comodatário e quanto ao termo inicial de apuração do pagamento, o entendimento desta Corte Superior, em se tratando de ‘comodato precário – isto é, sem termo certo – [...] a constituição do devedor em mora reclamará, no caso, a prévia notificação judicial ou extrajudicial (mora </w:t>
      </w:r>
      <w:r w:rsidR="009F1639" w:rsidRPr="009F1639">
        <w:rPr>
          <w:rFonts w:ascii="Times New Roman" w:hAnsi="Times New Roman" w:cs="Times New Roman"/>
          <w:i/>
          <w:sz w:val="22"/>
          <w:szCs w:val="22"/>
        </w:rPr>
        <w:t>ex persona</w:t>
      </w:r>
      <w:r w:rsidR="009F1639" w:rsidRPr="009F1639">
        <w:rPr>
          <w:rFonts w:ascii="Times New Roman" w:hAnsi="Times New Roman" w:cs="Times New Roman"/>
          <w:sz w:val="22"/>
          <w:szCs w:val="22"/>
        </w:rPr>
        <w:t xml:space="preserve">), com a estipulação de prazo razoável para a restituição da coisa, cuja inobservância implicará a caracterização do esbulho autorizador do interdito possessório’ (REsp 1.327.627/RS, Relator Ministro Luis Felipe Salomão, Quarta Turma, julgado em 25/10/2016, DJe 1.º/12/2016). No entanto, ‘nos termos da jurisprudência desta Corte, a citação pode ser admitida como sucedâneo da interpelação para fins de constituição do devedor em mora’ (AgRg no AREsp 652.630/SC, Relator Ministro Moura Ribeiro, Terceira Turma, DJe 06/11/2015). Nesse contexto, em relação ao termo inicial do arbitramento dos aluguéis, no comodato precário, em regra, ‘o marco temporal para o cômputo do período a ser indenizado </w:t>
      </w:r>
      <w:r>
        <w:rPr>
          <w:rFonts w:ascii="Times New Roman" w:hAnsi="Times New Roman" w:cs="Times New Roman"/>
          <w:sz w:val="22"/>
          <w:szCs w:val="22"/>
        </w:rPr>
        <w:t>[...]</w:t>
      </w:r>
      <w:r w:rsidRPr="009F1639">
        <w:rPr>
          <w:rFonts w:ascii="Times New Roman" w:hAnsi="Times New Roman" w:cs="Times New Roman"/>
          <w:sz w:val="22"/>
          <w:szCs w:val="22"/>
        </w:rPr>
        <w:t xml:space="preserve"> </w:t>
      </w:r>
      <w:r w:rsidR="009F1639" w:rsidRPr="009F1639">
        <w:rPr>
          <w:rFonts w:ascii="Times New Roman" w:hAnsi="Times New Roman" w:cs="Times New Roman"/>
          <w:sz w:val="22"/>
          <w:szCs w:val="22"/>
        </w:rPr>
        <w:t xml:space="preserve">é a data da citação para a ação judicial de arbitramento de aluguéis, ocasião em que se </w:t>
      </w:r>
      <w:r w:rsidR="009F1639" w:rsidRPr="009F1639">
        <w:rPr>
          <w:rFonts w:ascii="Times New Roman" w:hAnsi="Times New Roman" w:cs="Times New Roman"/>
          <w:sz w:val="22"/>
          <w:szCs w:val="22"/>
        </w:rPr>
        <w:lastRenderedPageBreak/>
        <w:t>configura a extinção do comodato gratuito que antes vigorava’ (REsp 1.375.271/SP, Relatora Ministra Nancy Andrighi, Terceira Turma, julgado em 21/09/2017, DJe 02/10/2017)” (STJ, REsp 1.953.347/SP, 4.ª Turma, Rel. Min. Antonio Carlos Ferreira, por unanimidade, j. 09.08.2022).</w:t>
      </w:r>
    </w:p>
    <w:p w:rsidR="009F1639" w:rsidRDefault="009F1639" w:rsidP="009F163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Como se pode perceber, são citados na decisão outros importantes precedentes superiores a respeito do contrato em estudo, e que servem como orientação para a sua aplicação na prática.</w:t>
      </w:r>
      <w:r w:rsidR="00587EB4">
        <w:rPr>
          <w:rFonts w:ascii="Times New Roman" w:hAnsi="Times New Roman" w:cs="Times New Roman"/>
          <w:sz w:val="24"/>
          <w:szCs w:val="24"/>
        </w:rPr>
        <w:t xml:space="preserve"> </w:t>
      </w:r>
    </w:p>
    <w:p w:rsidR="00AA3780" w:rsidRDefault="00AA3780" w:rsidP="009F163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Exatamente como se retira dos acórdãos superiores, </w:t>
      </w:r>
      <w:r w:rsidR="00A10669">
        <w:rPr>
          <w:rFonts w:ascii="Times New Roman" w:hAnsi="Times New Roman" w:cs="Times New Roman"/>
          <w:sz w:val="24"/>
          <w:szCs w:val="24"/>
        </w:rPr>
        <w:t>em relação</w:t>
      </w:r>
      <w:r w:rsidR="00A10669" w:rsidRPr="009F1639">
        <w:rPr>
          <w:rFonts w:ascii="Times New Roman" w:hAnsi="Times New Roman" w:cs="Times New Roman"/>
          <w:sz w:val="24"/>
          <w:szCs w:val="24"/>
        </w:rPr>
        <w:t xml:space="preserve"> </w:t>
      </w:r>
      <w:r w:rsidR="009F1639" w:rsidRPr="009F1639">
        <w:rPr>
          <w:rFonts w:ascii="Times New Roman" w:hAnsi="Times New Roman" w:cs="Times New Roman"/>
          <w:sz w:val="24"/>
          <w:szCs w:val="24"/>
        </w:rPr>
        <w:t>ao aluguel fixado pelo comodante, geralmente quando da notificação</w:t>
      </w:r>
      <w:r w:rsidR="009F1639">
        <w:rPr>
          <w:rFonts w:ascii="Times New Roman" w:hAnsi="Times New Roman" w:cs="Times New Roman"/>
          <w:sz w:val="24"/>
          <w:szCs w:val="24"/>
        </w:rPr>
        <w:t xml:space="preserve"> efetivada por ele quanto ao comodatário</w:t>
      </w:r>
      <w:r w:rsidR="009F1639" w:rsidRPr="009F1639">
        <w:rPr>
          <w:rFonts w:ascii="Times New Roman" w:hAnsi="Times New Roman" w:cs="Times New Roman"/>
          <w:sz w:val="24"/>
          <w:szCs w:val="24"/>
        </w:rPr>
        <w:t xml:space="preserve">, tem </w:t>
      </w:r>
      <w:r w:rsidR="009F1639">
        <w:rPr>
          <w:rFonts w:ascii="Times New Roman" w:hAnsi="Times New Roman" w:cs="Times New Roman"/>
          <w:sz w:val="24"/>
          <w:szCs w:val="24"/>
        </w:rPr>
        <w:t xml:space="preserve">ele </w:t>
      </w:r>
      <w:r w:rsidR="009F1639" w:rsidRPr="009F1639">
        <w:rPr>
          <w:rFonts w:ascii="Times New Roman" w:hAnsi="Times New Roman" w:cs="Times New Roman"/>
          <w:sz w:val="24"/>
          <w:szCs w:val="24"/>
        </w:rPr>
        <w:t xml:space="preserve">caráter de penalidade, não sendo o caso de se falar em conversão do comodato em locação. Referente à fixação desse </w:t>
      </w:r>
      <w:r w:rsidR="009F1639" w:rsidRPr="009F1639">
        <w:rPr>
          <w:rFonts w:ascii="Times New Roman" w:hAnsi="Times New Roman" w:cs="Times New Roman"/>
          <w:i/>
          <w:sz w:val="24"/>
          <w:szCs w:val="24"/>
        </w:rPr>
        <w:t>aluguel-pena</w:t>
      </w:r>
      <w:r w:rsidR="009F1639" w:rsidRPr="009F1639">
        <w:rPr>
          <w:rFonts w:ascii="Times New Roman" w:hAnsi="Times New Roman" w:cs="Times New Roman"/>
          <w:sz w:val="24"/>
          <w:szCs w:val="24"/>
        </w:rPr>
        <w:t xml:space="preserve">, prevê o Enunciado n. 180, aprovado na </w:t>
      </w:r>
      <w:r w:rsidR="009F1639" w:rsidRPr="009F1639">
        <w:rPr>
          <w:rFonts w:ascii="Times New Roman" w:hAnsi="Times New Roman" w:cs="Times New Roman"/>
          <w:i/>
          <w:sz w:val="24"/>
          <w:szCs w:val="24"/>
        </w:rPr>
        <w:t>III Jornada de Direito Civil</w:t>
      </w:r>
      <w:r w:rsidR="009F1639" w:rsidRPr="009F1639">
        <w:rPr>
          <w:rFonts w:ascii="Times New Roman" w:hAnsi="Times New Roman" w:cs="Times New Roman"/>
          <w:sz w:val="24"/>
          <w:szCs w:val="24"/>
        </w:rPr>
        <w:t xml:space="preserve">, que “a regra do parágrafo único do art. 575 do novo CC, que autoriza a limitação pelo juiz do aluguel arbitrado pelo locador, aplica-se também ao aluguel arbitrado pelo comodante, autorizado pelo art. 585, 2.ª parte, do novo CC”. </w:t>
      </w:r>
    </w:p>
    <w:p w:rsidR="009F1639" w:rsidRDefault="009F1639" w:rsidP="009F1639">
      <w:pPr>
        <w:pStyle w:val="t"/>
        <w:spacing w:before="120" w:after="120" w:line="360" w:lineRule="auto"/>
        <w:ind w:firstLine="1701"/>
        <w:rPr>
          <w:rFonts w:ascii="Times New Roman" w:hAnsi="Times New Roman" w:cs="Times New Roman"/>
          <w:sz w:val="24"/>
          <w:szCs w:val="24"/>
        </w:rPr>
      </w:pPr>
      <w:r w:rsidRPr="009F1639">
        <w:rPr>
          <w:rFonts w:ascii="Times New Roman" w:hAnsi="Times New Roman" w:cs="Times New Roman"/>
          <w:sz w:val="24"/>
          <w:szCs w:val="24"/>
        </w:rPr>
        <w:t xml:space="preserve">Pelo teor do enunciado, </w:t>
      </w:r>
      <w:r w:rsidR="00AA3780">
        <w:rPr>
          <w:rFonts w:ascii="Times New Roman" w:hAnsi="Times New Roman" w:cs="Times New Roman"/>
          <w:sz w:val="24"/>
          <w:szCs w:val="24"/>
        </w:rPr>
        <w:t xml:space="preserve">portanto, </w:t>
      </w:r>
      <w:r w:rsidRPr="009F1639">
        <w:rPr>
          <w:rFonts w:ascii="Times New Roman" w:hAnsi="Times New Roman" w:cs="Times New Roman"/>
          <w:sz w:val="24"/>
          <w:szCs w:val="24"/>
        </w:rPr>
        <w:t>será facultado ao juiz reduzir o aluguel arbitrado pelo comodante se ele for excessivo, a exemplo do que ocorre com a locação regida pelo Código Civil.</w:t>
      </w:r>
      <w:r w:rsidR="00AA3780">
        <w:rPr>
          <w:rFonts w:ascii="Times New Roman" w:hAnsi="Times New Roman" w:cs="Times New Roman"/>
          <w:sz w:val="24"/>
          <w:szCs w:val="24"/>
        </w:rPr>
        <w:t xml:space="preserve"> </w:t>
      </w:r>
      <w:r>
        <w:rPr>
          <w:rFonts w:ascii="Times New Roman" w:hAnsi="Times New Roman" w:cs="Times New Roman"/>
          <w:sz w:val="24"/>
          <w:szCs w:val="24"/>
        </w:rPr>
        <w:t>Correto j</w:t>
      </w:r>
      <w:r w:rsidRPr="009F1639">
        <w:rPr>
          <w:rFonts w:ascii="Times New Roman" w:hAnsi="Times New Roman" w:cs="Times New Roman"/>
          <w:sz w:val="24"/>
          <w:szCs w:val="24"/>
        </w:rPr>
        <w:t xml:space="preserve">ulgado do Superior Tribunal de Justiça, do ano de 2012, estabeleceu muito bem tal </w:t>
      </w:r>
      <w:r w:rsidR="00AA3780">
        <w:rPr>
          <w:rFonts w:ascii="Times New Roman" w:hAnsi="Times New Roman" w:cs="Times New Roman"/>
          <w:sz w:val="24"/>
          <w:szCs w:val="24"/>
        </w:rPr>
        <w:t>cor</w:t>
      </w:r>
      <w:r w:rsidRPr="009F1639">
        <w:rPr>
          <w:rFonts w:ascii="Times New Roman" w:hAnsi="Times New Roman" w:cs="Times New Roman"/>
          <w:sz w:val="24"/>
          <w:szCs w:val="24"/>
        </w:rPr>
        <w:t xml:space="preserve">relação, deduzindo </w:t>
      </w:r>
      <w:r>
        <w:rPr>
          <w:rFonts w:ascii="Times New Roman" w:hAnsi="Times New Roman" w:cs="Times New Roman"/>
          <w:sz w:val="24"/>
          <w:szCs w:val="24"/>
        </w:rPr>
        <w:t xml:space="preserve">o seguinte: </w:t>
      </w:r>
    </w:p>
    <w:p w:rsidR="009F1639" w:rsidRPr="009F1639" w:rsidRDefault="00C81C90" w:rsidP="009F1639">
      <w:pPr>
        <w:pStyle w:val="t"/>
        <w:spacing w:before="120" w:after="120" w:line="360" w:lineRule="auto"/>
        <w:ind w:left="567" w:firstLine="0"/>
        <w:rPr>
          <w:rFonts w:ascii="Times New Roman" w:hAnsi="Times New Roman" w:cs="Times New Roman"/>
          <w:sz w:val="22"/>
          <w:szCs w:val="22"/>
        </w:rPr>
      </w:pPr>
      <w:r w:rsidRPr="009F1639">
        <w:rPr>
          <w:rFonts w:ascii="Times New Roman" w:hAnsi="Times New Roman" w:cs="Times New Roman"/>
          <w:sz w:val="22"/>
          <w:szCs w:val="22"/>
        </w:rPr>
        <w:t>“</w:t>
      </w:r>
      <w:r>
        <w:rPr>
          <w:rFonts w:ascii="Times New Roman" w:hAnsi="Times New Roman" w:cs="Times New Roman"/>
          <w:sz w:val="22"/>
          <w:szCs w:val="22"/>
        </w:rPr>
        <w:t>[</w:t>
      </w:r>
      <w:r w:rsidRPr="009F1639">
        <w:rPr>
          <w:rFonts w:ascii="Times New Roman" w:hAnsi="Times New Roman" w:cs="Times New Roman"/>
          <w:sz w:val="22"/>
          <w:szCs w:val="22"/>
        </w:rPr>
        <w:t>...</w:t>
      </w:r>
      <w:r>
        <w:rPr>
          <w:rFonts w:ascii="Times New Roman" w:hAnsi="Times New Roman" w:cs="Times New Roman"/>
          <w:sz w:val="22"/>
          <w:szCs w:val="22"/>
        </w:rPr>
        <w:t>]</w:t>
      </w:r>
      <w:r w:rsidRPr="009F1639">
        <w:rPr>
          <w:rFonts w:ascii="Times New Roman" w:hAnsi="Times New Roman" w:cs="Times New Roman"/>
          <w:sz w:val="22"/>
          <w:szCs w:val="22"/>
        </w:rPr>
        <w:t xml:space="preserve">. </w:t>
      </w:r>
      <w:r w:rsidR="009F1639" w:rsidRPr="009F1639">
        <w:rPr>
          <w:rFonts w:ascii="Times New Roman" w:hAnsi="Times New Roman" w:cs="Times New Roman"/>
          <w:sz w:val="22"/>
          <w:szCs w:val="22"/>
        </w:rPr>
        <w:t xml:space="preserve">A natureza desse aluguel é de uma autêntica pena privada, e não de indenização pela ocupação indevida do imóvel emprestado. O objetivo central do aluguel não é transmudar o comodato em contrato de locação, mas sim coagir o comodatário a restituir o mais rapidamente possível a coisa emprestada, que indevidamente não foi devolvida no prazo legal. O arbitramento do aluguel-pena não pode ser feito de forma abusiva, devendo respeito aos princípios da boa-fé objetiva (art. 422/CC), da vedação ao enriquecimento sem causa e do repúdio ao abuso de direito (art. 187/CC). Havendo arbitramento em valor exagerado, poderá ser objeto de controle judicial, com eventual aplicação analógica da regra do parágrafo único do art. 575 do CC, que, no aluguel-pena fixado pelo locador, confere ao juiz a faculdade de redução quando o valor arbitrado se mostre manifestamente excessivo ou abusivo. Para não se caracterizar como abusivo, o montante do aluguel-pena não pode ser superior ao dobro da média do mercado, considerando que não deve servir de meio para o enriquecimento injustificado do comodante” (STJ, REsp 1.175.848/PR, Rel. Min. Paulo de Tarso Sanseverino, j. 18.09.2012, publicado no seu </w:t>
      </w:r>
      <w:r w:rsidR="009F1639" w:rsidRPr="009F1639">
        <w:rPr>
          <w:rFonts w:ascii="Times New Roman" w:hAnsi="Times New Roman" w:cs="Times New Roman"/>
          <w:i/>
          <w:sz w:val="22"/>
          <w:szCs w:val="22"/>
        </w:rPr>
        <w:t>Informativo n.</w:t>
      </w:r>
      <w:r w:rsidR="009F1639" w:rsidRPr="009F1639">
        <w:rPr>
          <w:rFonts w:ascii="Times New Roman" w:hAnsi="Times New Roman" w:cs="Times New Roman"/>
          <w:sz w:val="22"/>
          <w:szCs w:val="22"/>
        </w:rPr>
        <w:t xml:space="preserve"> 504).</w:t>
      </w:r>
    </w:p>
    <w:p w:rsidR="009F1639" w:rsidRDefault="009F1639" w:rsidP="009F163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lastRenderedPageBreak/>
        <w:t xml:space="preserve">Como se </w:t>
      </w:r>
      <w:r w:rsidR="00AA3780">
        <w:rPr>
          <w:rFonts w:ascii="Times New Roman" w:hAnsi="Times New Roman" w:cs="Times New Roman"/>
          <w:sz w:val="24"/>
          <w:szCs w:val="24"/>
        </w:rPr>
        <w:t>observa</w:t>
      </w:r>
      <w:r>
        <w:rPr>
          <w:rFonts w:ascii="Times New Roman" w:hAnsi="Times New Roman" w:cs="Times New Roman"/>
          <w:sz w:val="24"/>
          <w:szCs w:val="24"/>
        </w:rPr>
        <w:t xml:space="preserve">, há total sintonia entre o entendimento jurisprudencial exposto e a posição majoritária da doutrina, consubstanciada no citado enunciado, aprovado na </w:t>
      </w:r>
      <w:r w:rsidRPr="009F1639">
        <w:rPr>
          <w:rFonts w:ascii="Times New Roman" w:hAnsi="Times New Roman" w:cs="Times New Roman"/>
          <w:i/>
          <w:sz w:val="24"/>
          <w:szCs w:val="24"/>
        </w:rPr>
        <w:t>III Jornada de Direito Civil</w:t>
      </w:r>
      <w:r>
        <w:rPr>
          <w:rFonts w:ascii="Times New Roman" w:hAnsi="Times New Roman" w:cs="Times New Roman"/>
          <w:sz w:val="24"/>
          <w:szCs w:val="24"/>
        </w:rPr>
        <w:t>, em 2004, por proposição do próprio Ministro Paulo de Tarso Sanseverino</w:t>
      </w:r>
      <w:r w:rsidR="00AA3780">
        <w:rPr>
          <w:rFonts w:ascii="Times New Roman" w:hAnsi="Times New Roman" w:cs="Times New Roman"/>
          <w:sz w:val="24"/>
          <w:szCs w:val="24"/>
        </w:rPr>
        <w:t xml:space="preserve">, que foi o relator do último acórdão e teve participação ativa em várias </w:t>
      </w:r>
      <w:r w:rsidR="00AA3780" w:rsidRPr="00AA3780">
        <w:rPr>
          <w:rFonts w:ascii="Times New Roman" w:hAnsi="Times New Roman" w:cs="Times New Roman"/>
          <w:i/>
          <w:sz w:val="24"/>
          <w:szCs w:val="24"/>
        </w:rPr>
        <w:t>Jornadas de Direito Civil</w:t>
      </w:r>
      <w:r w:rsidRPr="00AA3780">
        <w:rPr>
          <w:rFonts w:ascii="Times New Roman" w:hAnsi="Times New Roman" w:cs="Times New Roman"/>
          <w:i/>
          <w:sz w:val="24"/>
          <w:szCs w:val="24"/>
        </w:rPr>
        <w:t>.</w:t>
      </w:r>
      <w:r w:rsidR="00587EB4">
        <w:rPr>
          <w:rFonts w:ascii="Times New Roman" w:hAnsi="Times New Roman" w:cs="Times New Roman"/>
          <w:sz w:val="24"/>
          <w:szCs w:val="24"/>
        </w:rPr>
        <w:t xml:space="preserve"> </w:t>
      </w:r>
    </w:p>
    <w:p w:rsidR="009F1639" w:rsidRPr="009F1639" w:rsidRDefault="009F1639" w:rsidP="009F163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No que diz respeito à </w:t>
      </w:r>
      <w:r w:rsidRPr="009F1639">
        <w:rPr>
          <w:rFonts w:ascii="Times New Roman" w:hAnsi="Times New Roman" w:cs="Times New Roman"/>
          <w:sz w:val="24"/>
          <w:szCs w:val="24"/>
        </w:rPr>
        <w:t>primeira parte do art. 582 do C</w:t>
      </w:r>
      <w:r>
        <w:rPr>
          <w:rFonts w:ascii="Times New Roman" w:hAnsi="Times New Roman" w:cs="Times New Roman"/>
          <w:sz w:val="24"/>
          <w:szCs w:val="24"/>
        </w:rPr>
        <w:t xml:space="preserve">ódigo Civil, </w:t>
      </w:r>
      <w:r w:rsidRPr="009F1639">
        <w:rPr>
          <w:rFonts w:ascii="Times New Roman" w:hAnsi="Times New Roman" w:cs="Times New Roman"/>
          <w:sz w:val="24"/>
          <w:szCs w:val="24"/>
        </w:rPr>
        <w:t xml:space="preserve">traz </w:t>
      </w:r>
      <w:r>
        <w:rPr>
          <w:rFonts w:ascii="Times New Roman" w:hAnsi="Times New Roman" w:cs="Times New Roman"/>
          <w:sz w:val="24"/>
          <w:szCs w:val="24"/>
        </w:rPr>
        <w:t xml:space="preserve">ele </w:t>
      </w:r>
      <w:r w:rsidRPr="009F1639">
        <w:rPr>
          <w:rFonts w:ascii="Times New Roman" w:hAnsi="Times New Roman" w:cs="Times New Roman"/>
          <w:sz w:val="24"/>
          <w:szCs w:val="24"/>
        </w:rPr>
        <w:t xml:space="preserve">a regra pela qual o comodatário deve conservar a coisa emprestada como se sua fosse. O comodatário não pode, ainda, usá-la em desacordo com o que prevê o contrato ou </w:t>
      </w:r>
      <w:r w:rsidR="00600C8B">
        <w:rPr>
          <w:rFonts w:ascii="Times New Roman" w:hAnsi="Times New Roman" w:cs="Times New Roman"/>
          <w:sz w:val="24"/>
          <w:szCs w:val="24"/>
        </w:rPr>
        <w:t>a</w:t>
      </w:r>
      <w:r w:rsidR="00600C8B" w:rsidRPr="009F1639">
        <w:rPr>
          <w:rFonts w:ascii="Times New Roman" w:hAnsi="Times New Roman" w:cs="Times New Roman"/>
          <w:sz w:val="24"/>
          <w:szCs w:val="24"/>
        </w:rPr>
        <w:t xml:space="preserve"> </w:t>
      </w:r>
      <w:r w:rsidRPr="009F1639">
        <w:rPr>
          <w:rFonts w:ascii="Times New Roman" w:hAnsi="Times New Roman" w:cs="Times New Roman"/>
          <w:sz w:val="24"/>
          <w:szCs w:val="24"/>
        </w:rPr>
        <w:t>própria natureza da coisa, sob pena de responder, de forma integral, pelas perdas e danos que o caso concreto indicar. O dispositivo impõe ao comodatário as obrigações de guardar e conservar a coisa</w:t>
      </w:r>
      <w:r>
        <w:rPr>
          <w:rFonts w:ascii="Times New Roman" w:hAnsi="Times New Roman" w:cs="Times New Roman"/>
          <w:sz w:val="24"/>
          <w:szCs w:val="24"/>
        </w:rPr>
        <w:t xml:space="preserve">, uma verdadeira </w:t>
      </w:r>
      <w:r w:rsidRPr="009F1639">
        <w:rPr>
          <w:rFonts w:ascii="Times New Roman" w:hAnsi="Times New Roman" w:cs="Times New Roman"/>
          <w:sz w:val="24"/>
          <w:szCs w:val="24"/>
        </w:rPr>
        <w:t>obrigação de fazer</w:t>
      </w:r>
      <w:r w:rsidR="00EF7BD7">
        <w:rPr>
          <w:rFonts w:ascii="Times New Roman" w:hAnsi="Times New Roman" w:cs="Times New Roman"/>
          <w:sz w:val="24"/>
          <w:szCs w:val="24"/>
        </w:rPr>
        <w:t>,</w:t>
      </w:r>
      <w:r w:rsidR="00EF7BD7" w:rsidRPr="009F1639">
        <w:rPr>
          <w:rFonts w:ascii="Times New Roman" w:hAnsi="Times New Roman" w:cs="Times New Roman"/>
          <w:sz w:val="24"/>
          <w:szCs w:val="24"/>
        </w:rPr>
        <w:t xml:space="preserve"> </w:t>
      </w:r>
      <w:r w:rsidRPr="009F1639">
        <w:rPr>
          <w:rFonts w:ascii="Times New Roman" w:hAnsi="Times New Roman" w:cs="Times New Roman"/>
          <w:sz w:val="24"/>
          <w:szCs w:val="24"/>
        </w:rPr>
        <w:t>bem como a obrigação de não desviar o uso da coisa</w:t>
      </w:r>
      <w:r>
        <w:rPr>
          <w:rFonts w:ascii="Times New Roman" w:hAnsi="Times New Roman" w:cs="Times New Roman"/>
          <w:sz w:val="24"/>
          <w:szCs w:val="24"/>
        </w:rPr>
        <w:t xml:space="preserve">, uma </w:t>
      </w:r>
      <w:r w:rsidRPr="009F1639">
        <w:rPr>
          <w:rFonts w:ascii="Times New Roman" w:hAnsi="Times New Roman" w:cs="Times New Roman"/>
          <w:sz w:val="24"/>
          <w:szCs w:val="24"/>
        </w:rPr>
        <w:t>obrigação de não fazer.</w:t>
      </w:r>
    </w:p>
    <w:p w:rsidR="009F1639" w:rsidRPr="009F1639" w:rsidRDefault="009F1639" w:rsidP="009F1639">
      <w:pPr>
        <w:pStyle w:val="t"/>
        <w:spacing w:before="120" w:after="120" w:line="360" w:lineRule="auto"/>
        <w:ind w:firstLine="1701"/>
        <w:rPr>
          <w:rFonts w:ascii="Times New Roman" w:hAnsi="Times New Roman" w:cs="Times New Roman"/>
          <w:sz w:val="24"/>
          <w:szCs w:val="24"/>
        </w:rPr>
      </w:pPr>
      <w:r w:rsidRPr="009F1639">
        <w:rPr>
          <w:rFonts w:ascii="Times New Roman" w:hAnsi="Times New Roman" w:cs="Times New Roman"/>
          <w:sz w:val="24"/>
          <w:szCs w:val="24"/>
        </w:rPr>
        <w:t>Em continuidade de anális</w:t>
      </w:r>
      <w:r>
        <w:rPr>
          <w:rFonts w:ascii="Times New Roman" w:hAnsi="Times New Roman" w:cs="Times New Roman"/>
          <w:sz w:val="24"/>
          <w:szCs w:val="24"/>
        </w:rPr>
        <w:t xml:space="preserve">e do tema, </w:t>
      </w:r>
      <w:r w:rsidRPr="009F1639">
        <w:rPr>
          <w:rFonts w:ascii="Times New Roman" w:hAnsi="Times New Roman" w:cs="Times New Roman"/>
          <w:sz w:val="24"/>
          <w:szCs w:val="24"/>
        </w:rPr>
        <w:t xml:space="preserve">desse dispositivo retira-se a conclusão segundo a qual o comodatário deve arcar com as despesas de conservação da coisa, caso dos impostos que sobre ela recaem e do IPTU relativo ao imóvel emprestado. Nessa linha, tem-se julgado, de forma correta, que “é dever do comodatário arcar com as despesas decorrentes do uso e gozo da coisa emprestada, assim como conservar o bem como se seu fosse, não implicando a referida responsabilidade em enriquecimento ilícito do comodante” (STJ, Ag. Int. no AREsp 1.657.468/SP, 4.ª Turma, Rel. Min. João Otávio de Noronha, j. 21.08.2023, DJe 23.08.2023). </w:t>
      </w:r>
    </w:p>
    <w:p w:rsidR="009F1639" w:rsidRPr="009F1639" w:rsidRDefault="009F1639" w:rsidP="009F1639">
      <w:pPr>
        <w:pStyle w:val="t"/>
        <w:spacing w:before="120" w:after="120" w:line="360" w:lineRule="auto"/>
        <w:ind w:firstLine="1701"/>
        <w:rPr>
          <w:rFonts w:ascii="Times New Roman" w:hAnsi="Times New Roman" w:cs="Times New Roman"/>
          <w:sz w:val="24"/>
          <w:szCs w:val="24"/>
        </w:rPr>
      </w:pPr>
      <w:r w:rsidRPr="009F1639">
        <w:rPr>
          <w:rFonts w:ascii="Times New Roman" w:hAnsi="Times New Roman" w:cs="Times New Roman"/>
          <w:sz w:val="24"/>
          <w:szCs w:val="24"/>
        </w:rPr>
        <w:t>O desrespeito a esses deveres, além de gerar a imputação das perdas e danos, poderá motivar a rescisão contratual por inexecução voluntária</w:t>
      </w:r>
      <w:r w:rsidR="00AA3780">
        <w:rPr>
          <w:rFonts w:ascii="Times New Roman" w:hAnsi="Times New Roman" w:cs="Times New Roman"/>
          <w:sz w:val="24"/>
          <w:szCs w:val="24"/>
        </w:rPr>
        <w:t xml:space="preserve"> do contrato, ou seja, a resolução por inadimplemento</w:t>
      </w:r>
      <w:r w:rsidRPr="009F1639">
        <w:rPr>
          <w:rFonts w:ascii="Times New Roman" w:hAnsi="Times New Roman" w:cs="Times New Roman"/>
          <w:sz w:val="24"/>
          <w:szCs w:val="24"/>
        </w:rPr>
        <w:t>. A obrigação do comodatário é cumulativa ou conjuntiva, pois o desrespeito a qualquer um desses deveres é motivo suficiente para a resolução contratual.</w:t>
      </w:r>
    </w:p>
    <w:p w:rsidR="009F1639" w:rsidRPr="009F1639" w:rsidRDefault="009F1639" w:rsidP="009F1639">
      <w:pPr>
        <w:pStyle w:val="t"/>
        <w:spacing w:before="120" w:after="120" w:line="360" w:lineRule="auto"/>
        <w:ind w:firstLine="1701"/>
        <w:rPr>
          <w:rFonts w:ascii="Times New Roman" w:hAnsi="Times New Roman" w:cs="Times New Roman"/>
          <w:sz w:val="24"/>
          <w:szCs w:val="24"/>
        </w:rPr>
      </w:pPr>
      <w:r w:rsidRPr="009F1639">
        <w:rPr>
          <w:rFonts w:ascii="Times New Roman" w:hAnsi="Times New Roman" w:cs="Times New Roman"/>
          <w:sz w:val="24"/>
          <w:szCs w:val="24"/>
        </w:rPr>
        <w:t>Como se pode notar, muitas são as consequências jurídicas que constam do conteúdo do art. 582</w:t>
      </w:r>
      <w:r>
        <w:rPr>
          <w:rFonts w:ascii="Times New Roman" w:hAnsi="Times New Roman" w:cs="Times New Roman"/>
          <w:sz w:val="24"/>
          <w:szCs w:val="24"/>
        </w:rPr>
        <w:t xml:space="preserve"> da Lei Geral Privada</w:t>
      </w:r>
      <w:r w:rsidRPr="009F1639">
        <w:rPr>
          <w:rFonts w:ascii="Times New Roman" w:hAnsi="Times New Roman" w:cs="Times New Roman"/>
          <w:sz w:val="24"/>
          <w:szCs w:val="24"/>
        </w:rPr>
        <w:t>, havendo proposta no Projeto de Reforma do Código Civil</w:t>
      </w:r>
      <w:r>
        <w:rPr>
          <w:rFonts w:ascii="Times New Roman" w:hAnsi="Times New Roman" w:cs="Times New Roman"/>
          <w:sz w:val="24"/>
          <w:szCs w:val="24"/>
        </w:rPr>
        <w:t xml:space="preserve"> elaborada pela Comissão de Juristas</w:t>
      </w:r>
      <w:r w:rsidRPr="009F1639">
        <w:rPr>
          <w:rFonts w:ascii="Times New Roman" w:hAnsi="Times New Roman" w:cs="Times New Roman"/>
          <w:sz w:val="24"/>
          <w:szCs w:val="24"/>
        </w:rPr>
        <w:t xml:space="preserve"> para que ele fique </w:t>
      </w:r>
      <w:r w:rsidR="00587EB4">
        <w:rPr>
          <w:rFonts w:ascii="Times New Roman" w:hAnsi="Times New Roman" w:cs="Times New Roman"/>
          <w:sz w:val="24"/>
          <w:szCs w:val="24"/>
        </w:rPr>
        <w:t>mais bem</w:t>
      </w:r>
      <w:r w:rsidR="00587EB4" w:rsidRPr="009F1639">
        <w:rPr>
          <w:rFonts w:ascii="Times New Roman" w:hAnsi="Times New Roman" w:cs="Times New Roman"/>
          <w:sz w:val="24"/>
          <w:szCs w:val="24"/>
        </w:rPr>
        <w:t xml:space="preserve"> </w:t>
      </w:r>
      <w:r w:rsidRPr="009F1639">
        <w:rPr>
          <w:rFonts w:ascii="Times New Roman" w:hAnsi="Times New Roman" w:cs="Times New Roman"/>
          <w:sz w:val="24"/>
          <w:szCs w:val="24"/>
        </w:rPr>
        <w:t xml:space="preserve">organizado, com dois novos parágrafos. </w:t>
      </w:r>
    </w:p>
    <w:p w:rsidR="00AA3780" w:rsidRDefault="009F1639" w:rsidP="009F1639">
      <w:pPr>
        <w:pStyle w:val="t"/>
        <w:spacing w:before="120" w:after="120" w:line="360" w:lineRule="auto"/>
        <w:ind w:firstLine="1701"/>
        <w:rPr>
          <w:rFonts w:ascii="Times New Roman" w:hAnsi="Times New Roman" w:cs="Times New Roman"/>
          <w:sz w:val="24"/>
          <w:szCs w:val="24"/>
        </w:rPr>
      </w:pPr>
      <w:r w:rsidRPr="009F1639">
        <w:rPr>
          <w:rFonts w:ascii="Times New Roman" w:hAnsi="Times New Roman" w:cs="Times New Roman"/>
          <w:sz w:val="24"/>
          <w:szCs w:val="24"/>
        </w:rPr>
        <w:t xml:space="preserve">Nesse contexto, de seu necessário aperfeiçoamento, o seu </w:t>
      </w:r>
      <w:r w:rsidRPr="00C8326E">
        <w:rPr>
          <w:rFonts w:ascii="Times New Roman" w:hAnsi="Times New Roman" w:cs="Times New Roman"/>
          <w:i/>
          <w:sz w:val="24"/>
          <w:szCs w:val="24"/>
        </w:rPr>
        <w:t xml:space="preserve">caput </w:t>
      </w:r>
      <w:r w:rsidRPr="009F1639">
        <w:rPr>
          <w:rFonts w:ascii="Times New Roman" w:hAnsi="Times New Roman" w:cs="Times New Roman"/>
          <w:sz w:val="24"/>
          <w:szCs w:val="24"/>
        </w:rPr>
        <w:t xml:space="preserve">passará </w:t>
      </w:r>
      <w:r w:rsidR="00E50FDA">
        <w:rPr>
          <w:rFonts w:ascii="Times New Roman" w:hAnsi="Times New Roman" w:cs="Times New Roman"/>
          <w:sz w:val="24"/>
          <w:szCs w:val="24"/>
        </w:rPr>
        <w:t>a</w:t>
      </w:r>
      <w:r w:rsidR="00E50FDA" w:rsidRPr="009F1639">
        <w:rPr>
          <w:rFonts w:ascii="Times New Roman" w:hAnsi="Times New Roman" w:cs="Times New Roman"/>
          <w:sz w:val="24"/>
          <w:szCs w:val="24"/>
        </w:rPr>
        <w:t xml:space="preserve"> </w:t>
      </w:r>
      <w:r w:rsidRPr="009F1639">
        <w:rPr>
          <w:rFonts w:ascii="Times New Roman" w:hAnsi="Times New Roman" w:cs="Times New Roman"/>
          <w:sz w:val="24"/>
          <w:szCs w:val="24"/>
        </w:rPr>
        <w:t xml:space="preserve">prever que "o comodatário é obrigado a conservar, como se sua própria fora, a coisa emprestada, não podendo usá-la senão de acordo com o contrato ou a natureza </w:t>
      </w:r>
      <w:r w:rsidRPr="009F1639">
        <w:rPr>
          <w:rFonts w:ascii="Times New Roman" w:hAnsi="Times New Roman" w:cs="Times New Roman"/>
          <w:sz w:val="24"/>
          <w:szCs w:val="24"/>
        </w:rPr>
        <w:lastRenderedPageBreak/>
        <w:t xml:space="preserve">dela, sob pena de responder por perdas e danos". A previsão a respeito da constituição em mora </w:t>
      </w:r>
      <w:r w:rsidR="00AA3780" w:rsidRPr="00AA3780">
        <w:rPr>
          <w:rFonts w:ascii="Times New Roman" w:hAnsi="Times New Roman" w:cs="Times New Roman"/>
          <w:i/>
          <w:sz w:val="24"/>
          <w:szCs w:val="24"/>
        </w:rPr>
        <w:t>ex persona</w:t>
      </w:r>
      <w:r w:rsidR="00AA3780">
        <w:rPr>
          <w:rFonts w:ascii="Times New Roman" w:hAnsi="Times New Roman" w:cs="Times New Roman"/>
          <w:sz w:val="24"/>
          <w:szCs w:val="24"/>
        </w:rPr>
        <w:t xml:space="preserve"> </w:t>
      </w:r>
      <w:r w:rsidRPr="009F1639">
        <w:rPr>
          <w:rFonts w:ascii="Times New Roman" w:hAnsi="Times New Roman" w:cs="Times New Roman"/>
          <w:sz w:val="24"/>
          <w:szCs w:val="24"/>
        </w:rPr>
        <w:t>passará a integrar o § 1º do preceito, mencionando-se expressamente o "aluguel-pena"</w:t>
      </w:r>
      <w:r w:rsidR="00C8326E">
        <w:rPr>
          <w:rFonts w:ascii="Times New Roman" w:hAnsi="Times New Roman" w:cs="Times New Roman"/>
          <w:sz w:val="24"/>
          <w:szCs w:val="24"/>
        </w:rPr>
        <w:t>, na linha da doutrina e da jurisprudência aqui antes expostas</w:t>
      </w:r>
      <w:r w:rsidRPr="009F1639">
        <w:rPr>
          <w:rFonts w:ascii="Times New Roman" w:hAnsi="Times New Roman" w:cs="Times New Roman"/>
          <w:sz w:val="24"/>
          <w:szCs w:val="24"/>
        </w:rPr>
        <w:t xml:space="preserve">: "o comodatário constituído em mora, além de por ela responder, pagará, até restituí-la, o aluguel-pena pelo uso da coisa que for arbitrado pelo comodante". </w:t>
      </w:r>
    </w:p>
    <w:p w:rsidR="00C8326E" w:rsidRDefault="009F1639" w:rsidP="009F1639">
      <w:pPr>
        <w:pStyle w:val="t"/>
        <w:spacing w:before="120" w:after="120" w:line="360" w:lineRule="auto"/>
        <w:ind w:firstLine="1701"/>
        <w:rPr>
          <w:rFonts w:ascii="Times New Roman" w:hAnsi="Times New Roman" w:cs="Times New Roman"/>
          <w:sz w:val="24"/>
          <w:szCs w:val="24"/>
        </w:rPr>
      </w:pPr>
      <w:r w:rsidRPr="009F1639">
        <w:rPr>
          <w:rFonts w:ascii="Times New Roman" w:hAnsi="Times New Roman" w:cs="Times New Roman"/>
          <w:sz w:val="24"/>
          <w:szCs w:val="24"/>
        </w:rPr>
        <w:t xml:space="preserve">Por fim, o § 2º do art. 582 </w:t>
      </w:r>
      <w:r w:rsidR="00AA3780">
        <w:rPr>
          <w:rFonts w:ascii="Times New Roman" w:hAnsi="Times New Roman" w:cs="Times New Roman"/>
          <w:sz w:val="24"/>
          <w:szCs w:val="24"/>
        </w:rPr>
        <w:t xml:space="preserve">do Código Civil </w:t>
      </w:r>
      <w:r w:rsidRPr="009F1639">
        <w:rPr>
          <w:rFonts w:ascii="Times New Roman" w:hAnsi="Times New Roman" w:cs="Times New Roman"/>
          <w:sz w:val="24"/>
          <w:szCs w:val="24"/>
        </w:rPr>
        <w:t>preverá, em consonância com o Enunciado n. 180, da</w:t>
      </w:r>
      <w:r w:rsidRPr="00C8326E">
        <w:rPr>
          <w:rFonts w:ascii="Times New Roman" w:hAnsi="Times New Roman" w:cs="Times New Roman"/>
          <w:i/>
          <w:sz w:val="24"/>
          <w:szCs w:val="24"/>
        </w:rPr>
        <w:t xml:space="preserve"> III Jornada de Direito Civil </w:t>
      </w:r>
      <w:r w:rsidRPr="009F1639">
        <w:rPr>
          <w:rFonts w:ascii="Times New Roman" w:hAnsi="Times New Roman" w:cs="Times New Roman"/>
          <w:sz w:val="24"/>
          <w:szCs w:val="24"/>
        </w:rPr>
        <w:t>e em sua correta leitura, que</w:t>
      </w:r>
      <w:r w:rsidR="00E50FDA">
        <w:rPr>
          <w:rFonts w:ascii="Times New Roman" w:hAnsi="Times New Roman" w:cs="Times New Roman"/>
          <w:sz w:val="24"/>
          <w:szCs w:val="24"/>
        </w:rPr>
        <w:t>,</w:t>
      </w:r>
      <w:r w:rsidRPr="009F1639">
        <w:rPr>
          <w:rFonts w:ascii="Times New Roman" w:hAnsi="Times New Roman" w:cs="Times New Roman"/>
          <w:sz w:val="24"/>
          <w:szCs w:val="24"/>
        </w:rPr>
        <w:t xml:space="preserve"> "se o aluguel-pena arbitrado unilateralmente pelo comodante for manifestamente excessivo, deverá o julgador reduzi-lo, tendo-se em vista a natureza e a finalidade do negócio, bem como o seu caráter de penalidade". </w:t>
      </w:r>
    </w:p>
    <w:p w:rsidR="00C8326E" w:rsidRDefault="00AA3780" w:rsidP="009F163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Além da melhora de redação, como se pode perceber, </w:t>
      </w:r>
      <w:r w:rsidR="009F1639" w:rsidRPr="009F1639">
        <w:rPr>
          <w:rFonts w:ascii="Times New Roman" w:hAnsi="Times New Roman" w:cs="Times New Roman"/>
          <w:sz w:val="24"/>
          <w:szCs w:val="24"/>
        </w:rPr>
        <w:t>coloca-se no texto da lei o entendimento hoje considerado majoritário, por doutrina e jurisprudência nacionais</w:t>
      </w:r>
      <w:r w:rsidR="00C8326E">
        <w:rPr>
          <w:rFonts w:ascii="Times New Roman" w:hAnsi="Times New Roman" w:cs="Times New Roman"/>
          <w:sz w:val="24"/>
          <w:szCs w:val="24"/>
        </w:rPr>
        <w:t>, trazendo maior segurança jurídica e estabilidade para as relações privadas</w:t>
      </w:r>
      <w:r>
        <w:rPr>
          <w:rFonts w:ascii="Times New Roman" w:hAnsi="Times New Roman" w:cs="Times New Roman"/>
          <w:sz w:val="24"/>
          <w:szCs w:val="24"/>
        </w:rPr>
        <w:t>, uma das linhas seguidas pelo Projeto de Reforma do Código Civil.</w:t>
      </w:r>
      <w:r w:rsidR="00587EB4">
        <w:rPr>
          <w:rFonts w:ascii="Times New Roman" w:hAnsi="Times New Roman" w:cs="Times New Roman"/>
          <w:sz w:val="24"/>
          <w:szCs w:val="24"/>
        </w:rPr>
        <w:t xml:space="preserve"> </w:t>
      </w:r>
    </w:p>
    <w:p w:rsidR="009F1639" w:rsidRPr="009F1639" w:rsidRDefault="00C8326E" w:rsidP="009F163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Com outro tema relevante para o comodato, e r</w:t>
      </w:r>
      <w:r w:rsidR="009F1639" w:rsidRPr="009F1639">
        <w:rPr>
          <w:rFonts w:ascii="Times New Roman" w:hAnsi="Times New Roman" w:cs="Times New Roman"/>
          <w:sz w:val="24"/>
          <w:szCs w:val="24"/>
        </w:rPr>
        <w:t>essaltando o caráter gratuito do contrato, o comodatário não poderá, em hipótese alguma, recobrar do comodante as despesas feitas com o uso e o gozo da coisa emprestada</w:t>
      </w:r>
      <w:r>
        <w:rPr>
          <w:rFonts w:ascii="Times New Roman" w:hAnsi="Times New Roman" w:cs="Times New Roman"/>
          <w:sz w:val="24"/>
          <w:szCs w:val="24"/>
        </w:rPr>
        <w:t xml:space="preserve">, como está hoje expresso no </w:t>
      </w:r>
      <w:r w:rsidR="009F1639" w:rsidRPr="009F1639">
        <w:rPr>
          <w:rFonts w:ascii="Times New Roman" w:hAnsi="Times New Roman" w:cs="Times New Roman"/>
          <w:sz w:val="24"/>
          <w:szCs w:val="24"/>
        </w:rPr>
        <w:t>art. 584 do C</w:t>
      </w:r>
      <w:r>
        <w:rPr>
          <w:rFonts w:ascii="Times New Roman" w:hAnsi="Times New Roman" w:cs="Times New Roman"/>
          <w:sz w:val="24"/>
          <w:szCs w:val="24"/>
        </w:rPr>
        <w:t xml:space="preserve">ódigo Civil. </w:t>
      </w:r>
      <w:r w:rsidR="009F1639" w:rsidRPr="009F1639">
        <w:rPr>
          <w:rFonts w:ascii="Times New Roman" w:hAnsi="Times New Roman" w:cs="Times New Roman"/>
          <w:sz w:val="24"/>
          <w:szCs w:val="24"/>
        </w:rPr>
        <w:t xml:space="preserve">Em relação a tal comando </w:t>
      </w:r>
      <w:r>
        <w:rPr>
          <w:rFonts w:ascii="Times New Roman" w:hAnsi="Times New Roman" w:cs="Times New Roman"/>
          <w:sz w:val="24"/>
          <w:szCs w:val="24"/>
        </w:rPr>
        <w:t xml:space="preserve">há enorme </w:t>
      </w:r>
      <w:r w:rsidR="009F1639" w:rsidRPr="009F1639">
        <w:rPr>
          <w:rFonts w:ascii="Times New Roman" w:hAnsi="Times New Roman" w:cs="Times New Roman"/>
          <w:sz w:val="24"/>
          <w:szCs w:val="24"/>
        </w:rPr>
        <w:t>polêmica a respeito das benfeitorias.</w:t>
      </w:r>
    </w:p>
    <w:p w:rsidR="00C8326E" w:rsidRDefault="009F1639" w:rsidP="009F1639">
      <w:pPr>
        <w:pStyle w:val="t"/>
        <w:spacing w:before="120" w:after="120" w:line="360" w:lineRule="auto"/>
        <w:ind w:firstLine="1701"/>
        <w:rPr>
          <w:rFonts w:ascii="Times New Roman" w:hAnsi="Times New Roman" w:cs="Times New Roman"/>
          <w:sz w:val="24"/>
          <w:szCs w:val="24"/>
        </w:rPr>
      </w:pPr>
      <w:r w:rsidRPr="009F1639">
        <w:rPr>
          <w:rFonts w:ascii="Times New Roman" w:hAnsi="Times New Roman" w:cs="Times New Roman"/>
          <w:sz w:val="24"/>
          <w:szCs w:val="24"/>
        </w:rPr>
        <w:t>Por ser o comodatário possuidor de boa-fé – diante da existência de um justo título (art. 1.201, parágrafo único, do CC</w:t>
      </w:r>
      <w:r w:rsidR="00C8326E">
        <w:rPr>
          <w:rFonts w:ascii="Times New Roman" w:hAnsi="Times New Roman" w:cs="Times New Roman"/>
          <w:sz w:val="24"/>
          <w:szCs w:val="24"/>
        </w:rPr>
        <w:t>/2002</w:t>
      </w:r>
      <w:r w:rsidRPr="009F1639">
        <w:rPr>
          <w:rFonts w:ascii="Times New Roman" w:hAnsi="Times New Roman" w:cs="Times New Roman"/>
          <w:sz w:val="24"/>
          <w:szCs w:val="24"/>
        </w:rPr>
        <w:t xml:space="preserve">) –, em regra, terá direito à indenização e direito de retenção pelas benfeitorias necessárias e úteis, conforme o art. 1.219 do </w:t>
      </w:r>
      <w:r w:rsidR="00C8326E">
        <w:rPr>
          <w:rFonts w:ascii="Times New Roman" w:hAnsi="Times New Roman" w:cs="Times New Roman"/>
          <w:sz w:val="24"/>
          <w:szCs w:val="24"/>
        </w:rPr>
        <w:t xml:space="preserve">próprio Código Civil. </w:t>
      </w:r>
      <w:r w:rsidRPr="009F1639">
        <w:rPr>
          <w:rFonts w:ascii="Times New Roman" w:hAnsi="Times New Roman" w:cs="Times New Roman"/>
          <w:sz w:val="24"/>
          <w:szCs w:val="24"/>
        </w:rPr>
        <w:t xml:space="preserve">Além disso, poderá levantar as benfeitorias voluptuárias, se isso não danificar o bem. Contudo, podem as partes, em contrato paritário, prever o contrário, sendo perfeitamente válida a cláusula nesse sentido em tais contratos plenamente discutidos. De toda a sorte, há julgados que apontam que o comodatário não tem direito a ser indenizado por tais benfeitorias, pela norma do art. 584 </w:t>
      </w:r>
      <w:r w:rsidR="00C8326E">
        <w:rPr>
          <w:rFonts w:ascii="Times New Roman" w:hAnsi="Times New Roman" w:cs="Times New Roman"/>
          <w:sz w:val="24"/>
          <w:szCs w:val="24"/>
        </w:rPr>
        <w:t xml:space="preserve">da codificação privada, a saber: </w:t>
      </w:r>
    </w:p>
    <w:p w:rsidR="00C8326E" w:rsidRDefault="009F1639" w:rsidP="00C8326E">
      <w:pPr>
        <w:pStyle w:val="t"/>
        <w:spacing w:before="120" w:after="120" w:line="360" w:lineRule="auto"/>
        <w:ind w:left="567" w:firstLine="0"/>
        <w:rPr>
          <w:rFonts w:ascii="Times New Roman" w:hAnsi="Times New Roman" w:cs="Times New Roman"/>
          <w:sz w:val="22"/>
          <w:szCs w:val="22"/>
        </w:rPr>
      </w:pPr>
      <w:r w:rsidRPr="00C8326E">
        <w:rPr>
          <w:rFonts w:ascii="Times New Roman" w:hAnsi="Times New Roman" w:cs="Times New Roman"/>
          <w:sz w:val="22"/>
          <w:szCs w:val="22"/>
        </w:rPr>
        <w:t xml:space="preserve">“Reintegração de posse. Comodato verbal. Imóvel utilizado para exercício de atividade empresarial. Benfeitorias realizadas em proveito do comodatário, cuja finalidade era adequar o imóvel a atividade exercida. Inexistência do dever de indenizar. Desnecessidade de prova pericial. Inteligência do artigo 584 do Código Civil. Manutenção da sentença. Desprovimento do apelo” (TJRJ, Apelação 2009.001.16394, 1.ª </w:t>
      </w:r>
      <w:r w:rsidRPr="00C8326E">
        <w:rPr>
          <w:rFonts w:ascii="Times New Roman" w:hAnsi="Times New Roman" w:cs="Times New Roman"/>
          <w:sz w:val="22"/>
          <w:szCs w:val="22"/>
        </w:rPr>
        <w:lastRenderedPageBreak/>
        <w:t>Câmara Cível, Rel. Des. Vera Maria Soares Van Hombeeck, j. 14.04.2009, DORJ 27.04.2009, p. 116).</w:t>
      </w:r>
      <w:r w:rsidR="00C8326E">
        <w:rPr>
          <w:rFonts w:ascii="Times New Roman" w:hAnsi="Times New Roman" w:cs="Times New Roman"/>
          <w:sz w:val="22"/>
          <w:szCs w:val="22"/>
        </w:rPr>
        <w:t xml:space="preserve"> </w:t>
      </w:r>
    </w:p>
    <w:p w:rsidR="009F1639" w:rsidRPr="00C8326E" w:rsidRDefault="009F1639" w:rsidP="00C8326E">
      <w:pPr>
        <w:pStyle w:val="t"/>
        <w:spacing w:before="120" w:after="120" w:line="360" w:lineRule="auto"/>
        <w:ind w:left="567" w:firstLine="0"/>
        <w:rPr>
          <w:rFonts w:ascii="Times New Roman" w:hAnsi="Times New Roman" w:cs="Times New Roman"/>
          <w:sz w:val="22"/>
          <w:szCs w:val="22"/>
        </w:rPr>
      </w:pPr>
      <w:r w:rsidRPr="00C8326E">
        <w:rPr>
          <w:rFonts w:ascii="Times New Roman" w:hAnsi="Times New Roman" w:cs="Times New Roman"/>
          <w:sz w:val="22"/>
          <w:szCs w:val="22"/>
        </w:rPr>
        <w:t>“Contrato. Comodante. Imóvel. Pretensão a indenização por benfeitorias. Inadmissibilidade, mesmo em face da revelia dos réus, que apresentaram contestação e reconvenção intempestivas. Inteligência do disposto no art. 584 do Código Civil” (TJSP, Apelação Cível 7276634-2, Acórdão 3590228, 14.ª Câmara de Direito Privado, São Paulo, Rel. Des. José Tarcisio Beraldo, j. 25.03.2009, DJESP 02.06.2009).</w:t>
      </w:r>
    </w:p>
    <w:p w:rsidR="00C8326E" w:rsidRDefault="00C8326E" w:rsidP="009F163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Entretanto, a</w:t>
      </w:r>
      <w:r w:rsidR="009F1639" w:rsidRPr="009F1639">
        <w:rPr>
          <w:rFonts w:ascii="Times New Roman" w:hAnsi="Times New Roman" w:cs="Times New Roman"/>
          <w:sz w:val="24"/>
          <w:szCs w:val="24"/>
        </w:rPr>
        <w:t xml:space="preserve"> questão não é pacífica na própria jurisprudência, havendo julgados que reconhecem a possibilidade de indenização pelas benfeitorias necessárias e úteis no comodato (nesse sentido, ver: TJSP, Agravo de Instrumento 7301347-5, Acórdão 3628632, 20.ª Câmara de Direito Privado, </w:t>
      </w:r>
      <w:r w:rsidRPr="009F1639">
        <w:rPr>
          <w:rFonts w:ascii="Times New Roman" w:hAnsi="Times New Roman" w:cs="Times New Roman"/>
          <w:sz w:val="24"/>
          <w:szCs w:val="24"/>
        </w:rPr>
        <w:t xml:space="preserve">Mogi </w:t>
      </w:r>
      <w:r>
        <w:rPr>
          <w:rFonts w:ascii="Times New Roman" w:hAnsi="Times New Roman" w:cs="Times New Roman"/>
          <w:sz w:val="24"/>
          <w:szCs w:val="24"/>
        </w:rPr>
        <w:t>M</w:t>
      </w:r>
      <w:r w:rsidRPr="009F1639">
        <w:rPr>
          <w:rFonts w:ascii="Times New Roman" w:hAnsi="Times New Roman" w:cs="Times New Roman"/>
          <w:sz w:val="24"/>
          <w:szCs w:val="24"/>
        </w:rPr>
        <w:t>irim</w:t>
      </w:r>
      <w:r w:rsidR="009F1639" w:rsidRPr="009F1639">
        <w:rPr>
          <w:rFonts w:ascii="Times New Roman" w:hAnsi="Times New Roman" w:cs="Times New Roman"/>
          <w:sz w:val="24"/>
          <w:szCs w:val="24"/>
        </w:rPr>
        <w:t xml:space="preserve">, Rel. Des. Cunha Garcia, j. 09.03.2009, DJESP 09.06.2009; TJMG, Apelação Cível 1.0514.07.024211-0/0011, 16.ª Câmara Cível, Pitangui, Rel. Des. Nicolau Masselli, j. 22.04.2009, DJEMG 05.06.2009). </w:t>
      </w:r>
    </w:p>
    <w:p w:rsidR="009F1639" w:rsidRPr="009F1639" w:rsidRDefault="00AA3780" w:rsidP="009F163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E</w:t>
      </w:r>
      <w:r w:rsidR="00C8326E">
        <w:rPr>
          <w:rFonts w:ascii="Times New Roman" w:hAnsi="Times New Roman" w:cs="Times New Roman"/>
          <w:sz w:val="24"/>
          <w:szCs w:val="24"/>
        </w:rPr>
        <w:t xml:space="preserve">stou </w:t>
      </w:r>
      <w:r>
        <w:rPr>
          <w:rFonts w:ascii="Times New Roman" w:hAnsi="Times New Roman" w:cs="Times New Roman"/>
          <w:sz w:val="24"/>
          <w:szCs w:val="24"/>
        </w:rPr>
        <w:t xml:space="preserve">há tempos </w:t>
      </w:r>
      <w:r w:rsidR="00C8326E">
        <w:rPr>
          <w:rFonts w:ascii="Times New Roman" w:hAnsi="Times New Roman" w:cs="Times New Roman"/>
          <w:sz w:val="24"/>
          <w:szCs w:val="24"/>
        </w:rPr>
        <w:t xml:space="preserve">filiado </w:t>
      </w:r>
      <w:r w:rsidR="009F1639" w:rsidRPr="009F1639">
        <w:rPr>
          <w:rFonts w:ascii="Times New Roman" w:hAnsi="Times New Roman" w:cs="Times New Roman"/>
          <w:sz w:val="24"/>
          <w:szCs w:val="24"/>
        </w:rPr>
        <w:t>aos últimos julgados, mais condizentes com a proteção do possuidor de boa-fé. Em suma, o art. 1.219 do Código Civil prevalece sobre o art. 584 da codificação</w:t>
      </w:r>
      <w:r>
        <w:rPr>
          <w:rFonts w:ascii="Times New Roman" w:hAnsi="Times New Roman" w:cs="Times New Roman"/>
          <w:sz w:val="24"/>
          <w:szCs w:val="24"/>
        </w:rPr>
        <w:t xml:space="preserve"> privada</w:t>
      </w:r>
      <w:r w:rsidR="009F1639" w:rsidRPr="009F1639">
        <w:rPr>
          <w:rFonts w:ascii="Times New Roman" w:hAnsi="Times New Roman" w:cs="Times New Roman"/>
          <w:sz w:val="24"/>
          <w:szCs w:val="24"/>
        </w:rPr>
        <w:t>, diante da</w:t>
      </w:r>
      <w:r w:rsidR="009F4046">
        <w:rPr>
          <w:rFonts w:ascii="Times New Roman" w:hAnsi="Times New Roman" w:cs="Times New Roman"/>
          <w:sz w:val="24"/>
          <w:szCs w:val="24"/>
        </w:rPr>
        <w:t xml:space="preserve"> </w:t>
      </w:r>
      <w:r w:rsidR="009F1639" w:rsidRPr="009F1639">
        <w:rPr>
          <w:rFonts w:ascii="Times New Roman" w:hAnsi="Times New Roman" w:cs="Times New Roman"/>
          <w:sz w:val="24"/>
          <w:szCs w:val="24"/>
        </w:rPr>
        <w:t>própria principiologia adotada pela norma geral privada</w:t>
      </w:r>
      <w:r w:rsidR="00C8326E">
        <w:rPr>
          <w:rFonts w:ascii="Times New Roman" w:hAnsi="Times New Roman" w:cs="Times New Roman"/>
          <w:sz w:val="24"/>
          <w:szCs w:val="24"/>
        </w:rPr>
        <w:t xml:space="preserve">, sobretudo pela eticidade e contínua valorização da boa-fé. </w:t>
      </w:r>
    </w:p>
    <w:p w:rsidR="002B77B1" w:rsidRDefault="00AA3780" w:rsidP="009F1639">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C</w:t>
      </w:r>
      <w:r w:rsidR="009F1639" w:rsidRPr="009F1639">
        <w:rPr>
          <w:rFonts w:ascii="Times New Roman" w:hAnsi="Times New Roman" w:cs="Times New Roman"/>
          <w:sz w:val="24"/>
          <w:szCs w:val="24"/>
        </w:rPr>
        <w:t>om o fim de resolver mais um dilema prático, o Projeto de Reforma do Código Civil pretende inserir um parágrafo único no seu art. 584, adotando a última solução, com o seguinte texto: "o comodatário não tem direito a indenização por benfeitorias realizadas sem o expresso consentimento do comodante, salvo as que forem necessárias". Aguarda-se, portanto, a sua aprovação pelo Parlamento Brasileiro</w:t>
      </w:r>
      <w:r w:rsidR="00C8326E">
        <w:rPr>
          <w:rFonts w:ascii="Times New Roman" w:hAnsi="Times New Roman" w:cs="Times New Roman"/>
          <w:sz w:val="24"/>
          <w:szCs w:val="24"/>
        </w:rPr>
        <w:t xml:space="preserve">, novamente para resolver pendência que existe na teoria e na prática. </w:t>
      </w:r>
    </w:p>
    <w:p w:rsidR="001D2D3A" w:rsidRPr="001D2D3A" w:rsidRDefault="001D2D3A" w:rsidP="001D2D3A">
      <w:pPr>
        <w:rPr>
          <w:lang w:eastAsia="pt-BR"/>
        </w:rPr>
      </w:pPr>
    </w:p>
    <w:sectPr w:rsidR="001D2D3A" w:rsidRPr="001D2D3A" w:rsidSect="007F14FB">
      <w:footerReference w:type="default" r:id="rId8"/>
      <w:pgSz w:w="11906" w:h="16838"/>
      <w:pgMar w:top="1417" w:right="1701" w:bottom="1417" w:left="1701"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46C08E3" w15:done="0"/>
  <w15:commentEx w15:paraId="79BE6A5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4123384" w16cex:dateUtc="2025-07-01T00:06:00Z"/>
  <w16cex:commentExtensible w16cex:durableId="72188607" w16cex:dateUtc="2025-07-01T00: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46C08E3" w16cid:durableId="24123384"/>
  <w16cid:commentId w16cid:paraId="79BE6A56" w16cid:durableId="72188607"/>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4562" w:rsidRDefault="001B4562" w:rsidP="00B15AD0">
      <w:pPr>
        <w:spacing w:after="0" w:line="240" w:lineRule="auto"/>
      </w:pPr>
      <w:r>
        <w:separator/>
      </w:r>
    </w:p>
  </w:endnote>
  <w:endnote w:type="continuationSeparator" w:id="0">
    <w:p w:rsidR="001B4562" w:rsidRDefault="001B4562" w:rsidP="00B15A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游明朝">
    <w:panose1 w:val="00000000000000000000"/>
    <w:charset w:val="80"/>
    <w:family w:val="roman"/>
    <w:notTrueType/>
    <w:pitch w:val="default"/>
    <w:sig w:usb0="00000000" w:usb1="00000000" w:usb2="00000000" w:usb3="00000000" w:csb0="00000000" w:csb1="00000000"/>
  </w:font>
  <w:font w:name="MyriadPro-Regular">
    <w:altName w:val="Calibri"/>
    <w:panose1 w:val="00000000000000000000"/>
    <w:charset w:val="00"/>
    <w:family w:val="auto"/>
    <w:notTrueType/>
    <w:pitch w:val="default"/>
    <w:sig w:usb0="00000003" w:usb1="00000000" w:usb2="00000000" w:usb3="00000000" w:csb0="00000001" w:csb1="00000000"/>
  </w:font>
  <w:font w:name="游ゴシック Light">
    <w:panose1 w:val="00000000000000000000"/>
    <w:charset w:val="80"/>
    <w:family w:val="roman"/>
    <w:notTrueType/>
    <w:pitch w:val="default"/>
    <w:sig w:usb0="000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9919016"/>
      <w:docPartObj>
        <w:docPartGallery w:val="Page Numbers (Bottom of Page)"/>
        <w:docPartUnique/>
      </w:docPartObj>
    </w:sdtPr>
    <w:sdtContent>
      <w:p w:rsidR="009F1639" w:rsidRDefault="000B160F">
        <w:pPr>
          <w:pStyle w:val="Rodap"/>
          <w:jc w:val="right"/>
        </w:pPr>
        <w:r>
          <w:fldChar w:fldCharType="begin"/>
        </w:r>
        <w:r w:rsidR="00AA3780">
          <w:instrText xml:space="preserve"> PAGE   \* MERGEFORMAT </w:instrText>
        </w:r>
        <w:r>
          <w:fldChar w:fldCharType="separate"/>
        </w:r>
        <w:r w:rsidR="002D3A5C">
          <w:rPr>
            <w:noProof/>
          </w:rPr>
          <w:t>1</w:t>
        </w:r>
        <w:r>
          <w:rPr>
            <w:noProof/>
          </w:rPr>
          <w:fldChar w:fldCharType="end"/>
        </w:r>
      </w:p>
    </w:sdtContent>
  </w:sdt>
  <w:p w:rsidR="009F1639" w:rsidRDefault="009F1639">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4562" w:rsidRDefault="001B4562" w:rsidP="00B15AD0">
      <w:pPr>
        <w:spacing w:after="0" w:line="240" w:lineRule="auto"/>
      </w:pPr>
      <w:r>
        <w:separator/>
      </w:r>
    </w:p>
  </w:footnote>
  <w:footnote w:type="continuationSeparator" w:id="0">
    <w:p w:rsidR="001B4562" w:rsidRDefault="001B4562" w:rsidP="00B15AD0">
      <w:pPr>
        <w:spacing w:after="0" w:line="240" w:lineRule="auto"/>
      </w:pPr>
      <w:r>
        <w:continuationSeparator/>
      </w:r>
    </w:p>
  </w:footnote>
  <w:footnote w:id="1">
    <w:p w:rsidR="009F1639" w:rsidRPr="00197971" w:rsidRDefault="009F1639" w:rsidP="00B15AD0">
      <w:pPr>
        <w:pStyle w:val="Textodenotaderodap"/>
        <w:jc w:val="both"/>
      </w:pPr>
      <w:r w:rsidRPr="003B2F06">
        <w:rPr>
          <w:rStyle w:val="Refdenotaderodap"/>
        </w:rPr>
        <w:footnoteRef/>
      </w:r>
      <w:r w:rsidRPr="003B2F06">
        <w:t xml:space="preserve"> </w:t>
      </w:r>
      <w:r>
        <w:t xml:space="preserve">Pós-Doutor e </w:t>
      </w:r>
      <w:r w:rsidRPr="003B2F06">
        <w:t xml:space="preserve">Doutor em Direito Civil pela USP. Mestre em Direito Civil Comparado pela PUCSP. Professor </w:t>
      </w:r>
      <w:r>
        <w:t>T</w:t>
      </w:r>
      <w:r w:rsidRPr="003B2F06">
        <w:t xml:space="preserve">itular permanente </w:t>
      </w:r>
      <w:r>
        <w:t xml:space="preserve">e coordenador do mestrado da Escola Paulista de Direito (EPD). </w:t>
      </w:r>
      <w:r w:rsidRPr="003B2F06">
        <w:t xml:space="preserve">Professor </w:t>
      </w:r>
      <w:r>
        <w:t xml:space="preserve">e coordenador </w:t>
      </w:r>
      <w:r w:rsidRPr="003B2F06">
        <w:t xml:space="preserve">dos cursos de pós-graduação </w:t>
      </w:r>
      <w:r w:rsidRPr="00511B17">
        <w:rPr>
          <w:i/>
        </w:rPr>
        <w:t>lato sensu</w:t>
      </w:r>
      <w:r w:rsidRPr="003B2F06">
        <w:t xml:space="preserve"> </w:t>
      </w:r>
      <w:r>
        <w:t xml:space="preserve">em Direito Privado </w:t>
      </w:r>
      <w:r w:rsidRPr="003B2F06">
        <w:t>da EPD.</w:t>
      </w:r>
      <w:r>
        <w:t xml:space="preserve"> Relator do Projeto de Reforma do Código Civil. Primeiro Presidente e Fundador do Instituto Brasileiro de Direito Contratual (IBDCONT). Conselheiro Federal da OAB, pela OABSP. </w:t>
      </w:r>
      <w:r w:rsidRPr="003B2F06">
        <w:t xml:space="preserve">Advogado </w:t>
      </w:r>
      <w:r>
        <w:t xml:space="preserve">em São Paulo, parecerista, árbitro </w:t>
      </w:r>
      <w:r w:rsidRPr="003B2F06">
        <w:t>e consultor jurídico</w:t>
      </w:r>
      <w:r w:rsidRPr="00197971">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666753"/>
    <w:multiLevelType w:val="hybridMultilevel"/>
    <w:tmpl w:val="54162384"/>
    <w:lvl w:ilvl="0" w:tplc="F97CC47C">
      <w:start w:val="1"/>
      <w:numFmt w:val="decimal"/>
      <w:lvlText w:val="%1)"/>
      <w:lvlJc w:val="left"/>
      <w:pPr>
        <w:ind w:left="1020" w:hanging="360"/>
      </w:pPr>
    </w:lvl>
    <w:lvl w:ilvl="1" w:tplc="4D3C6446">
      <w:start w:val="1"/>
      <w:numFmt w:val="decimal"/>
      <w:lvlText w:val="%2)"/>
      <w:lvlJc w:val="left"/>
      <w:pPr>
        <w:ind w:left="1020" w:hanging="360"/>
      </w:pPr>
    </w:lvl>
    <w:lvl w:ilvl="2" w:tplc="579EAB1A">
      <w:start w:val="1"/>
      <w:numFmt w:val="decimal"/>
      <w:lvlText w:val="%3)"/>
      <w:lvlJc w:val="left"/>
      <w:pPr>
        <w:ind w:left="1020" w:hanging="360"/>
      </w:pPr>
    </w:lvl>
    <w:lvl w:ilvl="3" w:tplc="952E9B12">
      <w:start w:val="1"/>
      <w:numFmt w:val="decimal"/>
      <w:lvlText w:val="%4)"/>
      <w:lvlJc w:val="left"/>
      <w:pPr>
        <w:ind w:left="1020" w:hanging="360"/>
      </w:pPr>
    </w:lvl>
    <w:lvl w:ilvl="4" w:tplc="6D360AEA">
      <w:start w:val="1"/>
      <w:numFmt w:val="decimal"/>
      <w:lvlText w:val="%5)"/>
      <w:lvlJc w:val="left"/>
      <w:pPr>
        <w:ind w:left="1020" w:hanging="360"/>
      </w:pPr>
    </w:lvl>
    <w:lvl w:ilvl="5" w:tplc="2E0E23EA">
      <w:start w:val="1"/>
      <w:numFmt w:val="decimal"/>
      <w:lvlText w:val="%6)"/>
      <w:lvlJc w:val="left"/>
      <w:pPr>
        <w:ind w:left="1020" w:hanging="360"/>
      </w:pPr>
    </w:lvl>
    <w:lvl w:ilvl="6" w:tplc="4BD0F8E6">
      <w:start w:val="1"/>
      <w:numFmt w:val="decimal"/>
      <w:lvlText w:val="%7)"/>
      <w:lvlJc w:val="left"/>
      <w:pPr>
        <w:ind w:left="1020" w:hanging="360"/>
      </w:pPr>
    </w:lvl>
    <w:lvl w:ilvl="7" w:tplc="4296E6EA">
      <w:start w:val="1"/>
      <w:numFmt w:val="decimal"/>
      <w:lvlText w:val="%8)"/>
      <w:lvlJc w:val="left"/>
      <w:pPr>
        <w:ind w:left="1020" w:hanging="360"/>
      </w:pPr>
    </w:lvl>
    <w:lvl w:ilvl="8" w:tplc="3DD4651E">
      <w:start w:val="1"/>
      <w:numFmt w:val="decimal"/>
      <w:lvlText w:val="%9)"/>
      <w:lvlJc w:val="left"/>
      <w:pPr>
        <w:ind w:left="1020" w:hanging="360"/>
      </w:pPr>
    </w:lvl>
  </w:abstractNum>
  <w:abstractNum w:abstractNumId="1">
    <w:nsid w:val="6C6E78FF"/>
    <w:multiLevelType w:val="hybridMultilevel"/>
    <w:tmpl w:val="3A94B62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evisão">
    <w15:presenceInfo w15:providerId="None" w15:userId="Revisão"/>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6"/>
  <w:proofState w:spelling="clean"/>
  <w:defaultTabStop w:val="708"/>
  <w:hyphenationZone w:val="425"/>
  <w:characterSpacingControl w:val="doNotCompress"/>
  <w:footnotePr>
    <w:footnote w:id="-1"/>
    <w:footnote w:id="0"/>
  </w:footnotePr>
  <w:endnotePr>
    <w:endnote w:id="-1"/>
    <w:endnote w:id="0"/>
  </w:endnotePr>
  <w:compat/>
  <w:rsids>
    <w:rsidRoot w:val="0079684D"/>
    <w:rsid w:val="00002059"/>
    <w:rsid w:val="00004278"/>
    <w:rsid w:val="00012D24"/>
    <w:rsid w:val="00014A13"/>
    <w:rsid w:val="000163F9"/>
    <w:rsid w:val="0002246D"/>
    <w:rsid w:val="000272D3"/>
    <w:rsid w:val="00042DD9"/>
    <w:rsid w:val="0006022B"/>
    <w:rsid w:val="000618D8"/>
    <w:rsid w:val="00061D24"/>
    <w:rsid w:val="00061D89"/>
    <w:rsid w:val="00065809"/>
    <w:rsid w:val="00075104"/>
    <w:rsid w:val="00081B5A"/>
    <w:rsid w:val="00084038"/>
    <w:rsid w:val="00090984"/>
    <w:rsid w:val="00091C4D"/>
    <w:rsid w:val="00092468"/>
    <w:rsid w:val="000967F8"/>
    <w:rsid w:val="000A0500"/>
    <w:rsid w:val="000A1BE1"/>
    <w:rsid w:val="000A1DAE"/>
    <w:rsid w:val="000A4AFE"/>
    <w:rsid w:val="000A6A8E"/>
    <w:rsid w:val="000B0D00"/>
    <w:rsid w:val="000B160F"/>
    <w:rsid w:val="000B199E"/>
    <w:rsid w:val="000B3C12"/>
    <w:rsid w:val="000B4F9A"/>
    <w:rsid w:val="000D4EB5"/>
    <w:rsid w:val="000D6AB7"/>
    <w:rsid w:val="000D7B84"/>
    <w:rsid w:val="000E69A0"/>
    <w:rsid w:val="000E7C7A"/>
    <w:rsid w:val="000F397F"/>
    <w:rsid w:val="00101681"/>
    <w:rsid w:val="001115BE"/>
    <w:rsid w:val="001164E8"/>
    <w:rsid w:val="00121038"/>
    <w:rsid w:val="001257FC"/>
    <w:rsid w:val="00130044"/>
    <w:rsid w:val="0013242A"/>
    <w:rsid w:val="00140F1A"/>
    <w:rsid w:val="001431C6"/>
    <w:rsid w:val="00147FD2"/>
    <w:rsid w:val="0015250A"/>
    <w:rsid w:val="00154A54"/>
    <w:rsid w:val="00155FF7"/>
    <w:rsid w:val="001604A2"/>
    <w:rsid w:val="00162445"/>
    <w:rsid w:val="00174761"/>
    <w:rsid w:val="00176E7D"/>
    <w:rsid w:val="001A1246"/>
    <w:rsid w:val="001A33D9"/>
    <w:rsid w:val="001A3BB7"/>
    <w:rsid w:val="001A3C52"/>
    <w:rsid w:val="001B0CD7"/>
    <w:rsid w:val="001B36E1"/>
    <w:rsid w:val="001B4562"/>
    <w:rsid w:val="001B45D7"/>
    <w:rsid w:val="001B648E"/>
    <w:rsid w:val="001C20B6"/>
    <w:rsid w:val="001D23C5"/>
    <w:rsid w:val="001D26B5"/>
    <w:rsid w:val="001D2D3A"/>
    <w:rsid w:val="001D2FCE"/>
    <w:rsid w:val="001D4C59"/>
    <w:rsid w:val="001E3A72"/>
    <w:rsid w:val="001E5FD0"/>
    <w:rsid w:val="001F0B30"/>
    <w:rsid w:val="001F7416"/>
    <w:rsid w:val="00204797"/>
    <w:rsid w:val="00216BE4"/>
    <w:rsid w:val="002173DE"/>
    <w:rsid w:val="00223883"/>
    <w:rsid w:val="00231DBA"/>
    <w:rsid w:val="00234405"/>
    <w:rsid w:val="00240103"/>
    <w:rsid w:val="00240B32"/>
    <w:rsid w:val="00242A7D"/>
    <w:rsid w:val="002628DD"/>
    <w:rsid w:val="0027030E"/>
    <w:rsid w:val="00275DC5"/>
    <w:rsid w:val="0027678B"/>
    <w:rsid w:val="0027700F"/>
    <w:rsid w:val="002809A2"/>
    <w:rsid w:val="00295C84"/>
    <w:rsid w:val="00296B3B"/>
    <w:rsid w:val="00297F8D"/>
    <w:rsid w:val="002A1A09"/>
    <w:rsid w:val="002A471D"/>
    <w:rsid w:val="002A4A94"/>
    <w:rsid w:val="002A60FF"/>
    <w:rsid w:val="002B77B1"/>
    <w:rsid w:val="002B7E62"/>
    <w:rsid w:val="002C0424"/>
    <w:rsid w:val="002C1795"/>
    <w:rsid w:val="002C20BD"/>
    <w:rsid w:val="002D3A5C"/>
    <w:rsid w:val="002D7126"/>
    <w:rsid w:val="002E0A51"/>
    <w:rsid w:val="002E2013"/>
    <w:rsid w:val="002E7C65"/>
    <w:rsid w:val="002F013F"/>
    <w:rsid w:val="002F1032"/>
    <w:rsid w:val="002F1277"/>
    <w:rsid w:val="002F6BCE"/>
    <w:rsid w:val="00310780"/>
    <w:rsid w:val="00311DC8"/>
    <w:rsid w:val="003156EB"/>
    <w:rsid w:val="00316B68"/>
    <w:rsid w:val="00331477"/>
    <w:rsid w:val="003358E3"/>
    <w:rsid w:val="00341469"/>
    <w:rsid w:val="00341F09"/>
    <w:rsid w:val="00351820"/>
    <w:rsid w:val="00354174"/>
    <w:rsid w:val="00356BC1"/>
    <w:rsid w:val="0038223F"/>
    <w:rsid w:val="003869F0"/>
    <w:rsid w:val="003A2D67"/>
    <w:rsid w:val="003B0F36"/>
    <w:rsid w:val="003D1130"/>
    <w:rsid w:val="003D758C"/>
    <w:rsid w:val="003E6BFA"/>
    <w:rsid w:val="00416565"/>
    <w:rsid w:val="00416BAE"/>
    <w:rsid w:val="00420F7D"/>
    <w:rsid w:val="00421AAD"/>
    <w:rsid w:val="004231D8"/>
    <w:rsid w:val="004263CC"/>
    <w:rsid w:val="00440E97"/>
    <w:rsid w:val="0044129B"/>
    <w:rsid w:val="00451CC8"/>
    <w:rsid w:val="00463CAE"/>
    <w:rsid w:val="0046464F"/>
    <w:rsid w:val="00465B35"/>
    <w:rsid w:val="004702C9"/>
    <w:rsid w:val="00473561"/>
    <w:rsid w:val="00475A7F"/>
    <w:rsid w:val="004A4C65"/>
    <w:rsid w:val="004A5954"/>
    <w:rsid w:val="004A6AA0"/>
    <w:rsid w:val="004B0CC8"/>
    <w:rsid w:val="004B1ABA"/>
    <w:rsid w:val="004C28CC"/>
    <w:rsid w:val="004C2B01"/>
    <w:rsid w:val="004D192A"/>
    <w:rsid w:val="004D3C8B"/>
    <w:rsid w:val="004F108D"/>
    <w:rsid w:val="00505F81"/>
    <w:rsid w:val="00510D5E"/>
    <w:rsid w:val="0051186F"/>
    <w:rsid w:val="00513172"/>
    <w:rsid w:val="00520F3F"/>
    <w:rsid w:val="00521AD5"/>
    <w:rsid w:val="00525923"/>
    <w:rsid w:val="005264F9"/>
    <w:rsid w:val="00540A1C"/>
    <w:rsid w:val="00550067"/>
    <w:rsid w:val="00551126"/>
    <w:rsid w:val="00554A9A"/>
    <w:rsid w:val="00560AB1"/>
    <w:rsid w:val="005803EC"/>
    <w:rsid w:val="00581D80"/>
    <w:rsid w:val="00582E0D"/>
    <w:rsid w:val="0058340B"/>
    <w:rsid w:val="00587EB4"/>
    <w:rsid w:val="005937B9"/>
    <w:rsid w:val="005A0224"/>
    <w:rsid w:val="005A5D67"/>
    <w:rsid w:val="005A6CC3"/>
    <w:rsid w:val="005B6FDC"/>
    <w:rsid w:val="005C2B81"/>
    <w:rsid w:val="005C3438"/>
    <w:rsid w:val="005C3619"/>
    <w:rsid w:val="005C4502"/>
    <w:rsid w:val="005D3299"/>
    <w:rsid w:val="005D6822"/>
    <w:rsid w:val="005E4456"/>
    <w:rsid w:val="005E5BC0"/>
    <w:rsid w:val="005F164A"/>
    <w:rsid w:val="005F1820"/>
    <w:rsid w:val="005F25C9"/>
    <w:rsid w:val="005F41FE"/>
    <w:rsid w:val="00600C8B"/>
    <w:rsid w:val="006067E7"/>
    <w:rsid w:val="00606C96"/>
    <w:rsid w:val="00613516"/>
    <w:rsid w:val="0063474C"/>
    <w:rsid w:val="00635A77"/>
    <w:rsid w:val="0063631C"/>
    <w:rsid w:val="00637D4E"/>
    <w:rsid w:val="0064646B"/>
    <w:rsid w:val="0065126D"/>
    <w:rsid w:val="0065327B"/>
    <w:rsid w:val="00653C19"/>
    <w:rsid w:val="00653FEF"/>
    <w:rsid w:val="006551BA"/>
    <w:rsid w:val="0065579F"/>
    <w:rsid w:val="00664651"/>
    <w:rsid w:val="00666DBB"/>
    <w:rsid w:val="00674CF0"/>
    <w:rsid w:val="00683E7B"/>
    <w:rsid w:val="00684049"/>
    <w:rsid w:val="00684EAE"/>
    <w:rsid w:val="00687D4D"/>
    <w:rsid w:val="00687F6F"/>
    <w:rsid w:val="00692442"/>
    <w:rsid w:val="006931D3"/>
    <w:rsid w:val="00693231"/>
    <w:rsid w:val="0069517F"/>
    <w:rsid w:val="006A1DE3"/>
    <w:rsid w:val="006A24C2"/>
    <w:rsid w:val="006A3397"/>
    <w:rsid w:val="006A4626"/>
    <w:rsid w:val="006B0194"/>
    <w:rsid w:val="006B64C9"/>
    <w:rsid w:val="006D2259"/>
    <w:rsid w:val="006D389F"/>
    <w:rsid w:val="006E0C8C"/>
    <w:rsid w:val="006E1F16"/>
    <w:rsid w:val="006E434B"/>
    <w:rsid w:val="006F666B"/>
    <w:rsid w:val="007018A3"/>
    <w:rsid w:val="0070682D"/>
    <w:rsid w:val="00711BF6"/>
    <w:rsid w:val="0071408C"/>
    <w:rsid w:val="007154AD"/>
    <w:rsid w:val="007161E4"/>
    <w:rsid w:val="00741F35"/>
    <w:rsid w:val="00747200"/>
    <w:rsid w:val="0075158E"/>
    <w:rsid w:val="007522CF"/>
    <w:rsid w:val="00752FEE"/>
    <w:rsid w:val="007745E9"/>
    <w:rsid w:val="00777567"/>
    <w:rsid w:val="00777A2F"/>
    <w:rsid w:val="0078277B"/>
    <w:rsid w:val="00783334"/>
    <w:rsid w:val="00786CE4"/>
    <w:rsid w:val="007914E9"/>
    <w:rsid w:val="0079684D"/>
    <w:rsid w:val="007A0FB1"/>
    <w:rsid w:val="007A54E4"/>
    <w:rsid w:val="007A6C76"/>
    <w:rsid w:val="007B113F"/>
    <w:rsid w:val="007B3258"/>
    <w:rsid w:val="007B5E1B"/>
    <w:rsid w:val="007C17F4"/>
    <w:rsid w:val="007C1C26"/>
    <w:rsid w:val="007C517C"/>
    <w:rsid w:val="007D0849"/>
    <w:rsid w:val="007D7E1C"/>
    <w:rsid w:val="007E25B9"/>
    <w:rsid w:val="007E6471"/>
    <w:rsid w:val="007F14FB"/>
    <w:rsid w:val="00801384"/>
    <w:rsid w:val="00802F39"/>
    <w:rsid w:val="00805969"/>
    <w:rsid w:val="0080683F"/>
    <w:rsid w:val="00806EDD"/>
    <w:rsid w:val="00830464"/>
    <w:rsid w:val="00831927"/>
    <w:rsid w:val="00832AE4"/>
    <w:rsid w:val="00851514"/>
    <w:rsid w:val="00852DEB"/>
    <w:rsid w:val="008674E3"/>
    <w:rsid w:val="00867E84"/>
    <w:rsid w:val="00880709"/>
    <w:rsid w:val="00880ACE"/>
    <w:rsid w:val="00885120"/>
    <w:rsid w:val="00895E9B"/>
    <w:rsid w:val="008A46FF"/>
    <w:rsid w:val="008B65F8"/>
    <w:rsid w:val="008C19E7"/>
    <w:rsid w:val="008D1456"/>
    <w:rsid w:val="008D1E6F"/>
    <w:rsid w:val="008E513D"/>
    <w:rsid w:val="008F63CA"/>
    <w:rsid w:val="00902BB5"/>
    <w:rsid w:val="00907993"/>
    <w:rsid w:val="00920A9B"/>
    <w:rsid w:val="00920C6E"/>
    <w:rsid w:val="0092561C"/>
    <w:rsid w:val="00925730"/>
    <w:rsid w:val="00932490"/>
    <w:rsid w:val="009368C3"/>
    <w:rsid w:val="009464A7"/>
    <w:rsid w:val="00946888"/>
    <w:rsid w:val="00956D2B"/>
    <w:rsid w:val="00960F98"/>
    <w:rsid w:val="00961295"/>
    <w:rsid w:val="00964A37"/>
    <w:rsid w:val="00965DB6"/>
    <w:rsid w:val="009667C7"/>
    <w:rsid w:val="00971484"/>
    <w:rsid w:val="009715B4"/>
    <w:rsid w:val="00975C0F"/>
    <w:rsid w:val="0097659D"/>
    <w:rsid w:val="00977772"/>
    <w:rsid w:val="0098731E"/>
    <w:rsid w:val="009B666C"/>
    <w:rsid w:val="009B75BF"/>
    <w:rsid w:val="009C00DA"/>
    <w:rsid w:val="009C3361"/>
    <w:rsid w:val="009C4399"/>
    <w:rsid w:val="009C5018"/>
    <w:rsid w:val="009D6C03"/>
    <w:rsid w:val="009E1D79"/>
    <w:rsid w:val="009E65DC"/>
    <w:rsid w:val="009F1639"/>
    <w:rsid w:val="009F3FBF"/>
    <w:rsid w:val="009F4046"/>
    <w:rsid w:val="009F594A"/>
    <w:rsid w:val="00A01D37"/>
    <w:rsid w:val="00A02347"/>
    <w:rsid w:val="00A07A6F"/>
    <w:rsid w:val="00A10669"/>
    <w:rsid w:val="00A1091B"/>
    <w:rsid w:val="00A109C6"/>
    <w:rsid w:val="00A10A11"/>
    <w:rsid w:val="00A15C1C"/>
    <w:rsid w:val="00A17286"/>
    <w:rsid w:val="00A20C07"/>
    <w:rsid w:val="00A21CE5"/>
    <w:rsid w:val="00A2489D"/>
    <w:rsid w:val="00A327F6"/>
    <w:rsid w:val="00A44ECC"/>
    <w:rsid w:val="00A51146"/>
    <w:rsid w:val="00A57D4B"/>
    <w:rsid w:val="00A62ABF"/>
    <w:rsid w:val="00A73016"/>
    <w:rsid w:val="00A76A82"/>
    <w:rsid w:val="00A76C5C"/>
    <w:rsid w:val="00A80308"/>
    <w:rsid w:val="00A81FFC"/>
    <w:rsid w:val="00A82E3B"/>
    <w:rsid w:val="00A84FDB"/>
    <w:rsid w:val="00A86B2F"/>
    <w:rsid w:val="00A90F25"/>
    <w:rsid w:val="00A97842"/>
    <w:rsid w:val="00AA00C0"/>
    <w:rsid w:val="00AA3780"/>
    <w:rsid w:val="00AA56AC"/>
    <w:rsid w:val="00AB0E85"/>
    <w:rsid w:val="00AC193D"/>
    <w:rsid w:val="00AC7940"/>
    <w:rsid w:val="00AD19E0"/>
    <w:rsid w:val="00AD4060"/>
    <w:rsid w:val="00AD4158"/>
    <w:rsid w:val="00AD4464"/>
    <w:rsid w:val="00AE2D47"/>
    <w:rsid w:val="00AE43D6"/>
    <w:rsid w:val="00AE6358"/>
    <w:rsid w:val="00AE6736"/>
    <w:rsid w:val="00AF079D"/>
    <w:rsid w:val="00AF3E95"/>
    <w:rsid w:val="00AF41E1"/>
    <w:rsid w:val="00AF5CA9"/>
    <w:rsid w:val="00B01459"/>
    <w:rsid w:val="00B11339"/>
    <w:rsid w:val="00B15AD0"/>
    <w:rsid w:val="00B15C5A"/>
    <w:rsid w:val="00B24B08"/>
    <w:rsid w:val="00B26B79"/>
    <w:rsid w:val="00B30B9D"/>
    <w:rsid w:val="00B3241B"/>
    <w:rsid w:val="00B35B11"/>
    <w:rsid w:val="00B36E19"/>
    <w:rsid w:val="00B40CF5"/>
    <w:rsid w:val="00B41824"/>
    <w:rsid w:val="00B46C1C"/>
    <w:rsid w:val="00B47D6E"/>
    <w:rsid w:val="00B5467F"/>
    <w:rsid w:val="00B57D95"/>
    <w:rsid w:val="00B61C0C"/>
    <w:rsid w:val="00B62174"/>
    <w:rsid w:val="00B65451"/>
    <w:rsid w:val="00B70649"/>
    <w:rsid w:val="00B70904"/>
    <w:rsid w:val="00B757EC"/>
    <w:rsid w:val="00B83A19"/>
    <w:rsid w:val="00B87B12"/>
    <w:rsid w:val="00B92183"/>
    <w:rsid w:val="00B92548"/>
    <w:rsid w:val="00B92F1F"/>
    <w:rsid w:val="00B96D42"/>
    <w:rsid w:val="00B975F2"/>
    <w:rsid w:val="00BA5F05"/>
    <w:rsid w:val="00BB541E"/>
    <w:rsid w:val="00BB60D6"/>
    <w:rsid w:val="00BC1801"/>
    <w:rsid w:val="00BC23E3"/>
    <w:rsid w:val="00BC3E67"/>
    <w:rsid w:val="00BD35D8"/>
    <w:rsid w:val="00BD40C8"/>
    <w:rsid w:val="00BE1CB2"/>
    <w:rsid w:val="00BE49BF"/>
    <w:rsid w:val="00BE77F7"/>
    <w:rsid w:val="00BE7A99"/>
    <w:rsid w:val="00BF18DC"/>
    <w:rsid w:val="00BF7D04"/>
    <w:rsid w:val="00C11874"/>
    <w:rsid w:val="00C31189"/>
    <w:rsid w:val="00C404EB"/>
    <w:rsid w:val="00C45AC9"/>
    <w:rsid w:val="00C53FB9"/>
    <w:rsid w:val="00C55C23"/>
    <w:rsid w:val="00C55F21"/>
    <w:rsid w:val="00C5797D"/>
    <w:rsid w:val="00C73DE8"/>
    <w:rsid w:val="00C81C6B"/>
    <w:rsid w:val="00C81C90"/>
    <w:rsid w:val="00C81D18"/>
    <w:rsid w:val="00C82083"/>
    <w:rsid w:val="00C8326E"/>
    <w:rsid w:val="00C92E87"/>
    <w:rsid w:val="00CA24B4"/>
    <w:rsid w:val="00CA27DC"/>
    <w:rsid w:val="00CA41F7"/>
    <w:rsid w:val="00CA5D25"/>
    <w:rsid w:val="00CA6F54"/>
    <w:rsid w:val="00CA7E3B"/>
    <w:rsid w:val="00CB34BC"/>
    <w:rsid w:val="00CC5417"/>
    <w:rsid w:val="00CD2BEF"/>
    <w:rsid w:val="00CD50B1"/>
    <w:rsid w:val="00CE63DB"/>
    <w:rsid w:val="00CE7C6D"/>
    <w:rsid w:val="00CF55C8"/>
    <w:rsid w:val="00D01AB6"/>
    <w:rsid w:val="00D0211A"/>
    <w:rsid w:val="00D046C6"/>
    <w:rsid w:val="00D046F1"/>
    <w:rsid w:val="00D13683"/>
    <w:rsid w:val="00D146BD"/>
    <w:rsid w:val="00D166F9"/>
    <w:rsid w:val="00D167BF"/>
    <w:rsid w:val="00D22AC7"/>
    <w:rsid w:val="00D2308A"/>
    <w:rsid w:val="00D27D8B"/>
    <w:rsid w:val="00D31F45"/>
    <w:rsid w:val="00D373E2"/>
    <w:rsid w:val="00D4240B"/>
    <w:rsid w:val="00D44E5A"/>
    <w:rsid w:val="00D57F00"/>
    <w:rsid w:val="00D623D8"/>
    <w:rsid w:val="00D63892"/>
    <w:rsid w:val="00D70256"/>
    <w:rsid w:val="00D73535"/>
    <w:rsid w:val="00D75992"/>
    <w:rsid w:val="00D81FAD"/>
    <w:rsid w:val="00D84097"/>
    <w:rsid w:val="00D8419E"/>
    <w:rsid w:val="00D85EFE"/>
    <w:rsid w:val="00D85FDA"/>
    <w:rsid w:val="00D87DAF"/>
    <w:rsid w:val="00D91A06"/>
    <w:rsid w:val="00D94656"/>
    <w:rsid w:val="00D97E3F"/>
    <w:rsid w:val="00DA5F58"/>
    <w:rsid w:val="00DB1C32"/>
    <w:rsid w:val="00DC0085"/>
    <w:rsid w:val="00DC17C3"/>
    <w:rsid w:val="00DC2D95"/>
    <w:rsid w:val="00DC49FD"/>
    <w:rsid w:val="00DC5ACF"/>
    <w:rsid w:val="00DD25AE"/>
    <w:rsid w:val="00DD4193"/>
    <w:rsid w:val="00DD65DA"/>
    <w:rsid w:val="00DE4010"/>
    <w:rsid w:val="00E03BC8"/>
    <w:rsid w:val="00E0689A"/>
    <w:rsid w:val="00E10301"/>
    <w:rsid w:val="00E1042B"/>
    <w:rsid w:val="00E10CC7"/>
    <w:rsid w:val="00E12C52"/>
    <w:rsid w:val="00E144F9"/>
    <w:rsid w:val="00E154BB"/>
    <w:rsid w:val="00E16C47"/>
    <w:rsid w:val="00E209D4"/>
    <w:rsid w:val="00E24444"/>
    <w:rsid w:val="00E25D63"/>
    <w:rsid w:val="00E32682"/>
    <w:rsid w:val="00E35493"/>
    <w:rsid w:val="00E35E71"/>
    <w:rsid w:val="00E36342"/>
    <w:rsid w:val="00E405B6"/>
    <w:rsid w:val="00E4119F"/>
    <w:rsid w:val="00E41630"/>
    <w:rsid w:val="00E50FDA"/>
    <w:rsid w:val="00E52B01"/>
    <w:rsid w:val="00E53BFA"/>
    <w:rsid w:val="00E5446C"/>
    <w:rsid w:val="00E577F6"/>
    <w:rsid w:val="00E611F8"/>
    <w:rsid w:val="00E621E1"/>
    <w:rsid w:val="00E62628"/>
    <w:rsid w:val="00E64137"/>
    <w:rsid w:val="00E75ACA"/>
    <w:rsid w:val="00E80E0C"/>
    <w:rsid w:val="00E821F9"/>
    <w:rsid w:val="00E827C1"/>
    <w:rsid w:val="00E83783"/>
    <w:rsid w:val="00E84574"/>
    <w:rsid w:val="00E866C6"/>
    <w:rsid w:val="00E97DED"/>
    <w:rsid w:val="00E97E60"/>
    <w:rsid w:val="00EB139C"/>
    <w:rsid w:val="00EC15F6"/>
    <w:rsid w:val="00EC5820"/>
    <w:rsid w:val="00EC6D8C"/>
    <w:rsid w:val="00EC6F29"/>
    <w:rsid w:val="00ED029D"/>
    <w:rsid w:val="00ED11CD"/>
    <w:rsid w:val="00ED7CE4"/>
    <w:rsid w:val="00EE402C"/>
    <w:rsid w:val="00EE5673"/>
    <w:rsid w:val="00EE56AE"/>
    <w:rsid w:val="00EE67EA"/>
    <w:rsid w:val="00EF7463"/>
    <w:rsid w:val="00EF7BD7"/>
    <w:rsid w:val="00F11002"/>
    <w:rsid w:val="00F17013"/>
    <w:rsid w:val="00F215A0"/>
    <w:rsid w:val="00F2527F"/>
    <w:rsid w:val="00F327F5"/>
    <w:rsid w:val="00F36722"/>
    <w:rsid w:val="00F374A4"/>
    <w:rsid w:val="00F37CBA"/>
    <w:rsid w:val="00F4508D"/>
    <w:rsid w:val="00F47016"/>
    <w:rsid w:val="00F63D06"/>
    <w:rsid w:val="00F67913"/>
    <w:rsid w:val="00F6792C"/>
    <w:rsid w:val="00F857F3"/>
    <w:rsid w:val="00F95D83"/>
    <w:rsid w:val="00FA4B9B"/>
    <w:rsid w:val="00FA5943"/>
    <w:rsid w:val="00FB11D8"/>
    <w:rsid w:val="00FB489A"/>
    <w:rsid w:val="00FB52CB"/>
    <w:rsid w:val="00FC17DC"/>
    <w:rsid w:val="00FD72D8"/>
    <w:rsid w:val="00FE20A8"/>
    <w:rsid w:val="00FE3106"/>
    <w:rsid w:val="00FF1A0B"/>
    <w:rsid w:val="00FF1FB2"/>
    <w:rsid w:val="00FF2F67"/>
    <w:rsid w:val="00FF3081"/>
    <w:rsid w:val="00FF4191"/>
    <w:rsid w:val="00FF6E5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5FDA"/>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C81C6B"/>
    <w:rPr>
      <w:color w:val="0563C1" w:themeColor="hyperlink"/>
      <w:u w:val="single"/>
    </w:rPr>
  </w:style>
  <w:style w:type="character" w:customStyle="1" w:styleId="MenoPendente1">
    <w:name w:val="Menção Pendente1"/>
    <w:basedOn w:val="Fontepargpadro"/>
    <w:uiPriority w:val="99"/>
    <w:semiHidden/>
    <w:unhideWhenUsed/>
    <w:rsid w:val="00C81C6B"/>
    <w:rPr>
      <w:color w:val="605E5C"/>
      <w:shd w:val="clear" w:color="auto" w:fill="E1DFDD"/>
    </w:rPr>
  </w:style>
  <w:style w:type="paragraph" w:styleId="Textodenotaderodap">
    <w:name w:val="footnote text"/>
    <w:aliases w:val=" Char Char,Char Char, Char Char Char Char,Nota de rodapé,fn,ALTS FOOTNOTE,Footnote Text Char,footnote text char, Char3,Char3,Texto de rodapé,Char3 Char Char Char Char, Char3 Char Char Char Char, Char3 Char Char,Char3 Char Char,f"/>
    <w:basedOn w:val="Normal"/>
    <w:link w:val="TextodenotaderodapChar"/>
    <w:uiPriority w:val="99"/>
    <w:qFormat/>
    <w:rsid w:val="00B15AD0"/>
    <w:pPr>
      <w:spacing w:after="0" w:line="240" w:lineRule="auto"/>
    </w:pPr>
    <w:rPr>
      <w:rFonts w:ascii="Times New Roman" w:eastAsia="Times New Roman" w:hAnsi="Times New Roman" w:cs="Times New Roman"/>
      <w:sz w:val="20"/>
      <w:szCs w:val="20"/>
      <w:lang w:eastAsia="pt-BR"/>
    </w:rPr>
  </w:style>
  <w:style w:type="character" w:customStyle="1" w:styleId="TextodenotaderodapChar">
    <w:name w:val="Texto de nota de rodapé Char"/>
    <w:aliases w:val=" Char Char Char,Char Char Char, Char Char Char Char Char,Nota de rodapé Char,fn Char,ALTS FOOTNOTE Char,Footnote Text Char Char,footnote text char Char, Char3 Char,Char3 Char,Texto de rodapé Char, Char3 Char Char Char,f Char"/>
    <w:basedOn w:val="Fontepargpadro"/>
    <w:link w:val="Textodenotaderodap"/>
    <w:uiPriority w:val="99"/>
    <w:qFormat/>
    <w:rsid w:val="00B15AD0"/>
    <w:rPr>
      <w:rFonts w:ascii="Times New Roman" w:eastAsia="Times New Roman" w:hAnsi="Times New Roman" w:cs="Times New Roman"/>
      <w:sz w:val="20"/>
      <w:szCs w:val="20"/>
      <w:lang w:eastAsia="pt-BR"/>
    </w:rPr>
  </w:style>
  <w:style w:type="character" w:styleId="Refdenotaderodap">
    <w:name w:val="footnote reference"/>
    <w:aliases w:val="sobrescrito,Ref,de nota al pie,FC,_Footnote Reference,_Footnote text,_Footnote,_Footnote Text,_Footnote base Reference,Footnote symbol,Style 12,(NECG) Footnote Reference,Referência de rodapé,Ref. de nota de rodapé monografia.,fr,o"/>
    <w:link w:val="frCharChar1"/>
    <w:uiPriority w:val="99"/>
    <w:qFormat/>
    <w:rsid w:val="00B15AD0"/>
    <w:rPr>
      <w:vertAlign w:val="superscript"/>
    </w:rPr>
  </w:style>
  <w:style w:type="paragraph" w:styleId="Cabealho">
    <w:name w:val="header"/>
    <w:basedOn w:val="Normal"/>
    <w:link w:val="CabealhoChar"/>
    <w:uiPriority w:val="99"/>
    <w:unhideWhenUsed/>
    <w:rsid w:val="00A327F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27F6"/>
  </w:style>
  <w:style w:type="paragraph" w:styleId="Rodap">
    <w:name w:val="footer"/>
    <w:basedOn w:val="Normal"/>
    <w:link w:val="RodapChar"/>
    <w:uiPriority w:val="99"/>
    <w:unhideWhenUsed/>
    <w:rsid w:val="00A327F6"/>
    <w:pPr>
      <w:tabs>
        <w:tab w:val="center" w:pos="4252"/>
        <w:tab w:val="right" w:pos="8504"/>
      </w:tabs>
      <w:spacing w:after="0" w:line="240" w:lineRule="auto"/>
    </w:pPr>
  </w:style>
  <w:style w:type="character" w:customStyle="1" w:styleId="RodapChar">
    <w:name w:val="Rodapé Char"/>
    <w:basedOn w:val="Fontepargpadro"/>
    <w:link w:val="Rodap"/>
    <w:uiPriority w:val="99"/>
    <w:rsid w:val="00A327F6"/>
  </w:style>
  <w:style w:type="character" w:styleId="Refdecomentrio">
    <w:name w:val="annotation reference"/>
    <w:basedOn w:val="Fontepargpadro"/>
    <w:uiPriority w:val="99"/>
    <w:semiHidden/>
    <w:unhideWhenUsed/>
    <w:rsid w:val="00D87DAF"/>
    <w:rPr>
      <w:sz w:val="16"/>
      <w:szCs w:val="16"/>
    </w:rPr>
  </w:style>
  <w:style w:type="paragraph" w:styleId="Textodecomentrio">
    <w:name w:val="annotation text"/>
    <w:basedOn w:val="Normal"/>
    <w:link w:val="TextodecomentrioChar"/>
    <w:uiPriority w:val="99"/>
    <w:unhideWhenUsed/>
    <w:rsid w:val="00D87DAF"/>
    <w:pPr>
      <w:spacing w:line="240" w:lineRule="auto"/>
    </w:pPr>
    <w:rPr>
      <w:sz w:val="20"/>
      <w:szCs w:val="20"/>
    </w:rPr>
  </w:style>
  <w:style w:type="character" w:customStyle="1" w:styleId="TextodecomentrioChar">
    <w:name w:val="Texto de comentário Char"/>
    <w:basedOn w:val="Fontepargpadro"/>
    <w:link w:val="Textodecomentrio"/>
    <w:uiPriority w:val="99"/>
    <w:rsid w:val="00D87DAF"/>
    <w:rPr>
      <w:sz w:val="20"/>
      <w:szCs w:val="20"/>
    </w:rPr>
  </w:style>
  <w:style w:type="paragraph" w:styleId="Assuntodocomentrio">
    <w:name w:val="annotation subject"/>
    <w:basedOn w:val="Textodecomentrio"/>
    <w:next w:val="Textodecomentrio"/>
    <w:link w:val="AssuntodocomentrioChar"/>
    <w:uiPriority w:val="99"/>
    <w:semiHidden/>
    <w:unhideWhenUsed/>
    <w:rsid w:val="00D87DAF"/>
    <w:rPr>
      <w:b/>
      <w:bCs/>
    </w:rPr>
  </w:style>
  <w:style w:type="character" w:customStyle="1" w:styleId="AssuntodocomentrioChar">
    <w:name w:val="Assunto do comentário Char"/>
    <w:basedOn w:val="TextodecomentrioChar"/>
    <w:link w:val="Assuntodocomentrio"/>
    <w:uiPriority w:val="99"/>
    <w:semiHidden/>
    <w:rsid w:val="00D87DAF"/>
    <w:rPr>
      <w:b/>
      <w:bCs/>
      <w:sz w:val="20"/>
      <w:szCs w:val="20"/>
    </w:rPr>
  </w:style>
  <w:style w:type="paragraph" w:styleId="Textodebalo">
    <w:name w:val="Balloon Text"/>
    <w:basedOn w:val="Normal"/>
    <w:link w:val="TextodebaloChar"/>
    <w:uiPriority w:val="99"/>
    <w:semiHidden/>
    <w:unhideWhenUsed/>
    <w:rsid w:val="002628D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628DD"/>
    <w:rPr>
      <w:rFonts w:ascii="Segoe UI" w:hAnsi="Segoe UI" w:cs="Segoe UI"/>
      <w:sz w:val="18"/>
      <w:szCs w:val="18"/>
    </w:rPr>
  </w:style>
  <w:style w:type="paragraph" w:customStyle="1" w:styleId="recmenor">
    <w:name w:val="rec menor"/>
    <w:basedOn w:val="Normal"/>
    <w:uiPriority w:val="99"/>
    <w:rsid w:val="00C92E87"/>
    <w:pPr>
      <w:widowControl w:val="0"/>
      <w:suppressAutoHyphens/>
      <w:autoSpaceDE w:val="0"/>
      <w:autoSpaceDN w:val="0"/>
      <w:adjustRightInd w:val="0"/>
      <w:spacing w:before="170" w:after="283" w:line="220" w:lineRule="atLeast"/>
      <w:ind w:left="454" w:right="397"/>
      <w:jc w:val="both"/>
      <w:textAlignment w:val="center"/>
    </w:pPr>
    <w:rPr>
      <w:rFonts w:ascii="MinionPro-Regular" w:eastAsiaTheme="minorEastAsia" w:hAnsi="MinionPro-Regular" w:cs="MinionPro-Regular"/>
      <w:color w:val="000000"/>
      <w:w w:val="101"/>
      <w:sz w:val="20"/>
      <w:szCs w:val="20"/>
      <w:lang w:eastAsia="pt-BR"/>
    </w:rPr>
  </w:style>
  <w:style w:type="paragraph" w:customStyle="1" w:styleId="nota">
    <w:name w:val="nota"/>
    <w:basedOn w:val="Normal"/>
    <w:uiPriority w:val="99"/>
    <w:rsid w:val="00C92E87"/>
    <w:pPr>
      <w:widowControl w:val="0"/>
      <w:tabs>
        <w:tab w:val="left" w:pos="320"/>
      </w:tabs>
      <w:autoSpaceDE w:val="0"/>
      <w:autoSpaceDN w:val="0"/>
      <w:adjustRightInd w:val="0"/>
      <w:spacing w:after="57" w:line="200" w:lineRule="atLeast"/>
      <w:ind w:left="227" w:hanging="227"/>
      <w:jc w:val="both"/>
      <w:textAlignment w:val="center"/>
    </w:pPr>
    <w:rPr>
      <w:rFonts w:ascii="MyriadPro-Regular" w:eastAsiaTheme="minorEastAsia" w:hAnsi="MyriadPro-Regular" w:cs="MyriadPro-Regular"/>
      <w:color w:val="000000"/>
      <w:sz w:val="17"/>
      <w:szCs w:val="17"/>
      <w:lang w:eastAsia="pt-BR"/>
    </w:rPr>
  </w:style>
  <w:style w:type="character" w:customStyle="1" w:styleId="italico">
    <w:name w:val="italico"/>
    <w:uiPriority w:val="99"/>
    <w:rsid w:val="00C92E87"/>
    <w:rPr>
      <w:i/>
      <w:color w:val="000000"/>
    </w:rPr>
  </w:style>
  <w:style w:type="character" w:customStyle="1" w:styleId="elevado">
    <w:name w:val="elevado"/>
    <w:uiPriority w:val="99"/>
    <w:rsid w:val="00C92E87"/>
    <w:rPr>
      <w:color w:val="000000"/>
      <w:vertAlign w:val="superscript"/>
    </w:rPr>
  </w:style>
  <w:style w:type="paragraph" w:customStyle="1" w:styleId="t">
    <w:name w:val="t"/>
    <w:basedOn w:val="Normal"/>
    <w:next w:val="Normal"/>
    <w:uiPriority w:val="99"/>
    <w:rsid w:val="00D167BF"/>
    <w:pPr>
      <w:widowControl w:val="0"/>
      <w:autoSpaceDE w:val="0"/>
      <w:autoSpaceDN w:val="0"/>
      <w:adjustRightInd w:val="0"/>
      <w:spacing w:after="57" w:line="240" w:lineRule="atLeast"/>
      <w:ind w:firstLine="454"/>
      <w:jc w:val="both"/>
      <w:textAlignment w:val="center"/>
    </w:pPr>
    <w:rPr>
      <w:rFonts w:ascii="MinionPro-Regular" w:eastAsiaTheme="minorEastAsia" w:hAnsi="MinionPro-Regular" w:cs="MinionPro-Regular"/>
      <w:color w:val="000000"/>
      <w:sz w:val="21"/>
      <w:szCs w:val="21"/>
      <w:lang w:eastAsia="pt-BR"/>
    </w:rPr>
  </w:style>
  <w:style w:type="paragraph" w:styleId="PargrafodaLista">
    <w:name w:val="List Paragraph"/>
    <w:basedOn w:val="Normal"/>
    <w:uiPriority w:val="34"/>
    <w:qFormat/>
    <w:rsid w:val="00FC17DC"/>
    <w:pPr>
      <w:ind w:left="720"/>
      <w:contextualSpacing/>
    </w:pPr>
  </w:style>
  <w:style w:type="paragraph" w:styleId="Reviso">
    <w:name w:val="Revision"/>
    <w:hidden/>
    <w:uiPriority w:val="99"/>
    <w:semiHidden/>
    <w:rsid w:val="00174761"/>
    <w:pPr>
      <w:spacing w:after="0" w:line="240" w:lineRule="auto"/>
    </w:pPr>
  </w:style>
  <w:style w:type="paragraph" w:customStyle="1" w:styleId="recmenorfim">
    <w:name w:val="rec menor fim"/>
    <w:basedOn w:val="t"/>
    <w:uiPriority w:val="99"/>
    <w:rsid w:val="00A97842"/>
    <w:pPr>
      <w:suppressAutoHyphens/>
      <w:spacing w:after="283" w:line="220" w:lineRule="atLeast"/>
      <w:ind w:left="454" w:right="397" w:firstLine="0"/>
    </w:pPr>
    <w:rPr>
      <w:rFonts w:eastAsia="Times New Roman"/>
      <w:sz w:val="20"/>
      <w:szCs w:val="20"/>
    </w:rPr>
  </w:style>
  <w:style w:type="paragraph" w:customStyle="1" w:styleId="recmenorinicio">
    <w:name w:val="rec menor inicio"/>
    <w:basedOn w:val="t"/>
    <w:uiPriority w:val="99"/>
    <w:rsid w:val="00A97842"/>
    <w:pPr>
      <w:suppressAutoHyphens/>
      <w:spacing w:before="170" w:line="220" w:lineRule="atLeast"/>
      <w:ind w:left="454" w:right="397" w:firstLine="0"/>
    </w:pPr>
    <w:rPr>
      <w:rFonts w:eastAsia="Times New Roman"/>
      <w:sz w:val="20"/>
      <w:szCs w:val="20"/>
    </w:rPr>
  </w:style>
  <w:style w:type="paragraph" w:customStyle="1" w:styleId="recmenormeio">
    <w:name w:val="rec menor meio"/>
    <w:basedOn w:val="t"/>
    <w:uiPriority w:val="99"/>
    <w:rsid w:val="00A97842"/>
    <w:pPr>
      <w:suppressAutoHyphens/>
      <w:spacing w:line="220" w:lineRule="atLeast"/>
      <w:ind w:left="454" w:right="397" w:firstLine="0"/>
    </w:pPr>
    <w:rPr>
      <w:rFonts w:eastAsia="Times New Roman"/>
      <w:sz w:val="20"/>
      <w:szCs w:val="20"/>
    </w:rPr>
  </w:style>
  <w:style w:type="paragraph" w:customStyle="1" w:styleId="07-Citaolegal-CLG">
    <w:name w:val="07 - Citação legal - CLG"/>
    <w:qFormat/>
    <w:rsid w:val="00E5446C"/>
    <w:pPr>
      <w:spacing w:after="120" w:line="240" w:lineRule="auto"/>
      <w:ind w:left="1985" w:firstLine="567"/>
      <w:jc w:val="both"/>
    </w:pPr>
    <w:rPr>
      <w:rFonts w:ascii="Times New Roman" w:eastAsia="Times New Roman" w:hAnsi="Times New Roman" w:cs="Times New Roman"/>
      <w:bCs/>
      <w:sz w:val="24"/>
      <w:szCs w:val="20"/>
      <w:lang w:eastAsia="pt-BR"/>
    </w:rPr>
  </w:style>
  <w:style w:type="character" w:customStyle="1" w:styleId="MenoPendente2">
    <w:name w:val="Menção Pendente2"/>
    <w:basedOn w:val="Fontepargpadro"/>
    <w:uiPriority w:val="99"/>
    <w:semiHidden/>
    <w:unhideWhenUsed/>
    <w:rsid w:val="008B65F8"/>
    <w:rPr>
      <w:color w:val="605E5C"/>
      <w:shd w:val="clear" w:color="auto" w:fill="E1DFDD"/>
    </w:rPr>
  </w:style>
  <w:style w:type="paragraph" w:customStyle="1" w:styleId="05-PargrafodetextoPROJETO-CLG">
    <w:name w:val="05 - Parágrafo de texto PROJETO- CLG"/>
    <w:qFormat/>
    <w:rsid w:val="00B62174"/>
    <w:pPr>
      <w:spacing w:after="360" w:line="240" w:lineRule="auto"/>
      <w:ind w:firstLine="1418"/>
      <w:jc w:val="both"/>
    </w:pPr>
    <w:rPr>
      <w:rFonts w:ascii="Times New Roman" w:eastAsia="Times New Roman" w:hAnsi="Times New Roman" w:cs="Times New Roman"/>
      <w:sz w:val="28"/>
      <w:szCs w:val="20"/>
      <w:lang w:eastAsia="pt-BR"/>
    </w:rPr>
  </w:style>
  <w:style w:type="paragraph" w:customStyle="1" w:styleId="frCharChar1">
    <w:name w:val="fr Char Char1"/>
    <w:aliases w:val="fr Char Char Char, Char Char6 Char Char Char Char Char Char Char Char Char Char Char, Char6 Char Char Char Char Char Char Char Char Char Char Char Char,Char Char6 Char Char Char Char Char Char Char Char Char Char Char"/>
    <w:basedOn w:val="Normal"/>
    <w:link w:val="Refdenotaderodap"/>
    <w:uiPriority w:val="99"/>
    <w:rsid w:val="00B62174"/>
    <w:pPr>
      <w:spacing w:after="120" w:line="360" w:lineRule="auto"/>
      <w:jc w:val="center"/>
    </w:pPr>
    <w:rPr>
      <w:vertAlign w:val="superscript"/>
    </w:rPr>
  </w:style>
  <w:style w:type="paragraph" w:styleId="Textodenotadefim">
    <w:name w:val="endnote text"/>
    <w:basedOn w:val="Normal"/>
    <w:link w:val="TextodenotadefimChar"/>
    <w:uiPriority w:val="99"/>
    <w:semiHidden/>
    <w:unhideWhenUsed/>
    <w:rsid w:val="00E4119F"/>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E4119F"/>
    <w:rPr>
      <w:sz w:val="20"/>
      <w:szCs w:val="20"/>
    </w:rPr>
  </w:style>
  <w:style w:type="character" w:styleId="Refdenotadefim">
    <w:name w:val="endnote reference"/>
    <w:basedOn w:val="Fontepargpadro"/>
    <w:uiPriority w:val="99"/>
    <w:semiHidden/>
    <w:unhideWhenUsed/>
    <w:rsid w:val="00E4119F"/>
    <w:rPr>
      <w:vertAlign w:val="superscript"/>
    </w:rPr>
  </w:style>
</w:styles>
</file>

<file path=word/webSettings.xml><?xml version="1.0" encoding="utf-8"?>
<w:webSettings xmlns:r="http://schemas.openxmlformats.org/officeDocument/2006/relationships" xmlns:w="http://schemas.openxmlformats.org/wordprocessingml/2006/main">
  <w:divs>
    <w:div w:id="2009480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11/relationships/people" Target="peop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E5E674-578E-4287-A4B6-237BA3E8C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2590</Words>
  <Characters>13987</Characters>
  <Application>Microsoft Office Word</Application>
  <DocSecurity>0</DocSecurity>
  <Lines>116</Lines>
  <Paragraphs>33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lider</dc:creator>
  <cp:lastModifiedBy>Flavio</cp:lastModifiedBy>
  <cp:revision>6</cp:revision>
  <dcterms:created xsi:type="dcterms:W3CDTF">2025-07-02T15:27:00Z</dcterms:created>
  <dcterms:modified xsi:type="dcterms:W3CDTF">2025-07-02T15:35:00Z</dcterms:modified>
</cp:coreProperties>
</file>