
<file path=[Content_Types].xml><?xml version="1.0" encoding="utf-8"?>
<Types xmlns="http://schemas.openxmlformats.org/package/2006/content-types">
  <Override PartName="/word/footnotes.xml" ContentType="application/vnd.openxmlformats-officedocument.wordprocessingml.footnotes+xml"/>
  <Override PartName="/word/commentsExtensible.xml" ContentType="application/vnd.openxmlformats-officedocument.wordprocessingml.commentsExtensible+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55E5" w:rsidRPr="004A41F5" w:rsidRDefault="00435387" w:rsidP="005655E5">
      <w:pPr>
        <w:spacing w:before="120" w:after="120" w:line="360" w:lineRule="auto"/>
        <w:jc w:val="center"/>
        <w:rPr>
          <w:rFonts w:ascii="Times New Roman" w:hAnsi="Times New Roman" w:cs="Times New Roman"/>
          <w:b/>
          <w:bCs/>
          <w:sz w:val="24"/>
          <w:szCs w:val="24"/>
        </w:rPr>
      </w:pPr>
      <w:r>
        <w:rPr>
          <w:rFonts w:ascii="Times New Roman" w:hAnsi="Times New Roman" w:cs="Times New Roman"/>
          <w:b/>
          <w:bCs/>
          <w:sz w:val="24"/>
          <w:szCs w:val="24"/>
        </w:rPr>
        <w:t>A</w:t>
      </w:r>
      <w:r w:rsidR="00BB4E30">
        <w:rPr>
          <w:rFonts w:ascii="Times New Roman" w:hAnsi="Times New Roman" w:cs="Times New Roman"/>
          <w:b/>
          <w:bCs/>
          <w:sz w:val="24"/>
          <w:szCs w:val="24"/>
        </w:rPr>
        <w:t xml:space="preserve"> </w:t>
      </w:r>
      <w:r w:rsidR="005655E5">
        <w:rPr>
          <w:rFonts w:ascii="Times New Roman" w:hAnsi="Times New Roman" w:cs="Times New Roman"/>
          <w:b/>
          <w:bCs/>
          <w:sz w:val="24"/>
          <w:szCs w:val="24"/>
        </w:rPr>
        <w:t xml:space="preserve">INDIGNIDADE SUCESSÓRIA E </w:t>
      </w:r>
      <w:r w:rsidR="00316E4B">
        <w:rPr>
          <w:rFonts w:ascii="Times New Roman" w:hAnsi="Times New Roman" w:cs="Times New Roman"/>
          <w:b/>
          <w:bCs/>
          <w:sz w:val="24"/>
          <w:szCs w:val="24"/>
        </w:rPr>
        <w:t>A</w:t>
      </w:r>
      <w:r w:rsidR="00BB4E30">
        <w:rPr>
          <w:rFonts w:ascii="Times New Roman" w:hAnsi="Times New Roman" w:cs="Times New Roman"/>
          <w:b/>
          <w:bCs/>
          <w:sz w:val="24"/>
          <w:szCs w:val="24"/>
        </w:rPr>
        <w:t xml:space="preserve"> </w:t>
      </w:r>
      <w:r w:rsidR="005655E5">
        <w:rPr>
          <w:rFonts w:ascii="Times New Roman" w:hAnsi="Times New Roman" w:cs="Times New Roman"/>
          <w:b/>
          <w:bCs/>
          <w:sz w:val="24"/>
          <w:szCs w:val="24"/>
        </w:rPr>
        <w:t xml:space="preserve">DESERDAÇÃO NO PROJETO DE REFORMA DO CÓDIGO CIVIL </w:t>
      </w:r>
    </w:p>
    <w:p w:rsidR="005655E5" w:rsidRPr="004A41F5" w:rsidRDefault="005655E5" w:rsidP="005655E5">
      <w:pPr>
        <w:spacing w:before="120" w:after="120" w:line="360" w:lineRule="auto"/>
        <w:ind w:firstLine="1701"/>
        <w:jc w:val="right"/>
        <w:rPr>
          <w:rFonts w:ascii="Times New Roman" w:hAnsi="Times New Roman" w:cs="Times New Roman"/>
          <w:bCs/>
          <w:sz w:val="24"/>
          <w:szCs w:val="24"/>
        </w:rPr>
      </w:pPr>
    </w:p>
    <w:p w:rsidR="005655E5" w:rsidRPr="004A41F5" w:rsidRDefault="005655E5" w:rsidP="005655E5">
      <w:pPr>
        <w:spacing w:before="120" w:after="120" w:line="360" w:lineRule="auto"/>
        <w:ind w:firstLine="1701"/>
        <w:jc w:val="right"/>
        <w:rPr>
          <w:rFonts w:ascii="Times New Roman" w:hAnsi="Times New Roman" w:cs="Times New Roman"/>
          <w:bCs/>
          <w:sz w:val="24"/>
          <w:szCs w:val="24"/>
        </w:rPr>
      </w:pPr>
      <w:r w:rsidRPr="004A41F5">
        <w:rPr>
          <w:rFonts w:ascii="Times New Roman" w:hAnsi="Times New Roman" w:cs="Times New Roman"/>
          <w:bCs/>
          <w:sz w:val="24"/>
          <w:szCs w:val="24"/>
        </w:rPr>
        <w:t>Flávio Tartuce</w:t>
      </w:r>
      <w:r w:rsidRPr="004A41F5">
        <w:rPr>
          <w:rFonts w:ascii="Times New Roman" w:hAnsi="Times New Roman" w:cs="Times New Roman"/>
          <w:bCs/>
          <w:sz w:val="24"/>
          <w:szCs w:val="24"/>
          <w:vertAlign w:val="superscript"/>
        </w:rPr>
        <w:footnoteReference w:id="1"/>
      </w:r>
    </w:p>
    <w:p w:rsidR="00D404B8" w:rsidRDefault="00D404B8" w:rsidP="005655E5">
      <w:pPr>
        <w:pStyle w:val="t"/>
        <w:spacing w:before="120" w:after="120" w:line="360" w:lineRule="auto"/>
        <w:ind w:firstLine="1701"/>
        <w:rPr>
          <w:rFonts w:ascii="Times New Roman" w:hAnsi="Times New Roman" w:cs="Times New Roman"/>
          <w:spacing w:val="-2"/>
          <w:sz w:val="24"/>
          <w:szCs w:val="24"/>
        </w:rPr>
      </w:pPr>
    </w:p>
    <w:p w:rsidR="005655E5" w:rsidRPr="005655E5" w:rsidRDefault="00BB4E30" w:rsidP="005655E5">
      <w:pPr>
        <w:pStyle w:val="t"/>
        <w:spacing w:before="120" w:after="120" w:line="360" w:lineRule="auto"/>
        <w:ind w:firstLine="1701"/>
        <w:rPr>
          <w:rStyle w:val="elevado"/>
          <w:rFonts w:ascii="Times New Roman" w:hAnsi="Times New Roman" w:cs="Times New Roman"/>
          <w:spacing w:val="-2"/>
          <w:sz w:val="24"/>
          <w:szCs w:val="24"/>
        </w:rPr>
      </w:pPr>
      <w:r>
        <w:rPr>
          <w:rFonts w:ascii="Times New Roman" w:hAnsi="Times New Roman" w:cs="Times New Roman"/>
          <w:spacing w:val="-2"/>
          <w:sz w:val="24"/>
          <w:szCs w:val="24"/>
        </w:rPr>
        <w:t>Como se sabe, e</w:t>
      </w:r>
      <w:r w:rsidR="005655E5" w:rsidRPr="005655E5">
        <w:rPr>
          <w:rFonts w:ascii="Times New Roman" w:hAnsi="Times New Roman" w:cs="Times New Roman"/>
          <w:spacing w:val="-2"/>
          <w:sz w:val="24"/>
          <w:szCs w:val="24"/>
        </w:rPr>
        <w:t xml:space="preserve">xistem situações previstas em lei, somadas ou não a ato de última vontade do autor da herança, em que é excluído o direito sucessório do herdeiro ou legatário. Nesse contexto surgem os conceitos de </w:t>
      </w:r>
      <w:r w:rsidR="005655E5" w:rsidRPr="003403B2">
        <w:rPr>
          <w:rFonts w:ascii="Times New Roman" w:hAnsi="Times New Roman" w:cs="Times New Roman"/>
          <w:i/>
          <w:spacing w:val="-2"/>
          <w:sz w:val="24"/>
          <w:szCs w:val="24"/>
        </w:rPr>
        <w:t>indignidade sucessória</w:t>
      </w:r>
      <w:r w:rsidR="005655E5" w:rsidRPr="005655E5">
        <w:rPr>
          <w:rFonts w:ascii="Times New Roman" w:hAnsi="Times New Roman" w:cs="Times New Roman"/>
          <w:spacing w:val="-2"/>
          <w:sz w:val="24"/>
          <w:szCs w:val="24"/>
        </w:rPr>
        <w:t xml:space="preserve"> e </w:t>
      </w:r>
      <w:r w:rsidR="003403B2">
        <w:rPr>
          <w:rFonts w:ascii="Times New Roman" w:hAnsi="Times New Roman" w:cs="Times New Roman"/>
          <w:spacing w:val="-2"/>
          <w:sz w:val="24"/>
          <w:szCs w:val="24"/>
        </w:rPr>
        <w:t xml:space="preserve">de </w:t>
      </w:r>
      <w:r w:rsidR="005655E5" w:rsidRPr="003403B2">
        <w:rPr>
          <w:rFonts w:ascii="Times New Roman" w:hAnsi="Times New Roman" w:cs="Times New Roman"/>
          <w:i/>
          <w:spacing w:val="-2"/>
          <w:sz w:val="24"/>
          <w:szCs w:val="24"/>
        </w:rPr>
        <w:t>deserdação</w:t>
      </w:r>
      <w:r w:rsidR="005655E5" w:rsidRPr="005655E5">
        <w:rPr>
          <w:rFonts w:ascii="Times New Roman" w:hAnsi="Times New Roman" w:cs="Times New Roman"/>
          <w:spacing w:val="-2"/>
          <w:sz w:val="24"/>
          <w:szCs w:val="24"/>
        </w:rPr>
        <w:t xml:space="preserve"> como penas civis. </w:t>
      </w:r>
      <w:r w:rsidR="005655E5">
        <w:rPr>
          <w:rFonts w:ascii="Times New Roman" w:hAnsi="Times New Roman" w:cs="Times New Roman"/>
          <w:spacing w:val="-2"/>
          <w:sz w:val="24"/>
          <w:szCs w:val="24"/>
        </w:rPr>
        <w:t>Essas categorias não se confundem com a</w:t>
      </w:r>
      <w:r w:rsidR="005655E5" w:rsidRPr="005655E5">
        <w:rPr>
          <w:rFonts w:ascii="Times New Roman" w:hAnsi="Times New Roman" w:cs="Times New Roman"/>
          <w:spacing w:val="-2"/>
          <w:sz w:val="24"/>
          <w:szCs w:val="24"/>
        </w:rPr>
        <w:t xml:space="preserve"> falta de </w:t>
      </w:r>
      <w:r w:rsidR="005655E5" w:rsidRPr="005655E5">
        <w:rPr>
          <w:rStyle w:val="italico"/>
          <w:rFonts w:ascii="Times New Roman" w:hAnsi="Times New Roman" w:cs="Times New Roman"/>
          <w:iCs/>
          <w:spacing w:val="-2"/>
          <w:sz w:val="24"/>
          <w:szCs w:val="24"/>
        </w:rPr>
        <w:t>legitimação</w:t>
      </w:r>
      <w:r w:rsidR="005655E5" w:rsidRPr="005655E5">
        <w:rPr>
          <w:rFonts w:ascii="Times New Roman" w:hAnsi="Times New Roman" w:cs="Times New Roman"/>
          <w:spacing w:val="-2"/>
          <w:sz w:val="24"/>
          <w:szCs w:val="24"/>
        </w:rPr>
        <w:t xml:space="preserve"> para suceder</w:t>
      </w:r>
      <w:r w:rsidR="005655E5">
        <w:rPr>
          <w:rFonts w:ascii="Times New Roman" w:hAnsi="Times New Roman" w:cs="Times New Roman"/>
          <w:spacing w:val="-2"/>
          <w:sz w:val="24"/>
          <w:szCs w:val="24"/>
        </w:rPr>
        <w:t>, pois</w:t>
      </w:r>
      <w:r w:rsidR="003403B2">
        <w:rPr>
          <w:rFonts w:ascii="Times New Roman" w:hAnsi="Times New Roman" w:cs="Times New Roman"/>
          <w:spacing w:val="-2"/>
          <w:sz w:val="24"/>
          <w:szCs w:val="24"/>
        </w:rPr>
        <w:t xml:space="preserve"> ne</w:t>
      </w:r>
      <w:r w:rsidR="00435387">
        <w:rPr>
          <w:rFonts w:ascii="Times New Roman" w:hAnsi="Times New Roman" w:cs="Times New Roman"/>
          <w:spacing w:val="-2"/>
          <w:sz w:val="24"/>
          <w:szCs w:val="24"/>
        </w:rPr>
        <w:t>ste</w:t>
      </w:r>
      <w:r w:rsidR="003403B2">
        <w:rPr>
          <w:rFonts w:ascii="Times New Roman" w:hAnsi="Times New Roman" w:cs="Times New Roman"/>
          <w:spacing w:val="-2"/>
          <w:sz w:val="24"/>
          <w:szCs w:val="24"/>
        </w:rPr>
        <w:t xml:space="preserve"> caso</w:t>
      </w:r>
      <w:r w:rsidR="005655E5">
        <w:rPr>
          <w:rFonts w:ascii="Times New Roman" w:hAnsi="Times New Roman" w:cs="Times New Roman"/>
          <w:spacing w:val="-2"/>
          <w:sz w:val="24"/>
          <w:szCs w:val="24"/>
        </w:rPr>
        <w:t xml:space="preserve"> há </w:t>
      </w:r>
      <w:r w:rsidR="005655E5" w:rsidRPr="005655E5">
        <w:rPr>
          <w:rFonts w:ascii="Times New Roman" w:hAnsi="Times New Roman" w:cs="Times New Roman"/>
          <w:spacing w:val="-2"/>
          <w:sz w:val="24"/>
          <w:szCs w:val="24"/>
        </w:rPr>
        <w:t xml:space="preserve">um afastamento do direito </w:t>
      </w:r>
      <w:r w:rsidR="005655E5">
        <w:rPr>
          <w:rFonts w:ascii="Times New Roman" w:hAnsi="Times New Roman" w:cs="Times New Roman"/>
          <w:spacing w:val="-2"/>
          <w:sz w:val="24"/>
          <w:szCs w:val="24"/>
        </w:rPr>
        <w:t xml:space="preserve">à herança </w:t>
      </w:r>
      <w:r w:rsidR="005655E5" w:rsidRPr="005655E5">
        <w:rPr>
          <w:rFonts w:ascii="Times New Roman" w:hAnsi="Times New Roman" w:cs="Times New Roman"/>
          <w:spacing w:val="-2"/>
          <w:sz w:val="24"/>
          <w:szCs w:val="24"/>
        </w:rPr>
        <w:t>por razão de ordem objetiva</w:t>
      </w:r>
      <w:r w:rsidR="00BB4E08">
        <w:rPr>
          <w:rFonts w:ascii="Times New Roman" w:hAnsi="Times New Roman" w:cs="Times New Roman"/>
          <w:spacing w:val="-2"/>
          <w:sz w:val="24"/>
          <w:szCs w:val="24"/>
        </w:rPr>
        <w:t xml:space="preserve">, </w:t>
      </w:r>
      <w:r w:rsidR="005655E5">
        <w:rPr>
          <w:rFonts w:ascii="Times New Roman" w:hAnsi="Times New Roman" w:cs="Times New Roman"/>
          <w:spacing w:val="-2"/>
          <w:sz w:val="24"/>
          <w:szCs w:val="24"/>
        </w:rPr>
        <w:t xml:space="preserve">enquanto </w:t>
      </w:r>
      <w:r w:rsidR="005655E5" w:rsidRPr="005655E5">
        <w:rPr>
          <w:rFonts w:ascii="Times New Roman" w:hAnsi="Times New Roman" w:cs="Times New Roman"/>
          <w:spacing w:val="-2"/>
          <w:sz w:val="24"/>
          <w:szCs w:val="24"/>
        </w:rPr>
        <w:t xml:space="preserve">na indignidade e na deserdação há uma razão subjetiva de afastamento, uma vez que o herdeiro é considerado </w:t>
      </w:r>
      <w:r w:rsidR="005655E5" w:rsidRPr="005655E5">
        <w:rPr>
          <w:rFonts w:ascii="Times New Roman" w:hAnsi="Times New Roman" w:cs="Times New Roman"/>
          <w:i/>
          <w:spacing w:val="-2"/>
          <w:sz w:val="24"/>
          <w:szCs w:val="24"/>
        </w:rPr>
        <w:t>desprovido de moral</w:t>
      </w:r>
      <w:r w:rsidR="005655E5" w:rsidRPr="005655E5">
        <w:rPr>
          <w:rFonts w:ascii="Times New Roman" w:hAnsi="Times New Roman" w:cs="Times New Roman"/>
          <w:spacing w:val="-2"/>
          <w:sz w:val="24"/>
          <w:szCs w:val="24"/>
        </w:rPr>
        <w:t xml:space="preserve"> para receber a herança, diante de </w:t>
      </w:r>
      <w:r w:rsidR="00435387">
        <w:rPr>
          <w:rFonts w:ascii="Times New Roman" w:hAnsi="Times New Roman" w:cs="Times New Roman"/>
          <w:spacing w:val="-2"/>
          <w:sz w:val="24"/>
          <w:szCs w:val="24"/>
        </w:rPr>
        <w:t xml:space="preserve">sua </w:t>
      </w:r>
      <w:r w:rsidR="005655E5" w:rsidRPr="005655E5">
        <w:rPr>
          <w:rFonts w:ascii="Times New Roman" w:hAnsi="Times New Roman" w:cs="Times New Roman"/>
          <w:spacing w:val="-2"/>
          <w:sz w:val="24"/>
          <w:szCs w:val="24"/>
        </w:rPr>
        <w:t>infeliz atitude</w:t>
      </w:r>
      <w:r w:rsidR="00435387">
        <w:rPr>
          <w:rFonts w:ascii="Times New Roman" w:hAnsi="Times New Roman" w:cs="Times New Roman"/>
          <w:spacing w:val="-2"/>
          <w:sz w:val="24"/>
          <w:szCs w:val="24"/>
        </w:rPr>
        <w:t xml:space="preserve">. </w:t>
      </w:r>
    </w:p>
    <w:p w:rsidR="00435387" w:rsidRDefault="005655E5" w:rsidP="005655E5">
      <w:pPr>
        <w:pStyle w:val="t"/>
        <w:spacing w:before="120" w:after="120" w:line="360" w:lineRule="auto"/>
        <w:ind w:firstLine="1701"/>
        <w:rPr>
          <w:rFonts w:ascii="Times New Roman" w:hAnsi="Times New Roman" w:cs="Times New Roman"/>
          <w:sz w:val="24"/>
          <w:szCs w:val="24"/>
        </w:rPr>
      </w:pPr>
      <w:r w:rsidRPr="005655E5">
        <w:rPr>
          <w:rFonts w:ascii="Times New Roman" w:hAnsi="Times New Roman" w:cs="Times New Roman"/>
          <w:sz w:val="24"/>
          <w:szCs w:val="24"/>
        </w:rPr>
        <w:t>A diferença inicial fundamental entre a exclusão por indignidade sucessória e a deserdação é que no primeiro caso o isolamento sucessório se dá por simples incidência da norma e por decisão judicial, o que pode atingir qualquer herdeiro (art. 1.815 do CC). Pelo mesmo dispositivo</w:t>
      </w:r>
      <w:r w:rsidR="00BB4E08">
        <w:rPr>
          <w:rFonts w:ascii="Times New Roman" w:hAnsi="Times New Roman" w:cs="Times New Roman"/>
          <w:sz w:val="24"/>
          <w:szCs w:val="24"/>
        </w:rPr>
        <w:t xml:space="preserve"> do</w:t>
      </w:r>
      <w:r w:rsidRPr="005655E5">
        <w:rPr>
          <w:rFonts w:ascii="Times New Roman" w:hAnsi="Times New Roman" w:cs="Times New Roman"/>
          <w:sz w:val="24"/>
          <w:szCs w:val="24"/>
        </w:rPr>
        <w:t xml:space="preserve"> Código Civil, o direito de demandar a exclusão do herdeiro ou legatário extingue-se no prazo decadencial de quatro anos, contados da abertura da sucessão (§ 1.º). </w:t>
      </w:r>
    </w:p>
    <w:p w:rsidR="005655E5" w:rsidRPr="005655E5" w:rsidRDefault="005655E5" w:rsidP="005655E5">
      <w:pPr>
        <w:pStyle w:val="t"/>
        <w:spacing w:before="120" w:after="120" w:line="360" w:lineRule="auto"/>
        <w:ind w:firstLine="1701"/>
        <w:rPr>
          <w:rFonts w:ascii="Times New Roman" w:hAnsi="Times New Roman" w:cs="Times New Roman"/>
          <w:sz w:val="24"/>
          <w:szCs w:val="24"/>
        </w:rPr>
      </w:pPr>
      <w:r w:rsidRPr="005655E5">
        <w:rPr>
          <w:rFonts w:ascii="Times New Roman" w:hAnsi="Times New Roman" w:cs="Times New Roman"/>
          <w:spacing w:val="-2"/>
          <w:sz w:val="24"/>
          <w:szCs w:val="24"/>
        </w:rPr>
        <w:t xml:space="preserve">Em agosto de 2023, em boa hora e em prol da economia processual, surgiu a Lei </w:t>
      </w:r>
      <w:r w:rsidR="00BB4E08">
        <w:rPr>
          <w:rFonts w:ascii="Times New Roman" w:hAnsi="Times New Roman" w:cs="Times New Roman"/>
          <w:spacing w:val="-2"/>
          <w:sz w:val="24"/>
          <w:szCs w:val="24"/>
        </w:rPr>
        <w:t xml:space="preserve">n. </w:t>
      </w:r>
      <w:r w:rsidRPr="005655E5">
        <w:rPr>
          <w:rFonts w:ascii="Times New Roman" w:hAnsi="Times New Roman" w:cs="Times New Roman"/>
          <w:spacing w:val="-2"/>
          <w:sz w:val="24"/>
          <w:szCs w:val="24"/>
        </w:rPr>
        <w:t xml:space="preserve">14.661, que incluiu o novo art. 1.815-A no Código Civil, determinando que, em havendo indignidade, o trânsito em julgado da sentença penal condenatória prévia acarretará a exclusão imediata do herdeiro ou legatário considerado indigno. </w:t>
      </w:r>
      <w:r>
        <w:rPr>
          <w:rFonts w:ascii="Times New Roman" w:hAnsi="Times New Roman" w:cs="Times New Roman"/>
          <w:spacing w:val="-2"/>
          <w:sz w:val="24"/>
          <w:szCs w:val="24"/>
        </w:rPr>
        <w:t xml:space="preserve">Nos seus termos, </w:t>
      </w:r>
      <w:r w:rsidR="003403B2">
        <w:rPr>
          <w:rFonts w:ascii="Times New Roman" w:hAnsi="Times New Roman" w:cs="Times New Roman"/>
          <w:spacing w:val="-2"/>
          <w:sz w:val="24"/>
          <w:szCs w:val="24"/>
        </w:rPr>
        <w:t>"</w:t>
      </w:r>
      <w:r>
        <w:rPr>
          <w:rFonts w:ascii="Times New Roman" w:hAnsi="Times New Roman" w:cs="Times New Roman"/>
          <w:spacing w:val="-2"/>
          <w:sz w:val="24"/>
          <w:szCs w:val="24"/>
        </w:rPr>
        <w:t>e</w:t>
      </w:r>
      <w:r w:rsidRPr="005655E5">
        <w:rPr>
          <w:rFonts w:ascii="Times New Roman" w:hAnsi="Times New Roman" w:cs="Times New Roman"/>
          <w:sz w:val="24"/>
          <w:szCs w:val="24"/>
        </w:rPr>
        <w:t xml:space="preserve">m qualquer dos casos de indignidade previstos no art. 1.814, o trânsito em julgado da sentença penal condenatória acarretará a imediata exclusão do herdeiro ou legatário indigno, independentemente da sentença prevista no </w:t>
      </w:r>
      <w:r w:rsidRPr="005655E5">
        <w:rPr>
          <w:rStyle w:val="italico"/>
          <w:rFonts w:ascii="Times New Roman" w:hAnsi="Times New Roman" w:cs="Times New Roman"/>
          <w:iCs/>
          <w:sz w:val="24"/>
          <w:szCs w:val="24"/>
        </w:rPr>
        <w:t>caput</w:t>
      </w:r>
      <w:r w:rsidRPr="005655E5">
        <w:rPr>
          <w:rFonts w:ascii="Times New Roman" w:hAnsi="Times New Roman" w:cs="Times New Roman"/>
          <w:sz w:val="24"/>
          <w:szCs w:val="24"/>
        </w:rPr>
        <w:t xml:space="preserve"> do art. 1.815 deste Código</w:t>
      </w:r>
      <w:r w:rsidR="003403B2">
        <w:rPr>
          <w:rFonts w:ascii="Times New Roman" w:hAnsi="Times New Roman" w:cs="Times New Roman"/>
          <w:sz w:val="24"/>
          <w:szCs w:val="24"/>
        </w:rPr>
        <w:t>"</w:t>
      </w:r>
      <w:r w:rsidRPr="005655E5">
        <w:rPr>
          <w:rFonts w:ascii="Times New Roman" w:hAnsi="Times New Roman" w:cs="Times New Roman"/>
          <w:sz w:val="24"/>
          <w:szCs w:val="24"/>
        </w:rPr>
        <w:t>.</w:t>
      </w:r>
    </w:p>
    <w:p w:rsidR="005655E5" w:rsidRPr="005655E5" w:rsidRDefault="005655E5" w:rsidP="005655E5">
      <w:pPr>
        <w:pStyle w:val="t"/>
        <w:spacing w:before="120" w:after="120" w:line="360" w:lineRule="auto"/>
        <w:ind w:firstLine="1701"/>
        <w:rPr>
          <w:rFonts w:ascii="Times New Roman" w:hAnsi="Times New Roman" w:cs="Times New Roman"/>
          <w:sz w:val="24"/>
          <w:szCs w:val="24"/>
        </w:rPr>
      </w:pPr>
      <w:r w:rsidRPr="005655E5">
        <w:rPr>
          <w:rFonts w:ascii="Times New Roman" w:hAnsi="Times New Roman" w:cs="Times New Roman"/>
          <w:sz w:val="24"/>
          <w:szCs w:val="24"/>
        </w:rPr>
        <w:lastRenderedPageBreak/>
        <w:t>Dessa forma, perde</w:t>
      </w:r>
      <w:r w:rsidR="00435387">
        <w:rPr>
          <w:rFonts w:ascii="Times New Roman" w:hAnsi="Times New Roman" w:cs="Times New Roman"/>
          <w:sz w:val="24"/>
          <w:szCs w:val="24"/>
        </w:rPr>
        <w:t>u</w:t>
      </w:r>
      <w:r w:rsidR="00BB4E08">
        <w:rPr>
          <w:rFonts w:ascii="Times New Roman" w:hAnsi="Times New Roman" w:cs="Times New Roman"/>
          <w:sz w:val="24"/>
          <w:szCs w:val="24"/>
        </w:rPr>
        <w:t xml:space="preserve"> a</w:t>
      </w:r>
      <w:r w:rsidRPr="005655E5">
        <w:rPr>
          <w:rFonts w:ascii="Times New Roman" w:hAnsi="Times New Roman" w:cs="Times New Roman"/>
          <w:sz w:val="24"/>
          <w:szCs w:val="24"/>
        </w:rPr>
        <w:t xml:space="preserve"> função, pelo menos em parte, a regra que estabelece o prazo decadencial de quatro anos para o ingresso da ação de indignidade, uma vez que, em muitas situações concretas, a sentença penal condenatória gerará, de forma automática e imediata, o reconhecimento da indignidade e a exclusão da herança. Desaparece</w:t>
      </w:r>
      <w:r w:rsidR="00435387">
        <w:rPr>
          <w:rFonts w:ascii="Times New Roman" w:hAnsi="Times New Roman" w:cs="Times New Roman"/>
          <w:sz w:val="24"/>
          <w:szCs w:val="24"/>
        </w:rPr>
        <w:t>u</w:t>
      </w:r>
      <w:r w:rsidRPr="005655E5">
        <w:rPr>
          <w:rFonts w:ascii="Times New Roman" w:hAnsi="Times New Roman" w:cs="Times New Roman"/>
          <w:sz w:val="24"/>
          <w:szCs w:val="24"/>
        </w:rPr>
        <w:t xml:space="preserve">, </w:t>
      </w:r>
      <w:r w:rsidR="00435387">
        <w:rPr>
          <w:rFonts w:ascii="Times New Roman" w:hAnsi="Times New Roman" w:cs="Times New Roman"/>
          <w:sz w:val="24"/>
          <w:szCs w:val="24"/>
        </w:rPr>
        <w:t xml:space="preserve">portanto, </w:t>
      </w:r>
      <w:r w:rsidRPr="005655E5">
        <w:rPr>
          <w:rFonts w:ascii="Times New Roman" w:hAnsi="Times New Roman" w:cs="Times New Roman"/>
          <w:sz w:val="24"/>
          <w:szCs w:val="24"/>
        </w:rPr>
        <w:t>a necessidade de duas ações para tanto</w:t>
      </w:r>
      <w:r w:rsidR="00435387">
        <w:rPr>
          <w:rFonts w:ascii="Times New Roman" w:hAnsi="Times New Roman" w:cs="Times New Roman"/>
          <w:sz w:val="24"/>
          <w:szCs w:val="24"/>
        </w:rPr>
        <w:t xml:space="preserve"> em muitos casos concretos.</w:t>
      </w:r>
      <w:r w:rsidR="00143C20">
        <w:rPr>
          <w:rFonts w:ascii="Times New Roman" w:hAnsi="Times New Roman" w:cs="Times New Roman"/>
          <w:sz w:val="24"/>
          <w:szCs w:val="24"/>
        </w:rPr>
        <w:t xml:space="preserve"> </w:t>
      </w:r>
    </w:p>
    <w:p w:rsidR="00435387" w:rsidRDefault="005655E5" w:rsidP="005655E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D</w:t>
      </w:r>
      <w:r w:rsidRPr="005655E5">
        <w:rPr>
          <w:rFonts w:ascii="Times New Roman" w:hAnsi="Times New Roman" w:cs="Times New Roman"/>
          <w:sz w:val="24"/>
          <w:szCs w:val="24"/>
        </w:rPr>
        <w:t xml:space="preserve">outrinariamente, já se reconhecia que a ação de indignidade poderia ser proposta pelo interessado ou pelo Ministério Público, o último quando houver questão de interesse público, conforme o Enunciado n. 116 do CJF/STJ, da </w:t>
      </w:r>
      <w:r w:rsidRPr="005655E5">
        <w:rPr>
          <w:rStyle w:val="italico"/>
          <w:rFonts w:ascii="Times New Roman" w:hAnsi="Times New Roman" w:cs="Times New Roman"/>
          <w:iCs/>
          <w:sz w:val="24"/>
          <w:szCs w:val="24"/>
        </w:rPr>
        <w:t>I Jornada de Direito Civil</w:t>
      </w:r>
      <w:r w:rsidRPr="005655E5">
        <w:rPr>
          <w:rFonts w:ascii="Times New Roman" w:hAnsi="Times New Roman" w:cs="Times New Roman"/>
          <w:sz w:val="24"/>
          <w:szCs w:val="24"/>
        </w:rPr>
        <w:t xml:space="preserve">, do ano de 2002: “o Ministério Público, por força do art. 1.815 do novo Código Civil, desde que presente o interesse público, tem legitimidade para promover ação visando à declaração da indignidade de herdeiro ou legatário”. </w:t>
      </w:r>
    </w:p>
    <w:p w:rsidR="005655E5" w:rsidRPr="005655E5" w:rsidRDefault="005655E5" w:rsidP="005655E5">
      <w:pPr>
        <w:pStyle w:val="t"/>
        <w:spacing w:before="120" w:after="120" w:line="360" w:lineRule="auto"/>
        <w:ind w:firstLine="1701"/>
        <w:rPr>
          <w:rFonts w:ascii="Times New Roman" w:hAnsi="Times New Roman" w:cs="Times New Roman"/>
          <w:sz w:val="24"/>
          <w:szCs w:val="24"/>
        </w:rPr>
      </w:pPr>
      <w:r w:rsidRPr="005655E5">
        <w:rPr>
          <w:rFonts w:ascii="Times New Roman" w:hAnsi="Times New Roman" w:cs="Times New Roman"/>
          <w:sz w:val="24"/>
          <w:szCs w:val="24"/>
        </w:rPr>
        <w:t>A Lei</w:t>
      </w:r>
      <w:r w:rsidR="00BB4E08">
        <w:rPr>
          <w:rFonts w:ascii="Times New Roman" w:hAnsi="Times New Roman" w:cs="Times New Roman"/>
          <w:sz w:val="24"/>
          <w:szCs w:val="24"/>
        </w:rPr>
        <w:t xml:space="preserve"> n.</w:t>
      </w:r>
      <w:r w:rsidRPr="005655E5">
        <w:rPr>
          <w:rFonts w:ascii="Times New Roman" w:hAnsi="Times New Roman" w:cs="Times New Roman"/>
          <w:sz w:val="24"/>
          <w:szCs w:val="24"/>
        </w:rPr>
        <w:t xml:space="preserve"> 13.532, de 7 de dezembro de 2017, introduziu um § 2.º </w:t>
      </w:r>
      <w:r w:rsidR="00BB4E08" w:rsidRPr="005655E5">
        <w:rPr>
          <w:rFonts w:ascii="Times New Roman" w:hAnsi="Times New Roman" w:cs="Times New Roman"/>
          <w:sz w:val="24"/>
          <w:szCs w:val="24"/>
        </w:rPr>
        <w:t>nes</w:t>
      </w:r>
      <w:r w:rsidR="00BB4E08">
        <w:rPr>
          <w:rFonts w:ascii="Times New Roman" w:hAnsi="Times New Roman" w:cs="Times New Roman"/>
          <w:sz w:val="24"/>
          <w:szCs w:val="24"/>
        </w:rPr>
        <w:t>s</w:t>
      </w:r>
      <w:r w:rsidR="00BB4E08" w:rsidRPr="005655E5">
        <w:rPr>
          <w:rFonts w:ascii="Times New Roman" w:hAnsi="Times New Roman" w:cs="Times New Roman"/>
          <w:sz w:val="24"/>
          <w:szCs w:val="24"/>
        </w:rPr>
        <w:t xml:space="preserve">e </w:t>
      </w:r>
      <w:r w:rsidRPr="005655E5">
        <w:rPr>
          <w:rFonts w:ascii="Times New Roman" w:hAnsi="Times New Roman" w:cs="Times New Roman"/>
          <w:sz w:val="24"/>
          <w:szCs w:val="24"/>
        </w:rPr>
        <w:t>art. 1.815</w:t>
      </w:r>
      <w:r w:rsidR="005E63E9">
        <w:rPr>
          <w:rFonts w:ascii="Times New Roman" w:hAnsi="Times New Roman" w:cs="Times New Roman"/>
          <w:sz w:val="24"/>
          <w:szCs w:val="24"/>
        </w:rPr>
        <w:t xml:space="preserve"> da Lei Civil</w:t>
      </w:r>
      <w:r w:rsidRPr="005655E5">
        <w:rPr>
          <w:rFonts w:ascii="Times New Roman" w:hAnsi="Times New Roman" w:cs="Times New Roman"/>
          <w:sz w:val="24"/>
          <w:szCs w:val="24"/>
        </w:rPr>
        <w:t xml:space="preserve">, prevendo expressamente que o Ministério Público tem legitimidade para promover a ação de indignidade, quando houver crime de homicídio doloso ou sua tentativa praticada pelo herdeiro contra o falecido ou seus familiares (hipóteses do art. 1.814, inc. I). </w:t>
      </w:r>
    </w:p>
    <w:p w:rsidR="005655E5" w:rsidRPr="005655E5" w:rsidRDefault="005655E5" w:rsidP="005655E5">
      <w:pPr>
        <w:pStyle w:val="t"/>
        <w:spacing w:before="120" w:after="120" w:line="360" w:lineRule="auto"/>
        <w:ind w:firstLine="1701"/>
        <w:rPr>
          <w:rFonts w:ascii="Times New Roman" w:hAnsi="Times New Roman" w:cs="Times New Roman"/>
          <w:sz w:val="24"/>
          <w:szCs w:val="24"/>
        </w:rPr>
      </w:pPr>
      <w:r w:rsidRPr="005655E5">
        <w:rPr>
          <w:rFonts w:ascii="Times New Roman" w:hAnsi="Times New Roman" w:cs="Times New Roman"/>
          <w:sz w:val="24"/>
          <w:szCs w:val="24"/>
        </w:rPr>
        <w:t xml:space="preserve">No Projeto de Reforma do Código Civil, </w:t>
      </w:r>
      <w:r w:rsidR="00BB4E30">
        <w:rPr>
          <w:rFonts w:ascii="Times New Roman" w:hAnsi="Times New Roman" w:cs="Times New Roman"/>
          <w:sz w:val="24"/>
          <w:szCs w:val="24"/>
        </w:rPr>
        <w:t xml:space="preserve">PL n. 4/2025, </w:t>
      </w:r>
      <w:r w:rsidRPr="005655E5">
        <w:rPr>
          <w:rFonts w:ascii="Times New Roman" w:hAnsi="Times New Roman" w:cs="Times New Roman"/>
          <w:sz w:val="24"/>
          <w:szCs w:val="24"/>
        </w:rPr>
        <w:t>a respeito do tema, além d</w:t>
      </w:r>
      <w:r w:rsidR="00435387">
        <w:rPr>
          <w:rFonts w:ascii="Times New Roman" w:hAnsi="Times New Roman" w:cs="Times New Roman"/>
          <w:sz w:val="24"/>
          <w:szCs w:val="24"/>
        </w:rPr>
        <w:t>a</w:t>
      </w:r>
      <w:r w:rsidRPr="005655E5">
        <w:rPr>
          <w:rFonts w:ascii="Times New Roman" w:hAnsi="Times New Roman" w:cs="Times New Roman"/>
          <w:sz w:val="24"/>
          <w:szCs w:val="24"/>
        </w:rPr>
        <w:t xml:space="preserve"> manutenção do prazo </w:t>
      </w:r>
      <w:r w:rsidR="003403B2">
        <w:rPr>
          <w:rFonts w:ascii="Times New Roman" w:hAnsi="Times New Roman" w:cs="Times New Roman"/>
          <w:sz w:val="24"/>
          <w:szCs w:val="24"/>
        </w:rPr>
        <w:t>decadencial</w:t>
      </w:r>
      <w:r w:rsidR="005E63E9">
        <w:rPr>
          <w:rFonts w:ascii="Times New Roman" w:hAnsi="Times New Roman" w:cs="Times New Roman"/>
          <w:sz w:val="24"/>
          <w:szCs w:val="24"/>
        </w:rPr>
        <w:t xml:space="preserve"> de</w:t>
      </w:r>
      <w:r w:rsidRPr="005655E5">
        <w:rPr>
          <w:rFonts w:ascii="Times New Roman" w:hAnsi="Times New Roman" w:cs="Times New Roman"/>
          <w:sz w:val="24"/>
          <w:szCs w:val="24"/>
        </w:rPr>
        <w:t xml:space="preserve"> quatro anos, no projetado § 4.º do art. 1.815</w:t>
      </w:r>
      <w:r w:rsidR="00435387">
        <w:rPr>
          <w:rFonts w:ascii="Times New Roman" w:hAnsi="Times New Roman" w:cs="Times New Roman"/>
          <w:sz w:val="24"/>
          <w:szCs w:val="24"/>
        </w:rPr>
        <w:t xml:space="preserve"> e para os casos em que ainda tiver incidência</w:t>
      </w:r>
      <w:r w:rsidRPr="005655E5">
        <w:rPr>
          <w:rFonts w:ascii="Times New Roman" w:hAnsi="Times New Roman" w:cs="Times New Roman"/>
          <w:sz w:val="24"/>
          <w:szCs w:val="24"/>
        </w:rPr>
        <w:t xml:space="preserve">, são sugeridas melhoras no texto e a inclusão de regras procedimentais para a ação de indignidade. Nesse contexto, de forma mais completa, o seu </w:t>
      </w:r>
      <w:r w:rsidRPr="005655E5">
        <w:rPr>
          <w:rStyle w:val="italico"/>
          <w:rFonts w:ascii="Times New Roman" w:hAnsi="Times New Roman" w:cs="Times New Roman"/>
          <w:iCs/>
          <w:sz w:val="24"/>
          <w:szCs w:val="24"/>
        </w:rPr>
        <w:t xml:space="preserve">caput </w:t>
      </w:r>
      <w:r w:rsidRPr="005655E5">
        <w:rPr>
          <w:rFonts w:ascii="Times New Roman" w:hAnsi="Times New Roman" w:cs="Times New Roman"/>
          <w:sz w:val="24"/>
          <w:szCs w:val="24"/>
        </w:rPr>
        <w:t>enunciará que “a exclusão do herdeiro ou legatário, em qualquer desses casos de indignidade, será declarada por sentença, em ação proposta por qualquer herdeiro sucessível do autor da herança ou pelo Ministério Público, nos crimes de ação penal pública incondicionada”.</w:t>
      </w:r>
    </w:p>
    <w:p w:rsidR="005655E5" w:rsidRPr="005655E5" w:rsidRDefault="005655E5" w:rsidP="005655E5">
      <w:pPr>
        <w:pStyle w:val="t"/>
        <w:spacing w:before="120" w:after="120" w:line="360" w:lineRule="auto"/>
        <w:ind w:firstLine="1701"/>
        <w:rPr>
          <w:rFonts w:ascii="Times New Roman" w:hAnsi="Times New Roman" w:cs="Times New Roman"/>
          <w:sz w:val="24"/>
          <w:szCs w:val="24"/>
        </w:rPr>
      </w:pPr>
      <w:r w:rsidRPr="005655E5">
        <w:rPr>
          <w:rFonts w:ascii="Times New Roman" w:hAnsi="Times New Roman" w:cs="Times New Roman"/>
          <w:sz w:val="24"/>
          <w:szCs w:val="24"/>
        </w:rPr>
        <w:t xml:space="preserve">Ainda nos termos da projeção, sendo a ação </w:t>
      </w:r>
      <w:r w:rsidR="00435387">
        <w:rPr>
          <w:rFonts w:ascii="Times New Roman" w:hAnsi="Times New Roman" w:cs="Times New Roman"/>
          <w:sz w:val="24"/>
          <w:szCs w:val="24"/>
        </w:rPr>
        <w:t>promovida</w:t>
      </w:r>
      <w:r w:rsidRPr="005655E5">
        <w:rPr>
          <w:rFonts w:ascii="Times New Roman" w:hAnsi="Times New Roman" w:cs="Times New Roman"/>
          <w:sz w:val="24"/>
          <w:szCs w:val="24"/>
        </w:rPr>
        <w:t xml:space="preserve"> pelo Ministério Público, os demais herdeiros devem ser cientificados da demanda para que declarem se concordam ou não com a propositura da ação (§ 1.º do art. 1.815). Caso discordem os demais herdeiros e a ação seja julgada procedente, o quinhão do indigno, não havendo direito de representação (art. 1.816), será apenas dos herdeiros que com ela concordaram (§ 2.º). Se todos discordarem, a quota do renunciante será revertida em favor de estabelecimento local de beneficência, a critério do juiz (§ 3.º). A não manifestação no prazo decadencial de </w:t>
      </w:r>
      <w:r w:rsidR="00435387">
        <w:rPr>
          <w:rFonts w:ascii="Times New Roman" w:hAnsi="Times New Roman" w:cs="Times New Roman"/>
          <w:sz w:val="24"/>
          <w:szCs w:val="24"/>
        </w:rPr>
        <w:t>trinta</w:t>
      </w:r>
      <w:r w:rsidRPr="005655E5">
        <w:rPr>
          <w:rFonts w:ascii="Times New Roman" w:hAnsi="Times New Roman" w:cs="Times New Roman"/>
          <w:sz w:val="24"/>
          <w:szCs w:val="24"/>
        </w:rPr>
        <w:t xml:space="preserve"> dias implica concordância </w:t>
      </w:r>
      <w:r w:rsidR="00435387">
        <w:rPr>
          <w:rFonts w:ascii="Times New Roman" w:hAnsi="Times New Roman" w:cs="Times New Roman"/>
          <w:sz w:val="24"/>
          <w:szCs w:val="24"/>
        </w:rPr>
        <w:t xml:space="preserve">(§ 4.º). Sem </w:t>
      </w:r>
      <w:r w:rsidR="00435387">
        <w:rPr>
          <w:rFonts w:ascii="Times New Roman" w:hAnsi="Times New Roman" w:cs="Times New Roman"/>
          <w:sz w:val="24"/>
          <w:szCs w:val="24"/>
        </w:rPr>
        <w:lastRenderedPageBreak/>
        <w:t>dúvidas que essas proposições</w:t>
      </w:r>
      <w:r w:rsidRPr="005655E5">
        <w:rPr>
          <w:rFonts w:ascii="Times New Roman" w:hAnsi="Times New Roman" w:cs="Times New Roman"/>
          <w:sz w:val="24"/>
          <w:szCs w:val="24"/>
        </w:rPr>
        <w:t xml:space="preserve"> trazem maior segurança jurídica para o procedimento de exclusão e para o destino dos bens, esperando-se a sua aprovação pelo Congresso Nacional</w:t>
      </w:r>
      <w:r w:rsidR="003403B2">
        <w:rPr>
          <w:rFonts w:ascii="Times New Roman" w:hAnsi="Times New Roman" w:cs="Times New Roman"/>
          <w:sz w:val="24"/>
          <w:szCs w:val="24"/>
        </w:rPr>
        <w:t>, pois as regras a respeito da temática ficam mais claras e efetivas.</w:t>
      </w:r>
      <w:r w:rsidR="00143C20">
        <w:rPr>
          <w:rFonts w:ascii="Times New Roman" w:hAnsi="Times New Roman" w:cs="Times New Roman"/>
          <w:sz w:val="24"/>
          <w:szCs w:val="24"/>
        </w:rPr>
        <w:t xml:space="preserve"> </w:t>
      </w:r>
    </w:p>
    <w:p w:rsidR="005655E5" w:rsidRPr="005655E5" w:rsidRDefault="005655E5" w:rsidP="005655E5">
      <w:pPr>
        <w:pStyle w:val="t"/>
        <w:spacing w:before="120" w:after="120" w:line="360" w:lineRule="auto"/>
        <w:ind w:firstLine="1701"/>
        <w:rPr>
          <w:rFonts w:ascii="Times New Roman" w:hAnsi="Times New Roman" w:cs="Times New Roman"/>
          <w:sz w:val="24"/>
          <w:szCs w:val="24"/>
        </w:rPr>
      </w:pPr>
      <w:r w:rsidRPr="005655E5">
        <w:rPr>
          <w:rFonts w:ascii="Times New Roman" w:hAnsi="Times New Roman" w:cs="Times New Roman"/>
          <w:sz w:val="24"/>
          <w:szCs w:val="24"/>
        </w:rPr>
        <w:t>Feitas tais considerações, e voltando-se à comparação entre os institutos, sabe-se que na deserdação, por outro lado, há um ato de última vontade que afasta herdeiro necessário, sendo imprescindível a confirmação por sentença. Por isso é que a deserdação é tratada pelo CC/2002 no capítulo próprio da sucessão testamentária (arts. 1.961 a 1.965).</w:t>
      </w:r>
    </w:p>
    <w:p w:rsidR="005655E5" w:rsidRPr="005655E5" w:rsidRDefault="005655E5" w:rsidP="005655E5">
      <w:pPr>
        <w:pStyle w:val="t"/>
        <w:spacing w:before="120" w:after="120" w:line="360" w:lineRule="auto"/>
        <w:ind w:firstLine="1701"/>
        <w:rPr>
          <w:rFonts w:ascii="Times New Roman" w:hAnsi="Times New Roman" w:cs="Times New Roman"/>
          <w:sz w:val="24"/>
          <w:szCs w:val="24"/>
        </w:rPr>
      </w:pPr>
      <w:r w:rsidRPr="005655E5">
        <w:rPr>
          <w:rFonts w:ascii="Times New Roman" w:hAnsi="Times New Roman" w:cs="Times New Roman"/>
          <w:sz w:val="24"/>
          <w:szCs w:val="24"/>
        </w:rPr>
        <w:t>As hipóteses de indignidade e de deserdação estão unificadas em parte, e não totalmente, pela atual codificação privada. Assim, são considerados herdeiros indignos, nos termos do art. 1.814 do C</w:t>
      </w:r>
      <w:r w:rsidR="00BB4E30">
        <w:rPr>
          <w:rFonts w:ascii="Times New Roman" w:hAnsi="Times New Roman" w:cs="Times New Roman"/>
          <w:sz w:val="24"/>
          <w:szCs w:val="24"/>
        </w:rPr>
        <w:t>ódigo Civil em vigor</w:t>
      </w:r>
      <w:r w:rsidRPr="005655E5">
        <w:rPr>
          <w:rFonts w:ascii="Times New Roman" w:hAnsi="Times New Roman" w:cs="Times New Roman"/>
          <w:sz w:val="24"/>
          <w:szCs w:val="24"/>
        </w:rPr>
        <w:t>:</w:t>
      </w:r>
      <w:r>
        <w:rPr>
          <w:rFonts w:ascii="Times New Roman" w:hAnsi="Times New Roman" w:cs="Times New Roman"/>
          <w:sz w:val="24"/>
          <w:szCs w:val="24"/>
        </w:rPr>
        <w:t xml:space="preserve"> </w:t>
      </w:r>
      <w:r w:rsidR="00BB4E30" w:rsidRPr="00BB4E30">
        <w:rPr>
          <w:rFonts w:ascii="Times New Roman" w:hAnsi="Times New Roman" w:cs="Times New Roman"/>
          <w:i/>
          <w:sz w:val="24"/>
          <w:szCs w:val="24"/>
        </w:rPr>
        <w:t>a</w:t>
      </w:r>
      <w:r w:rsidRPr="00BB4E30">
        <w:rPr>
          <w:rFonts w:ascii="Times New Roman" w:hAnsi="Times New Roman" w:cs="Times New Roman"/>
          <w:i/>
          <w:sz w:val="24"/>
          <w:szCs w:val="24"/>
        </w:rPr>
        <w:t>)</w:t>
      </w:r>
      <w:r>
        <w:rPr>
          <w:rFonts w:ascii="Times New Roman" w:hAnsi="Times New Roman" w:cs="Times New Roman"/>
          <w:sz w:val="24"/>
          <w:szCs w:val="24"/>
        </w:rPr>
        <w:t xml:space="preserve"> o</w:t>
      </w:r>
      <w:r w:rsidRPr="005655E5">
        <w:rPr>
          <w:rFonts w:ascii="Times New Roman" w:hAnsi="Times New Roman" w:cs="Times New Roman"/>
          <w:sz w:val="24"/>
          <w:szCs w:val="24"/>
        </w:rPr>
        <w:t>s herdeiros que tiverem sido autores, coautores ou partícipes de homicídio doloso, ou tentativa deste, contra a pessoa de cuja sucessão se tratar, seu cônjuge, companheiro, ascendente ou descendente</w:t>
      </w:r>
      <w:r w:rsidR="00BB4E30">
        <w:rPr>
          <w:rFonts w:ascii="Times New Roman" w:hAnsi="Times New Roman" w:cs="Times New Roman"/>
          <w:sz w:val="24"/>
          <w:szCs w:val="24"/>
        </w:rPr>
        <w:t xml:space="preserve">; </w:t>
      </w:r>
      <w:r w:rsidR="00BB4E30" w:rsidRPr="00BB4E30">
        <w:rPr>
          <w:rFonts w:ascii="Times New Roman" w:hAnsi="Times New Roman" w:cs="Times New Roman"/>
          <w:i/>
          <w:sz w:val="24"/>
          <w:szCs w:val="24"/>
        </w:rPr>
        <w:t>b</w:t>
      </w:r>
      <w:r w:rsidRPr="00BB4E30">
        <w:rPr>
          <w:rFonts w:ascii="Times New Roman" w:hAnsi="Times New Roman" w:cs="Times New Roman"/>
          <w:i/>
          <w:sz w:val="24"/>
          <w:szCs w:val="24"/>
        </w:rPr>
        <w:t>)</w:t>
      </w:r>
      <w:r>
        <w:rPr>
          <w:rFonts w:ascii="Times New Roman" w:hAnsi="Times New Roman" w:cs="Times New Roman"/>
          <w:sz w:val="24"/>
          <w:szCs w:val="24"/>
        </w:rPr>
        <w:t xml:space="preserve"> o</w:t>
      </w:r>
      <w:r w:rsidRPr="005655E5">
        <w:rPr>
          <w:rFonts w:ascii="Times New Roman" w:hAnsi="Times New Roman" w:cs="Times New Roman"/>
          <w:sz w:val="24"/>
          <w:szCs w:val="24"/>
        </w:rPr>
        <w:t>s herdeiros que houverem acusado caluniosamente em juízo o autor da herança ou incorrerem em crime contra a sua honra, ou de seu cônjuge ou companheiro</w:t>
      </w:r>
      <w:r w:rsidR="00BB4E30">
        <w:rPr>
          <w:rFonts w:ascii="Times New Roman" w:hAnsi="Times New Roman" w:cs="Times New Roman"/>
          <w:sz w:val="24"/>
          <w:szCs w:val="24"/>
        </w:rPr>
        <w:t xml:space="preserve"> e</w:t>
      </w:r>
      <w:r w:rsidR="003403B2">
        <w:rPr>
          <w:rFonts w:ascii="Times New Roman" w:hAnsi="Times New Roman" w:cs="Times New Roman"/>
          <w:sz w:val="24"/>
          <w:szCs w:val="24"/>
        </w:rPr>
        <w:t>;</w:t>
      </w:r>
      <w:r w:rsidR="00BB4E30" w:rsidRPr="00BB4E30">
        <w:rPr>
          <w:rFonts w:ascii="Times New Roman" w:hAnsi="Times New Roman" w:cs="Times New Roman"/>
          <w:i/>
          <w:sz w:val="24"/>
          <w:szCs w:val="24"/>
        </w:rPr>
        <w:t xml:space="preserve"> c) </w:t>
      </w:r>
      <w:r w:rsidR="00BB4E30">
        <w:rPr>
          <w:rFonts w:ascii="Times New Roman" w:hAnsi="Times New Roman" w:cs="Times New Roman"/>
          <w:sz w:val="24"/>
          <w:szCs w:val="24"/>
        </w:rPr>
        <w:t>o</w:t>
      </w:r>
      <w:r w:rsidRPr="005655E5">
        <w:rPr>
          <w:rFonts w:ascii="Times New Roman" w:hAnsi="Times New Roman" w:cs="Times New Roman"/>
          <w:sz w:val="24"/>
          <w:szCs w:val="24"/>
        </w:rPr>
        <w:t>s herdeiros que, por violência ou meios fraudulentos, inibirem ou obstarem o autor da herança de dispor livremente de seus bens por ato de última vontade.</w:t>
      </w:r>
    </w:p>
    <w:p w:rsidR="005655E5" w:rsidRPr="005655E5" w:rsidRDefault="003403B2" w:rsidP="005655E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Pois bem, s</w:t>
      </w:r>
      <w:r w:rsidR="005655E5" w:rsidRPr="005655E5">
        <w:rPr>
          <w:rFonts w:ascii="Times New Roman" w:hAnsi="Times New Roman" w:cs="Times New Roman"/>
          <w:sz w:val="24"/>
          <w:szCs w:val="24"/>
        </w:rPr>
        <w:t>urge a seguinte dúvida</w:t>
      </w:r>
      <w:r w:rsidR="00435387">
        <w:rPr>
          <w:rFonts w:ascii="Times New Roman" w:hAnsi="Times New Roman" w:cs="Times New Roman"/>
          <w:sz w:val="24"/>
          <w:szCs w:val="24"/>
        </w:rPr>
        <w:t xml:space="preserve"> a respeito da temática</w:t>
      </w:r>
      <w:r w:rsidR="005655E5" w:rsidRPr="005655E5">
        <w:rPr>
          <w:rFonts w:ascii="Times New Roman" w:hAnsi="Times New Roman" w:cs="Times New Roman"/>
          <w:sz w:val="24"/>
          <w:szCs w:val="24"/>
        </w:rPr>
        <w:t>, tão comum na realidade do Direito Civil contemporâneo: o rol do art. 1.814 do Código Civil é taxativo (</w:t>
      </w:r>
      <w:r w:rsidR="005655E5" w:rsidRPr="005655E5">
        <w:rPr>
          <w:rStyle w:val="italico"/>
          <w:rFonts w:ascii="Times New Roman" w:hAnsi="Times New Roman" w:cs="Times New Roman"/>
          <w:iCs/>
          <w:sz w:val="24"/>
          <w:szCs w:val="24"/>
        </w:rPr>
        <w:t>numerus clausus</w:t>
      </w:r>
      <w:r w:rsidR="005655E5" w:rsidRPr="005655E5">
        <w:rPr>
          <w:rFonts w:ascii="Times New Roman" w:hAnsi="Times New Roman" w:cs="Times New Roman"/>
          <w:sz w:val="24"/>
          <w:szCs w:val="24"/>
        </w:rPr>
        <w:t>) ou exemplificativo (</w:t>
      </w:r>
      <w:r w:rsidR="005655E5" w:rsidRPr="005655E5">
        <w:rPr>
          <w:rStyle w:val="italico"/>
          <w:rFonts w:ascii="Times New Roman" w:hAnsi="Times New Roman" w:cs="Times New Roman"/>
          <w:iCs/>
          <w:sz w:val="24"/>
          <w:szCs w:val="24"/>
        </w:rPr>
        <w:t>numerus apertus</w:t>
      </w:r>
      <w:r w:rsidR="005655E5" w:rsidRPr="005655E5">
        <w:rPr>
          <w:rFonts w:ascii="Times New Roman" w:hAnsi="Times New Roman" w:cs="Times New Roman"/>
          <w:sz w:val="24"/>
          <w:szCs w:val="24"/>
        </w:rPr>
        <w:t xml:space="preserve">)? Existem argumentos consideráveis – geralmente utilizados para defender minhas teses – para as duas correntes. </w:t>
      </w:r>
    </w:p>
    <w:p w:rsidR="005655E5" w:rsidRPr="005655E5" w:rsidRDefault="005655E5" w:rsidP="005655E5">
      <w:pPr>
        <w:pStyle w:val="t"/>
        <w:spacing w:before="120" w:after="120" w:line="360" w:lineRule="auto"/>
        <w:ind w:firstLine="1701"/>
        <w:rPr>
          <w:rFonts w:ascii="Times New Roman" w:hAnsi="Times New Roman" w:cs="Times New Roman"/>
          <w:sz w:val="24"/>
          <w:szCs w:val="24"/>
        </w:rPr>
      </w:pPr>
      <w:r w:rsidRPr="005655E5">
        <w:rPr>
          <w:rFonts w:ascii="Times New Roman" w:hAnsi="Times New Roman" w:cs="Times New Roman"/>
          <w:sz w:val="24"/>
          <w:szCs w:val="24"/>
        </w:rPr>
        <w:t xml:space="preserve">Para a afirmação de que o rol é taxativo, pode-se dizer que a norma é de exceção e restritiva de direitos e, como tal, não admite interpretação extensiva. Para a premissa da relação aberta, </w:t>
      </w:r>
      <w:r w:rsidR="00BB4E30">
        <w:rPr>
          <w:rFonts w:ascii="Times New Roman" w:hAnsi="Times New Roman" w:cs="Times New Roman"/>
          <w:sz w:val="24"/>
          <w:szCs w:val="24"/>
        </w:rPr>
        <w:t>existe</w:t>
      </w:r>
      <w:r w:rsidRPr="005655E5">
        <w:rPr>
          <w:rFonts w:ascii="Times New Roman" w:hAnsi="Times New Roman" w:cs="Times New Roman"/>
          <w:sz w:val="24"/>
          <w:szCs w:val="24"/>
        </w:rPr>
        <w:t xml:space="preserve"> o argumento de que o Código Civil de 2002 adotou um sistema aberto, baseado em cláusulas gerais e conceitos indeterminados, na linha da </w:t>
      </w:r>
      <w:r w:rsidRPr="005655E5">
        <w:rPr>
          <w:rStyle w:val="italico"/>
          <w:rFonts w:ascii="Times New Roman" w:hAnsi="Times New Roman" w:cs="Times New Roman"/>
          <w:iCs/>
          <w:sz w:val="24"/>
          <w:szCs w:val="24"/>
        </w:rPr>
        <w:t>teoria tridimensional do Direito</w:t>
      </w:r>
      <w:r w:rsidRPr="005655E5">
        <w:rPr>
          <w:rFonts w:ascii="Times New Roman" w:hAnsi="Times New Roman" w:cs="Times New Roman"/>
          <w:sz w:val="24"/>
          <w:szCs w:val="24"/>
        </w:rPr>
        <w:t xml:space="preserve"> e da </w:t>
      </w:r>
      <w:r w:rsidRPr="005655E5">
        <w:rPr>
          <w:rStyle w:val="italico"/>
          <w:rFonts w:ascii="Times New Roman" w:hAnsi="Times New Roman" w:cs="Times New Roman"/>
          <w:iCs/>
          <w:sz w:val="24"/>
          <w:szCs w:val="24"/>
        </w:rPr>
        <w:t xml:space="preserve">ontognoseologia </w:t>
      </w:r>
      <w:r w:rsidRPr="005655E5">
        <w:rPr>
          <w:rFonts w:ascii="Times New Roman" w:hAnsi="Times New Roman" w:cs="Times New Roman"/>
          <w:sz w:val="24"/>
          <w:szCs w:val="24"/>
        </w:rPr>
        <w:t xml:space="preserve">de Miguel Reale. </w:t>
      </w:r>
    </w:p>
    <w:p w:rsidR="005655E5" w:rsidRPr="005655E5" w:rsidRDefault="005655E5" w:rsidP="005655E5">
      <w:pPr>
        <w:pStyle w:val="t"/>
        <w:spacing w:before="120" w:after="120" w:line="360" w:lineRule="auto"/>
        <w:ind w:firstLine="1701"/>
        <w:rPr>
          <w:rFonts w:ascii="Times New Roman" w:hAnsi="Times New Roman" w:cs="Times New Roman"/>
          <w:sz w:val="24"/>
          <w:szCs w:val="24"/>
        </w:rPr>
      </w:pPr>
      <w:r w:rsidRPr="005655E5">
        <w:rPr>
          <w:rFonts w:ascii="Times New Roman" w:hAnsi="Times New Roman" w:cs="Times New Roman"/>
          <w:sz w:val="24"/>
          <w:szCs w:val="24"/>
        </w:rPr>
        <w:t>Entre as duas argumentações, fico com a primeira</w:t>
      </w:r>
      <w:r w:rsidR="00BB4E30">
        <w:rPr>
          <w:rFonts w:ascii="Times New Roman" w:hAnsi="Times New Roman" w:cs="Times New Roman"/>
          <w:sz w:val="24"/>
          <w:szCs w:val="24"/>
        </w:rPr>
        <w:t>, pois e</w:t>
      </w:r>
      <w:r w:rsidRPr="005655E5">
        <w:rPr>
          <w:rFonts w:ascii="Times New Roman" w:hAnsi="Times New Roman" w:cs="Times New Roman"/>
          <w:sz w:val="24"/>
          <w:szCs w:val="24"/>
        </w:rPr>
        <w:t>xcluir um herdeiro é algo extremamente grave, somente admitido em casos em que a lei expõe</w:t>
      </w:r>
      <w:r w:rsidR="003403B2">
        <w:rPr>
          <w:rFonts w:ascii="Times New Roman" w:hAnsi="Times New Roman" w:cs="Times New Roman"/>
          <w:sz w:val="24"/>
          <w:szCs w:val="24"/>
        </w:rPr>
        <w:t xml:space="preserve"> de forma expressa e textual</w:t>
      </w:r>
      <w:r w:rsidRPr="005655E5">
        <w:rPr>
          <w:rFonts w:ascii="Times New Roman" w:hAnsi="Times New Roman" w:cs="Times New Roman"/>
          <w:sz w:val="24"/>
          <w:szCs w:val="24"/>
        </w:rPr>
        <w:t xml:space="preserve">, até porque se trata de um direito fundamental, reconhecido pelo art. 5.º, inc. XXX, da Constituição Federal. Pelo rol taxativo, julgou o Superior </w:t>
      </w:r>
      <w:r w:rsidRPr="005655E5">
        <w:rPr>
          <w:rFonts w:ascii="Times New Roman" w:hAnsi="Times New Roman" w:cs="Times New Roman"/>
          <w:sz w:val="24"/>
          <w:szCs w:val="24"/>
        </w:rPr>
        <w:lastRenderedPageBreak/>
        <w:t>Tribunal de Justiça, em 2010, seguindo a posição considerada majoritária</w:t>
      </w:r>
      <w:r w:rsidR="00BB4E08">
        <w:rPr>
          <w:rFonts w:ascii="Times New Roman" w:hAnsi="Times New Roman" w:cs="Times New Roman"/>
          <w:sz w:val="24"/>
          <w:szCs w:val="24"/>
        </w:rPr>
        <w:t>,</w:t>
      </w:r>
      <w:r w:rsidRPr="005655E5">
        <w:rPr>
          <w:rFonts w:ascii="Times New Roman" w:hAnsi="Times New Roman" w:cs="Times New Roman"/>
          <w:sz w:val="24"/>
          <w:szCs w:val="24"/>
        </w:rPr>
        <w:t xml:space="preserve"> que “a indignidade tem como finalidade impedir que aquele que atente contra os princípios basilares de justiça e da moral, nas hipóteses taxativamente previstas em lei, venha receber determinado acervo patrimonial, circunstâncias não verificadas na espécie” (STJ, REsp 1.102.360/RJ, 3.ª Turma, Rel. Min. Massami Uyeda, j. 09.02.2010, </w:t>
      </w:r>
      <w:r w:rsidRPr="005655E5">
        <w:rPr>
          <w:rStyle w:val="italico"/>
          <w:rFonts w:ascii="Times New Roman" w:hAnsi="Times New Roman" w:cs="Times New Roman"/>
          <w:iCs/>
          <w:sz w:val="24"/>
          <w:szCs w:val="24"/>
        </w:rPr>
        <w:t>DJe</w:t>
      </w:r>
      <w:r w:rsidRPr="005655E5">
        <w:rPr>
          <w:rFonts w:ascii="Times New Roman" w:hAnsi="Times New Roman" w:cs="Times New Roman"/>
          <w:sz w:val="24"/>
          <w:szCs w:val="24"/>
        </w:rPr>
        <w:t xml:space="preserve"> 01.07.2010). </w:t>
      </w:r>
    </w:p>
    <w:p w:rsidR="005655E5" w:rsidRPr="005655E5" w:rsidRDefault="005655E5" w:rsidP="005655E5">
      <w:pPr>
        <w:pStyle w:val="t"/>
        <w:spacing w:before="120" w:after="120" w:line="360" w:lineRule="auto"/>
        <w:ind w:firstLine="1701"/>
        <w:rPr>
          <w:rFonts w:ascii="Times New Roman" w:hAnsi="Times New Roman" w:cs="Times New Roman"/>
          <w:sz w:val="24"/>
          <w:szCs w:val="24"/>
        </w:rPr>
      </w:pPr>
      <w:r w:rsidRPr="005655E5">
        <w:rPr>
          <w:rFonts w:ascii="Times New Roman" w:hAnsi="Times New Roman" w:cs="Times New Roman"/>
          <w:sz w:val="24"/>
          <w:szCs w:val="24"/>
        </w:rPr>
        <w:t>De todo modo, em 2022 surgiu acórdão muito debatido nos meios civilistas, no âmbito da Terceira Turma do Superior Tribunal de Justiça</w:t>
      </w:r>
      <w:r w:rsidR="00BB4E08">
        <w:rPr>
          <w:rFonts w:ascii="Times New Roman" w:hAnsi="Times New Roman" w:cs="Times New Roman"/>
          <w:sz w:val="24"/>
          <w:szCs w:val="24"/>
        </w:rPr>
        <w:t>,</w:t>
      </w:r>
      <w:r w:rsidRPr="005655E5">
        <w:rPr>
          <w:rFonts w:ascii="Times New Roman" w:hAnsi="Times New Roman" w:cs="Times New Roman"/>
          <w:sz w:val="24"/>
          <w:szCs w:val="24"/>
        </w:rPr>
        <w:t xml:space="preserve"> que, apesar </w:t>
      </w:r>
      <w:r w:rsidR="00143C20">
        <w:rPr>
          <w:rFonts w:ascii="Times New Roman" w:hAnsi="Times New Roman" w:cs="Times New Roman"/>
          <w:sz w:val="24"/>
          <w:szCs w:val="24"/>
        </w:rPr>
        <w:t xml:space="preserve">de </w:t>
      </w:r>
      <w:r w:rsidRPr="005655E5">
        <w:rPr>
          <w:rFonts w:ascii="Times New Roman" w:hAnsi="Times New Roman" w:cs="Times New Roman"/>
          <w:sz w:val="24"/>
          <w:szCs w:val="24"/>
        </w:rPr>
        <w:t xml:space="preserve">reafirmar o rol taxativo do art. 1.814 do Código Civil, admitiu por </w:t>
      </w:r>
      <w:r w:rsidRPr="003403B2">
        <w:rPr>
          <w:rFonts w:ascii="Times New Roman" w:hAnsi="Times New Roman" w:cs="Times New Roman"/>
          <w:i/>
          <w:sz w:val="24"/>
          <w:szCs w:val="24"/>
        </w:rPr>
        <w:t xml:space="preserve">interpretação teleológica e sociológica </w:t>
      </w:r>
      <w:r w:rsidRPr="005655E5">
        <w:rPr>
          <w:rFonts w:ascii="Times New Roman" w:hAnsi="Times New Roman" w:cs="Times New Roman"/>
          <w:sz w:val="24"/>
          <w:szCs w:val="24"/>
        </w:rPr>
        <w:t>do seu inciso I que a indignidade sucessória também abrangesse ato infracional análogo a homicídio, praticado por menor de idade. Vejamos trecho de sua longa ementa:</w:t>
      </w:r>
    </w:p>
    <w:p w:rsidR="005655E5" w:rsidRPr="00BB4E30" w:rsidRDefault="005655E5" w:rsidP="00BB4E30">
      <w:pPr>
        <w:pStyle w:val="recmenor"/>
        <w:spacing w:before="120" w:after="120" w:line="360" w:lineRule="auto"/>
        <w:ind w:left="567"/>
        <w:rPr>
          <w:rFonts w:ascii="Times New Roman" w:hAnsi="Times New Roman" w:cs="Times New Roman"/>
          <w:sz w:val="22"/>
          <w:szCs w:val="22"/>
        </w:rPr>
      </w:pPr>
      <w:r w:rsidRPr="00BB4E30">
        <w:rPr>
          <w:rFonts w:ascii="Times New Roman" w:hAnsi="Times New Roman" w:cs="Times New Roman"/>
          <w:sz w:val="22"/>
          <w:szCs w:val="22"/>
        </w:rPr>
        <w:t>“</w:t>
      </w:r>
      <w:r w:rsidR="00BB4E30" w:rsidRPr="00BB4E30">
        <w:rPr>
          <w:rFonts w:ascii="Times New Roman" w:hAnsi="Times New Roman" w:cs="Times New Roman"/>
          <w:sz w:val="22"/>
          <w:szCs w:val="22"/>
        </w:rPr>
        <w:t xml:space="preserve">(...). </w:t>
      </w:r>
      <w:r w:rsidRPr="00BB4E30">
        <w:rPr>
          <w:rFonts w:ascii="Times New Roman" w:hAnsi="Times New Roman" w:cs="Times New Roman"/>
          <w:sz w:val="22"/>
          <w:szCs w:val="22"/>
        </w:rPr>
        <w:t xml:space="preserve">Na esteira da majoritária doutrina, o rol do art. 1.814 do CC/2002, que prevê as hipóteses autorizadoras de exclusão de herdeiros ou legatários da sucessão, é taxativo, razão pela qual se conclui não ser admissível a criação de hipóteses não previstas no dispositivo legal por intermédio da analogia ou da interpretação extensiva. (...). O fato de o rol do art. 1.814 do CC/2002 ser taxativo não induz à necessidade de interpretação literal de seu conteúdo e alcance, uma vez que a taxatividade do rol é compatível com as interpretações lógica, histórico-evolutiva, sistemática, teleológica e sociológica das hipóteses taxativamente listadas. (...). A regra do art. 1.814, I, do CC/2002, se interpretada literalmente, </w:t>
      </w:r>
      <w:r w:rsidRPr="00BB4E30">
        <w:rPr>
          <w:rStyle w:val="italico"/>
          <w:rFonts w:ascii="Times New Roman" w:hAnsi="Times New Roman" w:cs="Times New Roman"/>
          <w:iCs/>
          <w:sz w:val="22"/>
          <w:szCs w:val="22"/>
        </w:rPr>
        <w:t>prima facie</w:t>
      </w:r>
      <w:r w:rsidRPr="00BB4E30">
        <w:rPr>
          <w:rFonts w:ascii="Times New Roman" w:hAnsi="Times New Roman" w:cs="Times New Roman"/>
          <w:sz w:val="22"/>
          <w:szCs w:val="22"/>
        </w:rPr>
        <w:t xml:space="preserve">, de forma irreflexiva, não contextual e adstrita ao aspecto semântico ou sintático da língua, induziria ao resultado de que o uso da palavra homicídio possuiria um sentido único, técnico e importado diretamente da legislação penal para a civil, razão pela qual o ato infracional análogo ao homicídio praticado pelo filho contra os pais não poderia acarretar a exclusão da sucessão, pois, tecnicamente, homicídio não houve. (...). A exclusão do herdeiro que atenta contra a vida dos pais, cláusula geral com raiz ética, moral e jurídica existente desde o direito romano, está presente na maioria dos ordenamentos jurídicos contemporâneos e, no Brasil, possui, como núcleo essencial, a exigência de que a conduta ilícita do herdeiro seja dolosa, ainda que meramente tentada, sendo irrelevante investigar se a motivação foi ou não o recolhimento da herança. (...). A finalidade da regra que exclui da sucessão o herdeiro que atenta contra a vida dos pais é, a um só tempo, prevenir a ocorrência do ato ilícito, tutelando bem jurídico mais valioso do ordenamento jurídico, e reprimir o ato ilícito porventura praticado, estabelecendo sanção civil consubstanciada na </w:t>
      </w:r>
      <w:r w:rsidRPr="00BB4E30">
        <w:rPr>
          <w:rFonts w:ascii="Times New Roman" w:hAnsi="Times New Roman" w:cs="Times New Roman"/>
          <w:sz w:val="22"/>
          <w:szCs w:val="22"/>
        </w:rPr>
        <w:lastRenderedPageBreak/>
        <w:t xml:space="preserve">perda do quinhão por quem praticá-lo. (...). Se o enunciado normativo do art. 1.814, I, do CC/2002, na perspectiva teleológica-finalística, é de que não terá direito à herança quem atentar, propositalmente, contra a vida de seus pais, ainda que a conduta não se consume, independentemente do motivo, a diferença técnico-jurídica entre o homicídio doloso e o ato análogo ao homicídio doloso, conquanto relevante para o âmbito penal diante das substanciais diferenças nas consequências e nas repercussões jurídicas do ato ilícito, não se reveste da mesma relevância no âmbito civil, sob pena de ofensa aos valores e às finalidades que nortearam a criação da norma e de completo esvaziamento de seu conteúdo. (...). Hipótese em que é incontroverso o fato de que o recorrente, que à época dos fatos possuía 17 anos e 06 meses, ceifou propositalmente a vida de seu pai e de sua mãe, motivo pelo qual é correta a interpretação segundo a qual a regra do art. 1.814, I, do CC/2002 contempla também o ato análogo ao homicídio, devendo ser mantida a exclusão do recorrente da sucessão de seus pais” (STJ, REsp 1.943.848/PR, 3.ª Turma, Rel. Min. Nancy Andrighi, j. 15.02.2022, </w:t>
      </w:r>
      <w:r w:rsidRPr="00BB4E30">
        <w:rPr>
          <w:rStyle w:val="italico"/>
          <w:rFonts w:ascii="Times New Roman" w:hAnsi="Times New Roman" w:cs="Times New Roman"/>
          <w:iCs/>
          <w:sz w:val="22"/>
          <w:szCs w:val="22"/>
        </w:rPr>
        <w:t>DJe</w:t>
      </w:r>
      <w:r w:rsidRPr="00BB4E30">
        <w:rPr>
          <w:rFonts w:ascii="Times New Roman" w:hAnsi="Times New Roman" w:cs="Times New Roman"/>
          <w:sz w:val="22"/>
          <w:szCs w:val="22"/>
        </w:rPr>
        <w:t xml:space="preserve"> 18.02.2022).</w:t>
      </w:r>
    </w:p>
    <w:p w:rsidR="005655E5" w:rsidRPr="005655E5" w:rsidRDefault="005655E5" w:rsidP="005655E5">
      <w:pPr>
        <w:pStyle w:val="t"/>
        <w:spacing w:before="120" w:after="120" w:line="360" w:lineRule="auto"/>
        <w:ind w:firstLine="1701"/>
        <w:rPr>
          <w:rFonts w:ascii="Times New Roman" w:hAnsi="Times New Roman" w:cs="Times New Roman"/>
          <w:sz w:val="24"/>
          <w:szCs w:val="24"/>
        </w:rPr>
      </w:pPr>
      <w:r w:rsidRPr="005655E5">
        <w:rPr>
          <w:rFonts w:ascii="Times New Roman" w:hAnsi="Times New Roman" w:cs="Times New Roman"/>
          <w:sz w:val="24"/>
          <w:szCs w:val="24"/>
        </w:rPr>
        <w:t>Tenho a honra de ser citado no voto da Ministra Relatora, como um dos defensores da relação fechada</w:t>
      </w:r>
      <w:r w:rsidR="00BB4E08">
        <w:rPr>
          <w:rFonts w:ascii="Times New Roman" w:hAnsi="Times New Roman" w:cs="Times New Roman"/>
          <w:sz w:val="24"/>
          <w:szCs w:val="24"/>
        </w:rPr>
        <w:t>,</w:t>
      </w:r>
      <w:r w:rsidRPr="005655E5">
        <w:rPr>
          <w:rFonts w:ascii="Times New Roman" w:hAnsi="Times New Roman" w:cs="Times New Roman"/>
          <w:sz w:val="24"/>
          <w:szCs w:val="24"/>
        </w:rPr>
        <w:t xml:space="preserve"> e não entendo que se trata de conclusão pelo rol exemplificativo, pela analogia ou pela interpretação extensiva. A solução dada parece-me estar no campo da busca da finalidade da norma, exatamente como está no trecho destacado</w:t>
      </w:r>
      <w:r w:rsidR="00435387">
        <w:rPr>
          <w:rFonts w:ascii="Times New Roman" w:hAnsi="Times New Roman" w:cs="Times New Roman"/>
          <w:sz w:val="24"/>
          <w:szCs w:val="24"/>
        </w:rPr>
        <w:t>.</w:t>
      </w:r>
      <w:r w:rsidR="00143C20">
        <w:rPr>
          <w:rFonts w:ascii="Times New Roman" w:hAnsi="Times New Roman" w:cs="Times New Roman"/>
          <w:sz w:val="24"/>
          <w:szCs w:val="24"/>
        </w:rPr>
        <w:t xml:space="preserve"> </w:t>
      </w:r>
    </w:p>
    <w:p w:rsidR="005655E5" w:rsidRPr="005655E5" w:rsidRDefault="003403B2" w:rsidP="00BB4E30">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Mesma dedução</w:t>
      </w:r>
      <w:r w:rsidR="005655E5" w:rsidRPr="005655E5">
        <w:rPr>
          <w:rFonts w:ascii="Times New Roman" w:hAnsi="Times New Roman" w:cs="Times New Roman"/>
          <w:sz w:val="24"/>
          <w:szCs w:val="24"/>
        </w:rPr>
        <w:t xml:space="preserve"> – pela relação fechada </w:t>
      </w:r>
      <w:r w:rsidR="00BB4E30">
        <w:rPr>
          <w:rFonts w:ascii="Times New Roman" w:hAnsi="Times New Roman" w:cs="Times New Roman"/>
          <w:sz w:val="24"/>
          <w:szCs w:val="24"/>
        </w:rPr>
        <w:t xml:space="preserve">ou </w:t>
      </w:r>
      <w:r w:rsidR="00BB4E30" w:rsidRPr="00BB4E30">
        <w:rPr>
          <w:rFonts w:ascii="Times New Roman" w:hAnsi="Times New Roman" w:cs="Times New Roman"/>
          <w:i/>
          <w:sz w:val="24"/>
          <w:szCs w:val="24"/>
        </w:rPr>
        <w:t xml:space="preserve">numerus clausus </w:t>
      </w:r>
      <w:r w:rsidR="005655E5" w:rsidRPr="005655E5">
        <w:rPr>
          <w:rFonts w:ascii="Times New Roman" w:hAnsi="Times New Roman" w:cs="Times New Roman"/>
          <w:sz w:val="24"/>
          <w:szCs w:val="24"/>
        </w:rPr>
        <w:t>– deve ser considerad</w:t>
      </w:r>
      <w:r>
        <w:rPr>
          <w:rFonts w:ascii="Times New Roman" w:hAnsi="Times New Roman" w:cs="Times New Roman"/>
          <w:sz w:val="24"/>
          <w:szCs w:val="24"/>
        </w:rPr>
        <w:t>a</w:t>
      </w:r>
      <w:r w:rsidR="005655E5" w:rsidRPr="005655E5">
        <w:rPr>
          <w:rFonts w:ascii="Times New Roman" w:hAnsi="Times New Roman" w:cs="Times New Roman"/>
          <w:sz w:val="24"/>
          <w:szCs w:val="24"/>
        </w:rPr>
        <w:t xml:space="preserve"> quanto à deserdação, até com maior contundência, pelo fato de se excluir herdeiro necessário, protegido pela legítima. Conforme os arts. 1.962 e 1.963 do C</w:t>
      </w:r>
      <w:r w:rsidR="00BB4E30">
        <w:rPr>
          <w:rFonts w:ascii="Times New Roman" w:hAnsi="Times New Roman" w:cs="Times New Roman"/>
          <w:sz w:val="24"/>
          <w:szCs w:val="24"/>
        </w:rPr>
        <w:t>ódigo Civil</w:t>
      </w:r>
      <w:r w:rsidR="00BB4E08">
        <w:rPr>
          <w:rFonts w:ascii="Times New Roman" w:hAnsi="Times New Roman" w:cs="Times New Roman"/>
          <w:sz w:val="24"/>
          <w:szCs w:val="24"/>
        </w:rPr>
        <w:t>,</w:t>
      </w:r>
      <w:r w:rsidR="005655E5" w:rsidRPr="005655E5">
        <w:rPr>
          <w:rFonts w:ascii="Times New Roman" w:hAnsi="Times New Roman" w:cs="Times New Roman"/>
          <w:sz w:val="24"/>
          <w:szCs w:val="24"/>
        </w:rPr>
        <w:t xml:space="preserve"> além das causas mencionadas no art. 1.814, autorizam a deserdação dos descendentes por seus ascendentes e vice-versa:</w:t>
      </w:r>
      <w:r w:rsidR="00BB4E30">
        <w:rPr>
          <w:rFonts w:ascii="Times New Roman" w:hAnsi="Times New Roman" w:cs="Times New Roman"/>
          <w:sz w:val="24"/>
          <w:szCs w:val="24"/>
        </w:rPr>
        <w:t xml:space="preserve"> </w:t>
      </w:r>
      <w:r w:rsidR="00BB4E30" w:rsidRPr="00BB4E30">
        <w:rPr>
          <w:rFonts w:ascii="Times New Roman" w:hAnsi="Times New Roman" w:cs="Times New Roman"/>
          <w:i/>
          <w:sz w:val="24"/>
          <w:szCs w:val="24"/>
        </w:rPr>
        <w:t>a</w:t>
      </w:r>
      <w:r w:rsidR="005655E5" w:rsidRPr="00BB4E30">
        <w:rPr>
          <w:rFonts w:ascii="Times New Roman" w:hAnsi="Times New Roman" w:cs="Times New Roman"/>
          <w:i/>
          <w:sz w:val="24"/>
          <w:szCs w:val="24"/>
        </w:rPr>
        <w:t>)</w:t>
      </w:r>
      <w:r w:rsidR="00BB4E30">
        <w:rPr>
          <w:rFonts w:ascii="Times New Roman" w:hAnsi="Times New Roman" w:cs="Times New Roman"/>
          <w:sz w:val="24"/>
          <w:szCs w:val="24"/>
        </w:rPr>
        <w:t xml:space="preserve"> a</w:t>
      </w:r>
      <w:r w:rsidR="005655E5" w:rsidRPr="005655E5">
        <w:rPr>
          <w:rFonts w:ascii="Times New Roman" w:hAnsi="Times New Roman" w:cs="Times New Roman"/>
          <w:sz w:val="24"/>
          <w:szCs w:val="24"/>
        </w:rPr>
        <w:t xml:space="preserve"> prática de ofensa física entre ta</w:t>
      </w:r>
      <w:r w:rsidR="00BB4E30">
        <w:rPr>
          <w:rFonts w:ascii="Times New Roman" w:hAnsi="Times New Roman" w:cs="Times New Roman"/>
          <w:sz w:val="24"/>
          <w:szCs w:val="24"/>
        </w:rPr>
        <w:t xml:space="preserve">is pessoas; </w:t>
      </w:r>
      <w:r w:rsidR="00BB4E30" w:rsidRPr="00BB4E30">
        <w:rPr>
          <w:rFonts w:ascii="Times New Roman" w:hAnsi="Times New Roman" w:cs="Times New Roman"/>
          <w:i/>
          <w:sz w:val="24"/>
          <w:szCs w:val="24"/>
        </w:rPr>
        <w:t>b)</w:t>
      </w:r>
      <w:r w:rsidR="00BB4E30">
        <w:rPr>
          <w:rFonts w:ascii="Times New Roman" w:hAnsi="Times New Roman" w:cs="Times New Roman"/>
          <w:sz w:val="24"/>
          <w:szCs w:val="24"/>
        </w:rPr>
        <w:t xml:space="preserve"> a </w:t>
      </w:r>
      <w:r w:rsidR="005655E5" w:rsidRPr="005655E5">
        <w:rPr>
          <w:rFonts w:ascii="Times New Roman" w:hAnsi="Times New Roman" w:cs="Times New Roman"/>
          <w:sz w:val="24"/>
          <w:szCs w:val="24"/>
        </w:rPr>
        <w:t>injúria grave entre elas</w:t>
      </w:r>
      <w:r w:rsidR="00BB4E30">
        <w:rPr>
          <w:rFonts w:ascii="Times New Roman" w:hAnsi="Times New Roman" w:cs="Times New Roman"/>
          <w:sz w:val="24"/>
          <w:szCs w:val="24"/>
        </w:rPr>
        <w:t xml:space="preserve">; </w:t>
      </w:r>
      <w:r w:rsidR="00BB4E30" w:rsidRPr="00BB4E30">
        <w:rPr>
          <w:rFonts w:ascii="Times New Roman" w:hAnsi="Times New Roman" w:cs="Times New Roman"/>
          <w:i/>
          <w:sz w:val="24"/>
          <w:szCs w:val="24"/>
        </w:rPr>
        <w:t>c)</w:t>
      </w:r>
      <w:r w:rsidR="00BB4E30">
        <w:rPr>
          <w:rFonts w:ascii="Times New Roman" w:hAnsi="Times New Roman" w:cs="Times New Roman"/>
          <w:sz w:val="24"/>
          <w:szCs w:val="24"/>
        </w:rPr>
        <w:t xml:space="preserve"> a</w:t>
      </w:r>
      <w:r w:rsidR="005655E5" w:rsidRPr="005655E5">
        <w:rPr>
          <w:rFonts w:ascii="Times New Roman" w:hAnsi="Times New Roman" w:cs="Times New Roman"/>
          <w:sz w:val="24"/>
          <w:szCs w:val="24"/>
        </w:rPr>
        <w:t>s relações ilícitas com a madrasta ou com o padrasto; bem como as relações ilícitas com a mulher ou companheira do</w:t>
      </w:r>
      <w:r w:rsidR="00BB4E30">
        <w:rPr>
          <w:rFonts w:ascii="Times New Roman" w:hAnsi="Times New Roman" w:cs="Times New Roman"/>
          <w:sz w:val="24"/>
          <w:szCs w:val="24"/>
        </w:rPr>
        <w:t xml:space="preserve"> </w:t>
      </w:r>
      <w:r w:rsidR="005655E5" w:rsidRPr="005655E5">
        <w:rPr>
          <w:rFonts w:ascii="Times New Roman" w:hAnsi="Times New Roman" w:cs="Times New Roman"/>
          <w:sz w:val="24"/>
          <w:szCs w:val="24"/>
        </w:rPr>
        <w:t>filho ou a do neto</w:t>
      </w:r>
      <w:r w:rsidR="00BB4E30">
        <w:rPr>
          <w:rFonts w:ascii="Times New Roman" w:hAnsi="Times New Roman" w:cs="Times New Roman"/>
          <w:sz w:val="24"/>
          <w:szCs w:val="24"/>
        </w:rPr>
        <w:t xml:space="preserve">, entendidas </w:t>
      </w:r>
      <w:r w:rsidR="00143C20">
        <w:rPr>
          <w:rFonts w:ascii="Times New Roman" w:hAnsi="Times New Roman" w:cs="Times New Roman"/>
          <w:sz w:val="24"/>
          <w:szCs w:val="24"/>
        </w:rPr>
        <w:t xml:space="preserve">como </w:t>
      </w:r>
      <w:r w:rsidR="00BB4E30">
        <w:rPr>
          <w:rFonts w:ascii="Times New Roman" w:hAnsi="Times New Roman" w:cs="Times New Roman"/>
          <w:sz w:val="24"/>
          <w:szCs w:val="24"/>
        </w:rPr>
        <w:t xml:space="preserve">a </w:t>
      </w:r>
      <w:r w:rsidR="005655E5" w:rsidRPr="005655E5">
        <w:rPr>
          <w:rFonts w:ascii="Times New Roman" w:hAnsi="Times New Roman" w:cs="Times New Roman"/>
          <w:sz w:val="24"/>
          <w:szCs w:val="24"/>
        </w:rPr>
        <w:t>prática de atos sexuais e envolvimentos afetivos entre as pessoas elencadas, tidos como adúlteros, de infidelidade ou incestuosos</w:t>
      </w:r>
      <w:r w:rsidR="00435387">
        <w:rPr>
          <w:rFonts w:ascii="Times New Roman" w:hAnsi="Times New Roman" w:cs="Times New Roman"/>
          <w:sz w:val="24"/>
          <w:szCs w:val="24"/>
        </w:rPr>
        <w:t>, conceitos hoje tidos como superados, sobretudo porque não se debate mais a culpa na dissolução do vínculo</w:t>
      </w:r>
      <w:r w:rsidR="00143C20">
        <w:rPr>
          <w:rFonts w:ascii="Times New Roman" w:hAnsi="Times New Roman" w:cs="Times New Roman"/>
          <w:sz w:val="24"/>
          <w:szCs w:val="24"/>
        </w:rPr>
        <w:t>;</w:t>
      </w:r>
      <w:r w:rsidR="00BB4E30">
        <w:rPr>
          <w:rFonts w:ascii="Times New Roman" w:hAnsi="Times New Roman" w:cs="Times New Roman"/>
          <w:sz w:val="24"/>
          <w:szCs w:val="24"/>
        </w:rPr>
        <w:t xml:space="preserve"> e </w:t>
      </w:r>
      <w:r w:rsidR="00BB4E30" w:rsidRPr="00BB4E30">
        <w:rPr>
          <w:rFonts w:ascii="Times New Roman" w:hAnsi="Times New Roman" w:cs="Times New Roman"/>
          <w:i/>
          <w:sz w:val="24"/>
          <w:szCs w:val="24"/>
        </w:rPr>
        <w:t>d)</w:t>
      </w:r>
      <w:r w:rsidR="00BB4E30">
        <w:rPr>
          <w:rFonts w:ascii="Times New Roman" w:hAnsi="Times New Roman" w:cs="Times New Roman"/>
          <w:sz w:val="24"/>
          <w:szCs w:val="24"/>
        </w:rPr>
        <w:t xml:space="preserve"> o</w:t>
      </w:r>
      <w:r w:rsidR="005655E5" w:rsidRPr="005655E5">
        <w:rPr>
          <w:rFonts w:ascii="Times New Roman" w:hAnsi="Times New Roman" w:cs="Times New Roman"/>
          <w:sz w:val="24"/>
          <w:szCs w:val="24"/>
        </w:rPr>
        <w:t xml:space="preserve"> desamparo praticado entre essas pessoas, havendo alienação mental ou grave enfermidade do prejudicado.</w:t>
      </w:r>
    </w:p>
    <w:p w:rsidR="00BB4E30" w:rsidRDefault="00435387" w:rsidP="005655E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N</w:t>
      </w:r>
      <w:r w:rsidR="005655E5" w:rsidRPr="005655E5">
        <w:rPr>
          <w:rFonts w:ascii="Times New Roman" w:hAnsi="Times New Roman" w:cs="Times New Roman"/>
          <w:sz w:val="24"/>
          <w:szCs w:val="24"/>
        </w:rPr>
        <w:t xml:space="preserve">o Projeto de Reforma do Código Civil, elaborado pela Comissão de Juristas nomeada no Senado Federal, pretende-se ampliar as hipóteses de indignidade e </w:t>
      </w:r>
      <w:r w:rsidR="005655E5" w:rsidRPr="005655E5">
        <w:rPr>
          <w:rFonts w:ascii="Times New Roman" w:hAnsi="Times New Roman" w:cs="Times New Roman"/>
          <w:sz w:val="24"/>
          <w:szCs w:val="24"/>
        </w:rPr>
        <w:lastRenderedPageBreak/>
        <w:t xml:space="preserve">de deserdação, sendo a principal delas, </w:t>
      </w:r>
      <w:r w:rsidR="005655E5" w:rsidRPr="005655E5">
        <w:rPr>
          <w:rStyle w:val="italico"/>
          <w:rFonts w:ascii="Times New Roman" w:hAnsi="Times New Roman" w:cs="Times New Roman"/>
          <w:iCs/>
          <w:sz w:val="24"/>
          <w:szCs w:val="24"/>
        </w:rPr>
        <w:t>de lege ferenda</w:t>
      </w:r>
      <w:r w:rsidR="005655E5" w:rsidRPr="005655E5">
        <w:rPr>
          <w:rFonts w:ascii="Times New Roman" w:hAnsi="Times New Roman" w:cs="Times New Roman"/>
          <w:sz w:val="24"/>
          <w:szCs w:val="24"/>
        </w:rPr>
        <w:t xml:space="preserve">, o abandono afetivo. </w:t>
      </w:r>
    </w:p>
    <w:p w:rsidR="005655E5" w:rsidRPr="005655E5" w:rsidRDefault="005655E5" w:rsidP="005655E5">
      <w:pPr>
        <w:pStyle w:val="t"/>
        <w:spacing w:before="120" w:after="120" w:line="360" w:lineRule="auto"/>
        <w:ind w:firstLine="1701"/>
        <w:rPr>
          <w:rFonts w:ascii="Times New Roman" w:hAnsi="Times New Roman" w:cs="Times New Roman"/>
          <w:sz w:val="24"/>
          <w:szCs w:val="24"/>
        </w:rPr>
      </w:pPr>
      <w:r w:rsidRPr="005655E5">
        <w:rPr>
          <w:rFonts w:ascii="Times New Roman" w:hAnsi="Times New Roman" w:cs="Times New Roman"/>
          <w:sz w:val="24"/>
          <w:szCs w:val="24"/>
        </w:rPr>
        <w:t>Nesse contexto, o inciso I do art. 1.814 passará a mencionar que são excluídos da sucessão os herdeiros ou legatários que tiverem sido autores, coautores ou partícipes de crime doloso, ato infracional, ou tentativa destes, contra a pessoa de cuja sucessão se tratar, seu cônjuge, convivente, ascendente ou descendente. No inciso II, passarão a ser mencionados aqueles que tiverem sido destituídos da autoridade parental da pessoa de cuja sucessão se tratar. E, por fim, no inciso IV, os que tiverem deixado de prestar assistência material ou incorrido em abandono afetivo voluntário e injustificado contra o autor da herança.</w:t>
      </w:r>
    </w:p>
    <w:p w:rsidR="005655E5" w:rsidRPr="005655E5" w:rsidRDefault="005655E5" w:rsidP="005655E5">
      <w:pPr>
        <w:pStyle w:val="t"/>
        <w:spacing w:before="120" w:after="120" w:line="360" w:lineRule="auto"/>
        <w:ind w:firstLine="1701"/>
        <w:rPr>
          <w:rFonts w:ascii="Times New Roman" w:hAnsi="Times New Roman" w:cs="Times New Roman"/>
          <w:sz w:val="24"/>
          <w:szCs w:val="24"/>
        </w:rPr>
      </w:pPr>
      <w:r w:rsidRPr="005655E5">
        <w:rPr>
          <w:rFonts w:ascii="Times New Roman" w:hAnsi="Times New Roman" w:cs="Times New Roman"/>
          <w:sz w:val="24"/>
          <w:szCs w:val="24"/>
        </w:rPr>
        <w:t xml:space="preserve">A respeito da deserdação, o art. 1.962 passará a </w:t>
      </w:r>
      <w:r w:rsidR="003403B2">
        <w:rPr>
          <w:rFonts w:ascii="Times New Roman" w:hAnsi="Times New Roman" w:cs="Times New Roman"/>
          <w:sz w:val="24"/>
          <w:szCs w:val="24"/>
        </w:rPr>
        <w:t xml:space="preserve">expressar, </w:t>
      </w:r>
      <w:r w:rsidR="00BB4E30">
        <w:rPr>
          <w:rFonts w:ascii="Times New Roman" w:hAnsi="Times New Roman" w:cs="Times New Roman"/>
          <w:sz w:val="24"/>
          <w:szCs w:val="24"/>
        </w:rPr>
        <w:t xml:space="preserve">igualmente </w:t>
      </w:r>
      <w:r w:rsidRPr="005655E5">
        <w:rPr>
          <w:rFonts w:ascii="Times New Roman" w:hAnsi="Times New Roman" w:cs="Times New Roman"/>
          <w:sz w:val="24"/>
          <w:szCs w:val="24"/>
        </w:rPr>
        <w:t xml:space="preserve">com o texto ampliado, no seu inciso I, a ofensa à integridade física ou psicológica; e, no seu inciso III, o desamparo material e abandono afetivo voluntário e injustificado do ascendente pelo descendente. Revoga-se o </w:t>
      </w:r>
      <w:r w:rsidR="00316E4B">
        <w:rPr>
          <w:rFonts w:ascii="Times New Roman" w:hAnsi="Times New Roman" w:cs="Times New Roman"/>
          <w:sz w:val="24"/>
          <w:szCs w:val="24"/>
        </w:rPr>
        <w:t xml:space="preserve">atual </w:t>
      </w:r>
      <w:r w:rsidRPr="005655E5">
        <w:rPr>
          <w:rFonts w:ascii="Times New Roman" w:hAnsi="Times New Roman" w:cs="Times New Roman"/>
          <w:sz w:val="24"/>
          <w:szCs w:val="24"/>
        </w:rPr>
        <w:t xml:space="preserve">inciso IV do comando, que trata das antes mencionadas relações ilícitas, hoje </w:t>
      </w:r>
      <w:r w:rsidR="003403B2">
        <w:rPr>
          <w:rFonts w:ascii="Times New Roman" w:hAnsi="Times New Roman" w:cs="Times New Roman"/>
          <w:sz w:val="24"/>
          <w:szCs w:val="24"/>
        </w:rPr>
        <w:t xml:space="preserve">consideradas </w:t>
      </w:r>
      <w:r w:rsidRPr="005655E5">
        <w:rPr>
          <w:rFonts w:ascii="Times New Roman" w:hAnsi="Times New Roman" w:cs="Times New Roman"/>
          <w:sz w:val="24"/>
          <w:szCs w:val="24"/>
        </w:rPr>
        <w:t>superadas</w:t>
      </w:r>
      <w:r w:rsidR="003403B2">
        <w:rPr>
          <w:rFonts w:ascii="Times New Roman" w:hAnsi="Times New Roman" w:cs="Times New Roman"/>
          <w:sz w:val="24"/>
          <w:szCs w:val="24"/>
        </w:rPr>
        <w:t xml:space="preserve"> e distantes da realidade social. </w:t>
      </w:r>
      <w:r w:rsidRPr="005655E5">
        <w:rPr>
          <w:rFonts w:ascii="Times New Roman" w:hAnsi="Times New Roman" w:cs="Times New Roman"/>
          <w:sz w:val="24"/>
          <w:szCs w:val="24"/>
        </w:rPr>
        <w:t xml:space="preserve">Em </w:t>
      </w:r>
      <w:r w:rsidRPr="005655E5">
        <w:rPr>
          <w:rStyle w:val="italico"/>
          <w:rFonts w:ascii="Times New Roman" w:hAnsi="Times New Roman" w:cs="Times New Roman"/>
          <w:iCs/>
          <w:sz w:val="24"/>
          <w:szCs w:val="24"/>
        </w:rPr>
        <w:t xml:space="preserve">espelhamento </w:t>
      </w:r>
      <w:r w:rsidRPr="005655E5">
        <w:rPr>
          <w:rFonts w:ascii="Times New Roman" w:hAnsi="Times New Roman" w:cs="Times New Roman"/>
          <w:sz w:val="24"/>
          <w:szCs w:val="24"/>
        </w:rPr>
        <w:t>necessário, essas mudanças são efetivadas no art. 1.963, incluindo-se no seu inciso IV o desamparo material e</w:t>
      </w:r>
      <w:r w:rsidR="00FA5CF6">
        <w:rPr>
          <w:rFonts w:ascii="Times New Roman" w:hAnsi="Times New Roman" w:cs="Times New Roman"/>
          <w:sz w:val="24"/>
          <w:szCs w:val="24"/>
        </w:rPr>
        <w:t xml:space="preserve"> o</w:t>
      </w:r>
      <w:r w:rsidRPr="005655E5">
        <w:rPr>
          <w:rFonts w:ascii="Times New Roman" w:hAnsi="Times New Roman" w:cs="Times New Roman"/>
          <w:sz w:val="24"/>
          <w:szCs w:val="24"/>
        </w:rPr>
        <w:t xml:space="preserve"> abandono afetivo voluntário e injustificado do filho ou neto.</w:t>
      </w:r>
    </w:p>
    <w:p w:rsidR="005655E5" w:rsidRPr="005655E5" w:rsidRDefault="005655E5" w:rsidP="005655E5">
      <w:pPr>
        <w:pStyle w:val="t"/>
        <w:spacing w:before="120" w:after="120" w:line="360" w:lineRule="auto"/>
        <w:ind w:firstLine="1701"/>
        <w:rPr>
          <w:rFonts w:ascii="Times New Roman" w:hAnsi="Times New Roman" w:cs="Times New Roman"/>
          <w:sz w:val="24"/>
          <w:szCs w:val="24"/>
        </w:rPr>
      </w:pPr>
      <w:r w:rsidRPr="005655E5">
        <w:rPr>
          <w:rFonts w:ascii="Times New Roman" w:hAnsi="Times New Roman" w:cs="Times New Roman"/>
          <w:sz w:val="24"/>
          <w:szCs w:val="24"/>
        </w:rPr>
        <w:t xml:space="preserve">Penso que essa ampliação é mais do que necessária, atendendo-se ao </w:t>
      </w:r>
      <w:r w:rsidRPr="005655E5">
        <w:rPr>
          <w:rStyle w:val="italico"/>
          <w:rFonts w:ascii="Times New Roman" w:hAnsi="Times New Roman" w:cs="Times New Roman"/>
          <w:iCs/>
          <w:sz w:val="24"/>
          <w:szCs w:val="24"/>
        </w:rPr>
        <w:t>clamor doutrinário</w:t>
      </w:r>
      <w:r w:rsidRPr="005655E5">
        <w:rPr>
          <w:rFonts w:ascii="Times New Roman" w:hAnsi="Times New Roman" w:cs="Times New Roman"/>
          <w:sz w:val="24"/>
          <w:szCs w:val="24"/>
        </w:rPr>
        <w:t>, sobretudo na inclusão do abandono afetivo, hoje inexistente na norma, e que não pode fundamentar atualmente a indignidade ou a deserdação, por ser a herança um direito fundamental protegido no Texto Maior</w:t>
      </w:r>
      <w:r w:rsidRPr="00BB4E30">
        <w:rPr>
          <w:rFonts w:ascii="Times New Roman" w:hAnsi="Times New Roman" w:cs="Times New Roman"/>
          <w:sz w:val="24"/>
          <w:szCs w:val="24"/>
        </w:rPr>
        <w:t xml:space="preserve">. </w:t>
      </w:r>
      <w:r w:rsidR="003403B2">
        <w:rPr>
          <w:rFonts w:ascii="Times New Roman" w:hAnsi="Times New Roman" w:cs="Times New Roman"/>
          <w:sz w:val="24"/>
          <w:szCs w:val="24"/>
        </w:rPr>
        <w:t>Cabe pontuar que</w:t>
      </w:r>
      <w:r w:rsidR="00FA5CF6">
        <w:rPr>
          <w:rFonts w:ascii="Times New Roman" w:hAnsi="Times New Roman" w:cs="Times New Roman"/>
          <w:sz w:val="24"/>
          <w:szCs w:val="24"/>
        </w:rPr>
        <w:t>,</w:t>
      </w:r>
      <w:r w:rsidR="003403B2">
        <w:rPr>
          <w:rFonts w:ascii="Times New Roman" w:hAnsi="Times New Roman" w:cs="Times New Roman"/>
          <w:sz w:val="24"/>
          <w:szCs w:val="24"/>
        </w:rPr>
        <w:t xml:space="preserve"> a</w:t>
      </w:r>
      <w:r w:rsidRPr="00BB4E30">
        <w:rPr>
          <w:rFonts w:ascii="Times New Roman" w:hAnsi="Times New Roman" w:cs="Times New Roman"/>
          <w:sz w:val="24"/>
          <w:szCs w:val="24"/>
        </w:rPr>
        <w:t xml:space="preserve">pesar de a Lei </w:t>
      </w:r>
      <w:r w:rsidR="00FA5CF6">
        <w:rPr>
          <w:rFonts w:ascii="Times New Roman" w:hAnsi="Times New Roman" w:cs="Times New Roman"/>
          <w:sz w:val="24"/>
          <w:szCs w:val="24"/>
        </w:rPr>
        <w:t xml:space="preserve">n. </w:t>
      </w:r>
      <w:r w:rsidRPr="00BB4E30">
        <w:rPr>
          <w:rFonts w:ascii="Times New Roman" w:hAnsi="Times New Roman" w:cs="Times New Roman"/>
          <w:sz w:val="24"/>
          <w:szCs w:val="24"/>
        </w:rPr>
        <w:t xml:space="preserve">15.240/2025 ter consagrado o seu tratamento como ato ilícito civil, alterando os arts. 4.º e 5.º do Estatuto da Criança e do Adolescente, para que gere a perda do direito fundamental à herança, deve ser incluído nas normas específicas sucessórias em estudo. </w:t>
      </w:r>
    </w:p>
    <w:p w:rsidR="003403B2" w:rsidRDefault="00BB4E30" w:rsidP="005655E5">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Como última observação sobre o tema, t</w:t>
      </w:r>
      <w:r w:rsidR="005655E5" w:rsidRPr="005655E5">
        <w:rPr>
          <w:rFonts w:ascii="Times New Roman" w:hAnsi="Times New Roman" w:cs="Times New Roman"/>
          <w:sz w:val="24"/>
          <w:szCs w:val="24"/>
        </w:rPr>
        <w:t>ambém se almeja alterar</w:t>
      </w:r>
      <w:r w:rsidR="005655E5" w:rsidRPr="00BB4E30">
        <w:rPr>
          <w:rFonts w:ascii="Times New Roman" w:hAnsi="Times New Roman" w:cs="Times New Roman"/>
          <w:sz w:val="24"/>
          <w:szCs w:val="24"/>
        </w:rPr>
        <w:t xml:space="preserve"> no Projeto de Reforma do Código Civil</w:t>
      </w:r>
      <w:r w:rsidR="005655E5" w:rsidRPr="005655E5">
        <w:rPr>
          <w:rFonts w:ascii="Times New Roman" w:hAnsi="Times New Roman" w:cs="Times New Roman"/>
          <w:sz w:val="24"/>
          <w:szCs w:val="24"/>
        </w:rPr>
        <w:t xml:space="preserve"> o art. 92 do Código Penal, para se prever que são efeitos da condenação criminal, de forma automática, no seu novo inciso VI, “a indignidade sucessória, quando o autor, coautor ou partícipe de crime doloso, tentado ou consumado: a) for herdeiro legítimo, herdeiro testamentário ou legatário da vítima; b) praticar o crime com interesse na destinação do patrimônio hereditário, mesmo que não possua vínculo”. </w:t>
      </w:r>
    </w:p>
    <w:p w:rsidR="005655E5" w:rsidRPr="005655E5" w:rsidRDefault="005655E5" w:rsidP="005655E5">
      <w:pPr>
        <w:pStyle w:val="t"/>
        <w:spacing w:before="120" w:after="120" w:line="360" w:lineRule="auto"/>
        <w:ind w:firstLine="1701"/>
        <w:rPr>
          <w:rFonts w:ascii="Times New Roman" w:hAnsi="Times New Roman" w:cs="Times New Roman"/>
          <w:sz w:val="24"/>
          <w:szCs w:val="24"/>
        </w:rPr>
      </w:pPr>
      <w:r w:rsidRPr="005655E5">
        <w:rPr>
          <w:rFonts w:ascii="Times New Roman" w:hAnsi="Times New Roman" w:cs="Times New Roman"/>
          <w:sz w:val="24"/>
          <w:szCs w:val="24"/>
        </w:rPr>
        <w:t xml:space="preserve">Essa proposição também é salutar, há tempos pleiteada pelos </w:t>
      </w:r>
      <w:r w:rsidRPr="005655E5">
        <w:rPr>
          <w:rStyle w:val="italico"/>
          <w:rFonts w:ascii="Times New Roman" w:hAnsi="Times New Roman" w:cs="Times New Roman"/>
          <w:iCs/>
          <w:sz w:val="24"/>
          <w:szCs w:val="24"/>
        </w:rPr>
        <w:lastRenderedPageBreak/>
        <w:t>sucessionistas brasileiros</w:t>
      </w:r>
      <w:r w:rsidRPr="005655E5">
        <w:rPr>
          <w:rFonts w:ascii="Times New Roman" w:hAnsi="Times New Roman" w:cs="Times New Roman"/>
          <w:sz w:val="24"/>
          <w:szCs w:val="24"/>
        </w:rPr>
        <w:t xml:space="preserve">, como é o meu caso, de Mario Delgado e de Giselda </w:t>
      </w:r>
      <w:r w:rsidR="00BB4E30">
        <w:rPr>
          <w:rFonts w:ascii="Times New Roman" w:hAnsi="Times New Roman" w:cs="Times New Roman"/>
          <w:sz w:val="24"/>
          <w:szCs w:val="24"/>
        </w:rPr>
        <w:t xml:space="preserve">Maria Fernandes Novaes </w:t>
      </w:r>
      <w:r w:rsidRPr="005655E5">
        <w:rPr>
          <w:rFonts w:ascii="Times New Roman" w:hAnsi="Times New Roman" w:cs="Times New Roman"/>
          <w:sz w:val="24"/>
          <w:szCs w:val="24"/>
        </w:rPr>
        <w:t>Hironaka, que integraram a Subcomissão de Direito das Sucessões</w:t>
      </w:r>
      <w:r w:rsidR="003403B2">
        <w:rPr>
          <w:rFonts w:ascii="Times New Roman" w:hAnsi="Times New Roman" w:cs="Times New Roman"/>
          <w:sz w:val="24"/>
          <w:szCs w:val="24"/>
        </w:rPr>
        <w:t>, sendo imperiosa a sua aprovação pelo Parlamento Brasileiro</w:t>
      </w:r>
      <w:r w:rsidRPr="005655E5">
        <w:rPr>
          <w:rFonts w:ascii="Times New Roman" w:hAnsi="Times New Roman" w:cs="Times New Roman"/>
          <w:sz w:val="24"/>
          <w:szCs w:val="24"/>
        </w:rPr>
        <w:t>.</w:t>
      </w:r>
    </w:p>
    <w:sectPr w:rsidR="005655E5" w:rsidRPr="005655E5" w:rsidSect="00786A89">
      <w:footerReference w:type="default" r:id="rId7"/>
      <w:pgSz w:w="11906" w:h="16838"/>
      <w:pgMar w:top="1417" w:right="1701" w:bottom="1417" w:left="1701"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059B682" w15:done="0"/>
  <w15:commentEx w15:paraId="1828B434" w15:done="0"/>
  <w15:commentEx w15:paraId="2CF0CD48" w15:done="0"/>
  <w15:commentEx w15:paraId="759FCDF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913C616" w16cex:dateUtc="2025-12-04T18:16:00Z"/>
  <w16cex:commentExtensible w16cex:durableId="57D94025" w16cex:dateUtc="2025-12-04T18:37:00Z"/>
  <w16cex:commentExtensible w16cex:durableId="71BE2976" w16cex:dateUtc="2025-12-04T18:37:00Z"/>
  <w16cex:commentExtensible w16cex:durableId="7D71000D" w16cex:dateUtc="2025-12-04T18:2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059B682" w16cid:durableId="3913C616"/>
  <w16cid:commentId w16cid:paraId="1828B434" w16cid:durableId="57D94025"/>
  <w16cid:commentId w16cid:paraId="2CF0CD48" w16cid:durableId="71BE2976"/>
  <w16cid:commentId w16cid:paraId="759FCDF6" w16cid:durableId="7D71000D"/>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739A" w:rsidRDefault="002F739A" w:rsidP="005655E5">
      <w:pPr>
        <w:spacing w:after="0" w:line="240" w:lineRule="auto"/>
      </w:pPr>
      <w:r>
        <w:separator/>
      </w:r>
    </w:p>
  </w:endnote>
  <w:endnote w:type="continuationSeparator" w:id="0">
    <w:p w:rsidR="002F739A" w:rsidRDefault="002F739A" w:rsidP="005655E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Pro-Regular">
    <w:altName w:val="Cambria Math"/>
    <w:panose1 w:val="00000000000000000000"/>
    <w:charset w:val="00"/>
    <w:family w:val="auto"/>
    <w:notTrueType/>
    <w:pitch w:val="default"/>
    <w:sig w:usb0="00000003" w:usb1="00000000" w:usb2="00000000" w:usb3="00000000" w:csb0="00000001" w:csb1="00000000"/>
  </w:font>
  <w:font w:name="MyriadPro-Regular">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5488892"/>
      <w:docPartObj>
        <w:docPartGallery w:val="Page Numbers (Bottom of Page)"/>
        <w:docPartUnique/>
      </w:docPartObj>
    </w:sdtPr>
    <w:sdtContent>
      <w:p w:rsidR="00BB4E30" w:rsidRDefault="00195595">
        <w:pPr>
          <w:pStyle w:val="Rodap"/>
          <w:jc w:val="right"/>
        </w:pPr>
        <w:r>
          <w:fldChar w:fldCharType="begin"/>
        </w:r>
        <w:r w:rsidR="00435387">
          <w:instrText xml:space="preserve"> PAGE   \* MERGEFORMAT </w:instrText>
        </w:r>
        <w:r>
          <w:fldChar w:fldCharType="separate"/>
        </w:r>
        <w:r w:rsidR="00FA64C5">
          <w:rPr>
            <w:noProof/>
          </w:rPr>
          <w:t>7</w:t>
        </w:r>
        <w:r>
          <w:rPr>
            <w:noProof/>
          </w:rPr>
          <w:fldChar w:fldCharType="end"/>
        </w:r>
      </w:p>
    </w:sdtContent>
  </w:sdt>
  <w:p w:rsidR="00BB4E30" w:rsidRDefault="00BB4E30">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739A" w:rsidRDefault="002F739A" w:rsidP="005655E5">
      <w:pPr>
        <w:spacing w:after="0" w:line="240" w:lineRule="auto"/>
      </w:pPr>
      <w:r>
        <w:separator/>
      </w:r>
    </w:p>
  </w:footnote>
  <w:footnote w:type="continuationSeparator" w:id="0">
    <w:p w:rsidR="002F739A" w:rsidRDefault="002F739A" w:rsidP="005655E5">
      <w:pPr>
        <w:spacing w:after="0" w:line="240" w:lineRule="auto"/>
      </w:pPr>
      <w:r>
        <w:continuationSeparator/>
      </w:r>
    </w:p>
  </w:footnote>
  <w:footnote w:id="1">
    <w:p w:rsidR="005655E5" w:rsidRPr="00197971" w:rsidRDefault="005655E5" w:rsidP="005655E5">
      <w:pPr>
        <w:pStyle w:val="Textodenotaderodap"/>
        <w:jc w:val="both"/>
      </w:pPr>
      <w:r w:rsidRPr="003B2F06">
        <w:rPr>
          <w:rStyle w:val="Refdenotaderodap"/>
        </w:rPr>
        <w:footnoteRef/>
      </w:r>
      <w:r w:rsidRPr="003B2F06">
        <w:t xml:space="preserve"> </w:t>
      </w:r>
      <w:r>
        <w:t xml:space="preserve">Pós-Doutor e </w:t>
      </w:r>
      <w:r w:rsidRPr="003B2F06">
        <w:t xml:space="preserve">Doutor em Direito Civil pela USP. Mestre em Direito Civil Comparado pela PUCSP. Professor </w:t>
      </w:r>
      <w:r>
        <w:t>T</w:t>
      </w:r>
      <w:r w:rsidRPr="003B2F06">
        <w:t xml:space="preserve">itular permanente </w:t>
      </w:r>
      <w:r>
        <w:t xml:space="preserve">e coordenador do mestrado da Escola Paulista de Direito (EPD). </w:t>
      </w:r>
      <w:r w:rsidRPr="003B2F06">
        <w:t xml:space="preserve">Professor </w:t>
      </w:r>
      <w:r>
        <w:t xml:space="preserve">e coordenador </w:t>
      </w:r>
      <w:r w:rsidRPr="003B2F06">
        <w:t xml:space="preserve">dos cursos de pós-graduação </w:t>
      </w:r>
      <w:r w:rsidRPr="00511B17">
        <w:rPr>
          <w:i/>
        </w:rPr>
        <w:t>lato sensu</w:t>
      </w:r>
      <w:r w:rsidRPr="003B2F06">
        <w:t xml:space="preserve"> </w:t>
      </w:r>
      <w:r>
        <w:t xml:space="preserve">em Direito Privado </w:t>
      </w:r>
      <w:r w:rsidRPr="003B2F06">
        <w:t>da EPD.</w:t>
      </w:r>
      <w:r>
        <w:t xml:space="preserve"> Relator do Projeto de Reforma do Código Civil. Primeiro Presidente e Fundador do Instituto Brasileiro de Direito Contratual (IBDCONT). Conselheiro Federal da OAB, pela OABSP. </w:t>
      </w:r>
      <w:r w:rsidRPr="003B2F06">
        <w:t xml:space="preserve">Advogado </w:t>
      </w:r>
      <w:r>
        <w:t xml:space="preserve">em São Paulo, parecerista, árbitro </w:t>
      </w:r>
      <w:r w:rsidRPr="003B2F06">
        <w:t>e consultor jurídico</w:t>
      </w:r>
      <w:r w:rsidRPr="00197971">
        <w:t xml:space="preserve">. </w:t>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evisão_KH">
    <w15:presenceInfo w15:providerId="None" w15:userId="Revisão_KH"/>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defaultTabStop w:val="708"/>
  <w:hyphenationZone w:val="425"/>
  <w:characterSpacingControl w:val="doNotCompress"/>
  <w:footnotePr>
    <w:footnote w:id="-1"/>
    <w:footnote w:id="0"/>
  </w:footnotePr>
  <w:endnotePr>
    <w:endnote w:id="-1"/>
    <w:endnote w:id="0"/>
  </w:endnotePr>
  <w:compat/>
  <w:rsids>
    <w:rsidRoot w:val="005655E5"/>
    <w:rsid w:val="000C6FEA"/>
    <w:rsid w:val="00143C20"/>
    <w:rsid w:val="00195595"/>
    <w:rsid w:val="002F739A"/>
    <w:rsid w:val="00316E4B"/>
    <w:rsid w:val="003403B2"/>
    <w:rsid w:val="00422F30"/>
    <w:rsid w:val="00435387"/>
    <w:rsid w:val="004B6AAA"/>
    <w:rsid w:val="005655E5"/>
    <w:rsid w:val="005E63E9"/>
    <w:rsid w:val="00623141"/>
    <w:rsid w:val="006F2A00"/>
    <w:rsid w:val="00786A89"/>
    <w:rsid w:val="00A158EE"/>
    <w:rsid w:val="00B10386"/>
    <w:rsid w:val="00BB4E08"/>
    <w:rsid w:val="00BB4E30"/>
    <w:rsid w:val="00D404B8"/>
    <w:rsid w:val="00D96BAE"/>
    <w:rsid w:val="00EF2C9F"/>
    <w:rsid w:val="00F817D6"/>
    <w:rsid w:val="00FA5CF6"/>
    <w:rsid w:val="00FA64C5"/>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6A89"/>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
    <w:name w:val="t"/>
    <w:basedOn w:val="Normal"/>
    <w:next w:val="Normal"/>
    <w:uiPriority w:val="99"/>
    <w:rsid w:val="005655E5"/>
    <w:pPr>
      <w:widowControl w:val="0"/>
      <w:autoSpaceDE w:val="0"/>
      <w:autoSpaceDN w:val="0"/>
      <w:adjustRightInd w:val="0"/>
      <w:spacing w:after="57" w:line="240" w:lineRule="atLeast"/>
      <w:ind w:firstLine="454"/>
      <w:jc w:val="both"/>
      <w:textAlignment w:val="center"/>
    </w:pPr>
    <w:rPr>
      <w:rFonts w:ascii="MinionPro-Regular" w:eastAsia="Times New Roman" w:hAnsi="MinionPro-Regular" w:cs="MinionPro-Regular"/>
      <w:color w:val="000000"/>
      <w:sz w:val="21"/>
      <w:szCs w:val="21"/>
      <w:lang w:eastAsia="pt-BR"/>
    </w:rPr>
  </w:style>
  <w:style w:type="paragraph" w:customStyle="1" w:styleId="boxiniciorec">
    <w:name w:val="box inicio_rec"/>
    <w:basedOn w:val="Normal"/>
    <w:uiPriority w:val="99"/>
    <w:rsid w:val="005655E5"/>
    <w:pPr>
      <w:widowControl w:val="0"/>
      <w:shd w:val="clear" w:color="auto" w:fill="000000"/>
      <w:autoSpaceDE w:val="0"/>
      <w:autoSpaceDN w:val="0"/>
      <w:adjustRightInd w:val="0"/>
      <w:spacing w:before="283" w:after="57" w:line="220" w:lineRule="atLeast"/>
      <w:ind w:left="850" w:right="454" w:hanging="283"/>
      <w:jc w:val="both"/>
      <w:textAlignment w:val="center"/>
    </w:pPr>
    <w:rPr>
      <w:rFonts w:ascii="MyriadPro-Regular" w:eastAsia="Times New Roman" w:hAnsi="MyriadPro-Regular" w:cs="MyriadPro-Regular"/>
      <w:color w:val="000000"/>
      <w:sz w:val="20"/>
      <w:szCs w:val="20"/>
      <w:lang w:eastAsia="pt-BR"/>
    </w:rPr>
  </w:style>
  <w:style w:type="paragraph" w:customStyle="1" w:styleId="boxfinalrec">
    <w:name w:val="box final_rec"/>
    <w:basedOn w:val="Normal"/>
    <w:uiPriority w:val="99"/>
    <w:rsid w:val="005655E5"/>
    <w:pPr>
      <w:widowControl w:val="0"/>
      <w:shd w:val="clear" w:color="auto" w:fill="000000"/>
      <w:autoSpaceDE w:val="0"/>
      <w:autoSpaceDN w:val="0"/>
      <w:adjustRightInd w:val="0"/>
      <w:spacing w:after="283" w:line="220" w:lineRule="atLeast"/>
      <w:ind w:left="850" w:right="454" w:hanging="283"/>
      <w:jc w:val="both"/>
      <w:textAlignment w:val="center"/>
    </w:pPr>
    <w:rPr>
      <w:rFonts w:ascii="MyriadPro-Regular" w:eastAsia="Times New Roman" w:hAnsi="MyriadPro-Regular" w:cs="MyriadPro-Regular"/>
      <w:color w:val="000000"/>
      <w:sz w:val="20"/>
      <w:szCs w:val="20"/>
      <w:lang w:eastAsia="pt-BR"/>
    </w:rPr>
  </w:style>
  <w:style w:type="paragraph" w:customStyle="1" w:styleId="recmenor">
    <w:name w:val="rec menor"/>
    <w:basedOn w:val="t"/>
    <w:uiPriority w:val="99"/>
    <w:rsid w:val="005655E5"/>
    <w:pPr>
      <w:suppressAutoHyphens/>
      <w:spacing w:before="170" w:after="283" w:line="220" w:lineRule="atLeast"/>
      <w:ind w:left="454" w:right="397" w:firstLine="0"/>
    </w:pPr>
    <w:rPr>
      <w:w w:val="101"/>
      <w:sz w:val="20"/>
      <w:szCs w:val="20"/>
    </w:rPr>
  </w:style>
  <w:style w:type="paragraph" w:customStyle="1" w:styleId="boxmeiorec">
    <w:name w:val="box_meio_rec"/>
    <w:basedOn w:val="Normal"/>
    <w:uiPriority w:val="99"/>
    <w:rsid w:val="005655E5"/>
    <w:pPr>
      <w:widowControl w:val="0"/>
      <w:shd w:val="clear" w:color="auto" w:fill="000000"/>
      <w:autoSpaceDE w:val="0"/>
      <w:autoSpaceDN w:val="0"/>
      <w:adjustRightInd w:val="0"/>
      <w:spacing w:after="57" w:line="220" w:lineRule="atLeast"/>
      <w:ind w:left="850" w:right="454" w:hanging="283"/>
      <w:jc w:val="both"/>
      <w:textAlignment w:val="center"/>
    </w:pPr>
    <w:rPr>
      <w:rFonts w:ascii="MyriadPro-Regular" w:eastAsia="Times New Roman" w:hAnsi="MyriadPro-Regular" w:cs="MyriadPro-Regular"/>
      <w:color w:val="000000"/>
      <w:sz w:val="20"/>
      <w:szCs w:val="20"/>
      <w:lang w:eastAsia="pt-BR"/>
    </w:rPr>
  </w:style>
  <w:style w:type="paragraph" w:customStyle="1" w:styleId="nota">
    <w:name w:val="nota"/>
    <w:basedOn w:val="t"/>
    <w:uiPriority w:val="99"/>
    <w:rsid w:val="005655E5"/>
    <w:pPr>
      <w:tabs>
        <w:tab w:val="left" w:pos="320"/>
      </w:tabs>
      <w:spacing w:line="200" w:lineRule="atLeast"/>
      <w:ind w:left="227" w:hanging="227"/>
    </w:pPr>
    <w:rPr>
      <w:rFonts w:ascii="MyriadPro-Regular" w:hAnsi="MyriadPro-Regular" w:cs="MyriadPro-Regular"/>
      <w:sz w:val="17"/>
      <w:szCs w:val="17"/>
    </w:rPr>
  </w:style>
  <w:style w:type="character" w:customStyle="1" w:styleId="italico">
    <w:name w:val="italico"/>
    <w:uiPriority w:val="99"/>
    <w:rsid w:val="005655E5"/>
    <w:rPr>
      <w:i/>
      <w:color w:val="000000"/>
    </w:rPr>
  </w:style>
  <w:style w:type="character" w:customStyle="1" w:styleId="elevado">
    <w:name w:val="elevado"/>
    <w:uiPriority w:val="99"/>
    <w:rsid w:val="005655E5"/>
    <w:rPr>
      <w:color w:val="000000"/>
      <w:vertAlign w:val="superscript"/>
    </w:rPr>
  </w:style>
  <w:style w:type="paragraph" w:styleId="Textodenotaderodap">
    <w:name w:val="footnote text"/>
    <w:aliases w:val=" Char Char,Char Char, Char Char Char Char,Nota de rodapé,fn,ALTS FOOTNOTE,Footnote Text Char,footnote text char, Char3,Char3,Texto de rodapé,Char3 Char Char Char Char, Char3 Char Char Char Char, Char3 Char Char,Char3 Char Char,f"/>
    <w:basedOn w:val="Normal"/>
    <w:link w:val="TextodenotaderodapChar"/>
    <w:uiPriority w:val="99"/>
    <w:qFormat/>
    <w:rsid w:val="005655E5"/>
    <w:pPr>
      <w:spacing w:after="0" w:line="240" w:lineRule="auto"/>
    </w:pPr>
    <w:rPr>
      <w:rFonts w:ascii="Times New Roman" w:eastAsia="Times New Roman" w:hAnsi="Times New Roman" w:cs="Times New Roman"/>
      <w:sz w:val="20"/>
      <w:szCs w:val="20"/>
      <w:lang w:eastAsia="pt-BR"/>
    </w:rPr>
  </w:style>
  <w:style w:type="character" w:customStyle="1" w:styleId="TextodenotaderodapChar">
    <w:name w:val="Texto de nota de rodapé Char"/>
    <w:aliases w:val=" Char Char Char,Char Char Char, Char Char Char Char Char,Nota de rodapé Char,fn Char,ALTS FOOTNOTE Char,Footnote Text Char Char,footnote text char Char, Char3 Char,Char3 Char,Texto de rodapé Char, Char3 Char Char Char,f Char"/>
    <w:basedOn w:val="Fontepargpadro"/>
    <w:link w:val="Textodenotaderodap"/>
    <w:uiPriority w:val="99"/>
    <w:qFormat/>
    <w:rsid w:val="005655E5"/>
    <w:rPr>
      <w:rFonts w:ascii="Times New Roman" w:eastAsia="Times New Roman" w:hAnsi="Times New Roman" w:cs="Times New Roman"/>
      <w:sz w:val="20"/>
      <w:szCs w:val="20"/>
      <w:lang w:eastAsia="pt-BR"/>
    </w:rPr>
  </w:style>
  <w:style w:type="character" w:styleId="Refdenotaderodap">
    <w:name w:val="footnote reference"/>
    <w:aliases w:val="sobrescrito,Ref,de nota al pie,FC,_Footnote Reference,_Footnote text,_Footnote,_Footnote Text,_Footnote base Reference,Footnote symbol,Style 12,(NECG) Footnote Reference,Referência de rodapé,Ref. de nota de rodapé monografia.,fr,o"/>
    <w:link w:val="frCharChar1"/>
    <w:uiPriority w:val="99"/>
    <w:qFormat/>
    <w:rsid w:val="005655E5"/>
    <w:rPr>
      <w:vertAlign w:val="superscript"/>
    </w:rPr>
  </w:style>
  <w:style w:type="paragraph" w:customStyle="1" w:styleId="frCharChar1">
    <w:name w:val="fr Char Char1"/>
    <w:aliases w:val="fr Char Char Char, Char Char6 Char Char Char Char Char Char Char Char Char Char Char, Char6 Char Char Char Char Char Char Char Char Char Char Char Char,Char Char6 Char Char Char Char Char Char Char Char Char Char Char"/>
    <w:basedOn w:val="Normal"/>
    <w:link w:val="Refdenotaderodap"/>
    <w:uiPriority w:val="99"/>
    <w:rsid w:val="005655E5"/>
    <w:pPr>
      <w:spacing w:after="120" w:line="360" w:lineRule="auto"/>
      <w:jc w:val="center"/>
    </w:pPr>
    <w:rPr>
      <w:vertAlign w:val="superscript"/>
    </w:rPr>
  </w:style>
  <w:style w:type="paragraph" w:styleId="Cabealho">
    <w:name w:val="header"/>
    <w:basedOn w:val="Normal"/>
    <w:link w:val="CabealhoChar"/>
    <w:uiPriority w:val="99"/>
    <w:semiHidden/>
    <w:unhideWhenUsed/>
    <w:rsid w:val="00BB4E30"/>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BB4E30"/>
  </w:style>
  <w:style w:type="paragraph" w:styleId="Rodap">
    <w:name w:val="footer"/>
    <w:basedOn w:val="Normal"/>
    <w:link w:val="RodapChar"/>
    <w:uiPriority w:val="99"/>
    <w:unhideWhenUsed/>
    <w:rsid w:val="00BB4E30"/>
    <w:pPr>
      <w:tabs>
        <w:tab w:val="center" w:pos="4252"/>
        <w:tab w:val="right" w:pos="8504"/>
      </w:tabs>
      <w:spacing w:after="0" w:line="240" w:lineRule="auto"/>
    </w:pPr>
  </w:style>
  <w:style w:type="character" w:customStyle="1" w:styleId="RodapChar">
    <w:name w:val="Rodapé Char"/>
    <w:basedOn w:val="Fontepargpadro"/>
    <w:link w:val="Rodap"/>
    <w:uiPriority w:val="99"/>
    <w:rsid w:val="00BB4E30"/>
  </w:style>
  <w:style w:type="paragraph" w:styleId="Reviso">
    <w:name w:val="Revision"/>
    <w:hidden/>
    <w:uiPriority w:val="99"/>
    <w:semiHidden/>
    <w:rsid w:val="00BB4E08"/>
    <w:pPr>
      <w:spacing w:after="0" w:line="240" w:lineRule="auto"/>
    </w:pPr>
  </w:style>
  <w:style w:type="character" w:styleId="Refdecomentrio">
    <w:name w:val="annotation reference"/>
    <w:basedOn w:val="Fontepargpadro"/>
    <w:uiPriority w:val="99"/>
    <w:semiHidden/>
    <w:unhideWhenUsed/>
    <w:rsid w:val="00BB4E08"/>
    <w:rPr>
      <w:sz w:val="16"/>
      <w:szCs w:val="16"/>
    </w:rPr>
  </w:style>
  <w:style w:type="paragraph" w:styleId="Textodecomentrio">
    <w:name w:val="annotation text"/>
    <w:basedOn w:val="Normal"/>
    <w:link w:val="TextodecomentrioChar"/>
    <w:uiPriority w:val="99"/>
    <w:unhideWhenUsed/>
    <w:rsid w:val="00BB4E08"/>
    <w:pPr>
      <w:spacing w:line="240" w:lineRule="auto"/>
    </w:pPr>
    <w:rPr>
      <w:sz w:val="20"/>
      <w:szCs w:val="20"/>
    </w:rPr>
  </w:style>
  <w:style w:type="character" w:customStyle="1" w:styleId="TextodecomentrioChar">
    <w:name w:val="Texto de comentário Char"/>
    <w:basedOn w:val="Fontepargpadro"/>
    <w:link w:val="Textodecomentrio"/>
    <w:uiPriority w:val="99"/>
    <w:rsid w:val="00BB4E08"/>
    <w:rPr>
      <w:sz w:val="20"/>
      <w:szCs w:val="20"/>
    </w:rPr>
  </w:style>
  <w:style w:type="paragraph" w:styleId="Assuntodocomentrio">
    <w:name w:val="annotation subject"/>
    <w:basedOn w:val="Textodecomentrio"/>
    <w:next w:val="Textodecomentrio"/>
    <w:link w:val="AssuntodocomentrioChar"/>
    <w:uiPriority w:val="99"/>
    <w:semiHidden/>
    <w:unhideWhenUsed/>
    <w:rsid w:val="00BB4E08"/>
    <w:rPr>
      <w:b/>
      <w:bCs/>
    </w:rPr>
  </w:style>
  <w:style w:type="character" w:customStyle="1" w:styleId="AssuntodocomentrioChar">
    <w:name w:val="Assunto do comentário Char"/>
    <w:basedOn w:val="TextodecomentrioChar"/>
    <w:link w:val="Assuntodocomentrio"/>
    <w:uiPriority w:val="99"/>
    <w:semiHidden/>
    <w:rsid w:val="00BB4E08"/>
    <w:rPr>
      <w:b/>
      <w:bCs/>
      <w:sz w:val="20"/>
      <w:szCs w:val="20"/>
    </w:rPr>
  </w:style>
  <w:style w:type="paragraph" w:styleId="Textodebalo">
    <w:name w:val="Balloon Text"/>
    <w:basedOn w:val="Normal"/>
    <w:link w:val="TextodebaloChar"/>
    <w:uiPriority w:val="99"/>
    <w:semiHidden/>
    <w:unhideWhenUsed/>
    <w:rsid w:val="00316E4B"/>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316E4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microsoft.com/office/2011/relationships/people" Target="peop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5" Type="http://schemas.microsoft.com/office/2016/09/relationships/commentsIds" Target="commentsIds.xml"/><Relationship Id="rId10" Type="http://schemas.microsoft.com/office/2011/relationships/commentsExtended" Target="commentsExtended.xml"/><Relationship Id="rId4" Type="http://schemas.openxmlformats.org/officeDocument/2006/relationships/webSettings" Target="webSettings.xml"/><Relationship Id="rId9" Type="http://schemas.openxmlformats.org/officeDocument/2006/relationships/theme" Target="theme/theme1.xml"/><Relationship Id="rId14" Type="http://schemas.microsoft.com/office/2018/08/relationships/commentsExtensible" Target="commentsExtensi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629E96A-118E-421B-8A53-91ED705D4F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2300</Words>
  <Characters>12426</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14697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Flavio</dc:creator>
  <cp:lastModifiedBy>Flavio</cp:lastModifiedBy>
  <cp:revision>2</cp:revision>
  <dcterms:created xsi:type="dcterms:W3CDTF">2026-01-23T13:30:00Z</dcterms:created>
  <dcterms:modified xsi:type="dcterms:W3CDTF">2026-01-23T13:30:00Z</dcterms:modified>
</cp:coreProperties>
</file>