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01BD3" w14:textId="63B01331" w:rsidR="002B77B1" w:rsidRPr="00506A24" w:rsidRDefault="00D61255" w:rsidP="001F0B30">
      <w:pPr>
        <w:spacing w:before="120" w:after="120" w:line="360" w:lineRule="auto"/>
        <w:jc w:val="center"/>
        <w:rPr>
          <w:rFonts w:ascii="Times New Roman" w:hAnsi="Times New Roman" w:cs="Times New Roman"/>
          <w:b/>
          <w:bCs/>
          <w:sz w:val="24"/>
          <w:szCs w:val="24"/>
        </w:rPr>
      </w:pPr>
      <w:r w:rsidRPr="00506A24">
        <w:rPr>
          <w:rFonts w:ascii="Times New Roman" w:hAnsi="Times New Roman" w:cs="Times New Roman"/>
          <w:b/>
          <w:bCs/>
          <w:sz w:val="24"/>
          <w:szCs w:val="24"/>
        </w:rPr>
        <w:t>DIREITO CIVIL DIGITAL</w:t>
      </w:r>
      <w:r w:rsidR="00DB007B">
        <w:rPr>
          <w:rFonts w:ascii="Times New Roman" w:hAnsi="Times New Roman" w:cs="Times New Roman"/>
          <w:b/>
          <w:bCs/>
          <w:sz w:val="24"/>
          <w:szCs w:val="24"/>
        </w:rPr>
        <w:t xml:space="preserve">, DIREITO DE FAMÍLIA E DAS SUCESSÕES: </w:t>
      </w:r>
      <w:r w:rsidR="007713AD">
        <w:rPr>
          <w:rFonts w:ascii="Times New Roman" w:hAnsi="Times New Roman" w:cs="Times New Roman"/>
          <w:b/>
          <w:bCs/>
          <w:sz w:val="24"/>
          <w:szCs w:val="24"/>
        </w:rPr>
        <w:t xml:space="preserve">AS </w:t>
      </w:r>
      <w:r w:rsidR="000B6EDD" w:rsidRPr="00506A24">
        <w:rPr>
          <w:rFonts w:ascii="Times New Roman" w:hAnsi="Times New Roman" w:cs="Times New Roman"/>
          <w:b/>
          <w:bCs/>
          <w:sz w:val="24"/>
          <w:szCs w:val="24"/>
        </w:rPr>
        <w:t>A</w:t>
      </w:r>
      <w:r w:rsidR="00DB007B">
        <w:rPr>
          <w:rFonts w:ascii="Times New Roman" w:hAnsi="Times New Roman" w:cs="Times New Roman"/>
          <w:b/>
          <w:bCs/>
          <w:sz w:val="24"/>
          <w:szCs w:val="24"/>
        </w:rPr>
        <w:t xml:space="preserve">SSINATURAS DIGITAIS </w:t>
      </w:r>
    </w:p>
    <w:p w14:paraId="38484EFC" w14:textId="77777777" w:rsidR="00CC320E" w:rsidRPr="00506A24" w:rsidRDefault="00CC320E" w:rsidP="009661A3">
      <w:pPr>
        <w:spacing w:before="120" w:after="120" w:line="360" w:lineRule="auto"/>
        <w:jc w:val="right"/>
        <w:rPr>
          <w:rFonts w:ascii="Times New Roman" w:hAnsi="Times New Roman" w:cs="Times New Roman"/>
          <w:bCs/>
          <w:sz w:val="24"/>
          <w:szCs w:val="24"/>
        </w:rPr>
      </w:pPr>
    </w:p>
    <w:p w14:paraId="490AF183" w14:textId="77777777" w:rsidR="00805969" w:rsidRPr="00506A24" w:rsidRDefault="00B15AD0" w:rsidP="009661A3">
      <w:pPr>
        <w:spacing w:before="120" w:after="120" w:line="360" w:lineRule="auto"/>
        <w:jc w:val="right"/>
        <w:rPr>
          <w:rFonts w:ascii="Times New Roman" w:hAnsi="Times New Roman" w:cs="Times New Roman"/>
          <w:bCs/>
          <w:sz w:val="24"/>
          <w:szCs w:val="24"/>
        </w:rPr>
      </w:pPr>
      <w:r w:rsidRPr="00506A24">
        <w:rPr>
          <w:rFonts w:ascii="Times New Roman" w:hAnsi="Times New Roman" w:cs="Times New Roman"/>
          <w:bCs/>
          <w:sz w:val="24"/>
          <w:szCs w:val="24"/>
        </w:rPr>
        <w:t>Flávio Tartuce</w:t>
      </w:r>
      <w:r w:rsidRPr="00506A24">
        <w:rPr>
          <w:rFonts w:ascii="Times New Roman" w:hAnsi="Times New Roman" w:cs="Times New Roman"/>
          <w:bCs/>
          <w:sz w:val="24"/>
          <w:szCs w:val="24"/>
          <w:vertAlign w:val="superscript"/>
        </w:rPr>
        <w:footnoteReference w:id="1"/>
      </w:r>
    </w:p>
    <w:p w14:paraId="30553B65" w14:textId="6C9EB8F8" w:rsidR="00DB007B" w:rsidRDefault="007713AD"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Sigo neste canal com</w:t>
      </w:r>
      <w:r w:rsidR="00F74B0F">
        <w:rPr>
          <w:rFonts w:ascii="Times New Roman" w:hAnsi="Times New Roman" w:cs="Times New Roman"/>
          <w:sz w:val="24"/>
          <w:szCs w:val="24"/>
        </w:rPr>
        <w:t xml:space="preserve"> a</w:t>
      </w:r>
      <w:r w:rsidR="00DB007B">
        <w:rPr>
          <w:rFonts w:ascii="Times New Roman" w:hAnsi="Times New Roman" w:cs="Times New Roman"/>
          <w:sz w:val="24"/>
          <w:szCs w:val="24"/>
        </w:rPr>
        <w:t xml:space="preserve"> série de artigos de análise de alguns impactos do Direito Civil Digital para o Direito de Família e das Sucessões. Nesta oportunidade, tratarei </w:t>
      </w:r>
      <w:r>
        <w:rPr>
          <w:rFonts w:ascii="Times New Roman" w:hAnsi="Times New Roman" w:cs="Times New Roman"/>
          <w:sz w:val="24"/>
          <w:szCs w:val="24"/>
        </w:rPr>
        <w:t>do tema das assinaturas digitais,</w:t>
      </w:r>
      <w:r w:rsidR="00103B8D">
        <w:rPr>
          <w:rFonts w:ascii="Times New Roman" w:hAnsi="Times New Roman" w:cs="Times New Roman"/>
          <w:sz w:val="24"/>
          <w:szCs w:val="24"/>
        </w:rPr>
        <w:t xml:space="preserve"> que</w:t>
      </w:r>
      <w:r>
        <w:rPr>
          <w:rFonts w:ascii="Times New Roman" w:hAnsi="Times New Roman" w:cs="Times New Roman"/>
          <w:sz w:val="24"/>
          <w:szCs w:val="24"/>
        </w:rPr>
        <w:t xml:space="preserve"> </w:t>
      </w:r>
      <w:r w:rsidR="00F74B0F">
        <w:rPr>
          <w:rFonts w:ascii="Times New Roman" w:hAnsi="Times New Roman" w:cs="Times New Roman"/>
          <w:sz w:val="24"/>
          <w:szCs w:val="24"/>
        </w:rPr>
        <w:t>hoje diz</w:t>
      </w:r>
      <w:r>
        <w:rPr>
          <w:rFonts w:ascii="Times New Roman" w:hAnsi="Times New Roman" w:cs="Times New Roman"/>
          <w:sz w:val="24"/>
          <w:szCs w:val="24"/>
        </w:rPr>
        <w:t xml:space="preserve"> respeito </w:t>
      </w:r>
      <w:r w:rsidR="004C50B9">
        <w:rPr>
          <w:rFonts w:ascii="Times New Roman" w:hAnsi="Times New Roman" w:cs="Times New Roman"/>
          <w:sz w:val="24"/>
          <w:szCs w:val="24"/>
        </w:rPr>
        <w:t>à</w:t>
      </w:r>
      <w:r w:rsidR="00DB007B">
        <w:rPr>
          <w:rFonts w:ascii="Times New Roman" w:hAnsi="Times New Roman" w:cs="Times New Roman"/>
          <w:sz w:val="24"/>
          <w:szCs w:val="24"/>
        </w:rPr>
        <w:t xml:space="preserve"> prova dos atos </w:t>
      </w:r>
      <w:r w:rsidR="004C50B9">
        <w:rPr>
          <w:rFonts w:ascii="Times New Roman" w:hAnsi="Times New Roman" w:cs="Times New Roman"/>
          <w:sz w:val="24"/>
          <w:szCs w:val="24"/>
        </w:rPr>
        <w:t xml:space="preserve">e negócios jurídicos, </w:t>
      </w:r>
      <w:r w:rsidR="00DB007B">
        <w:rPr>
          <w:rFonts w:ascii="Times New Roman" w:hAnsi="Times New Roman" w:cs="Times New Roman"/>
          <w:sz w:val="24"/>
          <w:szCs w:val="24"/>
        </w:rPr>
        <w:t xml:space="preserve">não só no âmbito dessas duas áreas do Direito Civil, mas </w:t>
      </w:r>
      <w:r>
        <w:rPr>
          <w:rFonts w:ascii="Times New Roman" w:hAnsi="Times New Roman" w:cs="Times New Roman"/>
          <w:sz w:val="24"/>
          <w:szCs w:val="24"/>
        </w:rPr>
        <w:t>em</w:t>
      </w:r>
      <w:r w:rsidR="00DB007B">
        <w:rPr>
          <w:rFonts w:ascii="Times New Roman" w:hAnsi="Times New Roman" w:cs="Times New Roman"/>
          <w:sz w:val="24"/>
          <w:szCs w:val="24"/>
        </w:rPr>
        <w:t xml:space="preserve"> todo o Direito Privado. </w:t>
      </w:r>
    </w:p>
    <w:p w14:paraId="2E4F97EF" w14:textId="08FF649E" w:rsidR="004C50B9" w:rsidRDefault="007713AD" w:rsidP="00C2665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w:t>
      </w:r>
      <w:r w:rsidR="004C50B9">
        <w:rPr>
          <w:rFonts w:ascii="Times New Roman" w:hAnsi="Times New Roman" w:cs="Times New Roman"/>
          <w:sz w:val="24"/>
          <w:szCs w:val="24"/>
        </w:rPr>
        <w:t>s</w:t>
      </w:r>
      <w:r w:rsidR="00DB007B">
        <w:rPr>
          <w:rFonts w:ascii="Times New Roman" w:hAnsi="Times New Roman" w:cs="Times New Roman"/>
          <w:sz w:val="24"/>
          <w:szCs w:val="24"/>
        </w:rPr>
        <w:t xml:space="preserve"> assinaturas eletrônicas hoje </w:t>
      </w:r>
      <w:r>
        <w:rPr>
          <w:rFonts w:ascii="Times New Roman" w:hAnsi="Times New Roman" w:cs="Times New Roman"/>
          <w:sz w:val="24"/>
          <w:szCs w:val="24"/>
        </w:rPr>
        <w:t xml:space="preserve">estão </w:t>
      </w:r>
      <w:r w:rsidR="00DB007B">
        <w:rPr>
          <w:rFonts w:ascii="Times New Roman" w:hAnsi="Times New Roman" w:cs="Times New Roman"/>
          <w:sz w:val="24"/>
          <w:szCs w:val="24"/>
        </w:rPr>
        <w:t xml:space="preserve">tratadas pela Lei n. </w:t>
      </w:r>
      <w:r w:rsidR="00DB007B" w:rsidRPr="00DB007B">
        <w:rPr>
          <w:rFonts w:ascii="Times New Roman" w:hAnsi="Times New Roman" w:cs="Times New Roman"/>
          <w:sz w:val="24"/>
          <w:szCs w:val="24"/>
        </w:rPr>
        <w:t>14.063/20</w:t>
      </w:r>
      <w:r w:rsidR="005F0E14">
        <w:rPr>
          <w:rFonts w:ascii="Times New Roman" w:hAnsi="Times New Roman" w:cs="Times New Roman"/>
          <w:sz w:val="24"/>
          <w:szCs w:val="24"/>
        </w:rPr>
        <w:t>20</w:t>
      </w:r>
      <w:r w:rsidR="00C26650">
        <w:rPr>
          <w:rFonts w:ascii="Times New Roman" w:hAnsi="Times New Roman" w:cs="Times New Roman"/>
          <w:sz w:val="24"/>
          <w:szCs w:val="24"/>
        </w:rPr>
        <w:t>, que dispõe sobre “</w:t>
      </w:r>
      <w:r w:rsidR="00C26650" w:rsidRPr="00C26650">
        <w:rPr>
          <w:rFonts w:ascii="Times New Roman" w:hAnsi="Times New Roman" w:cs="Times New Roman"/>
          <w:sz w:val="24"/>
          <w:szCs w:val="24"/>
        </w:rPr>
        <w:t xml:space="preserve">o uso de assinaturas eletrônicas em interações com entes públicos, em atos de pessoas jurídicas e em questões de saúde e sobre as licenças de </w:t>
      </w:r>
      <w:r w:rsidR="00C26650" w:rsidRPr="004C50B9">
        <w:rPr>
          <w:rFonts w:ascii="Times New Roman" w:hAnsi="Times New Roman" w:cs="Times New Roman"/>
          <w:i/>
          <w:iCs/>
          <w:sz w:val="24"/>
          <w:szCs w:val="24"/>
        </w:rPr>
        <w:t>softwares</w:t>
      </w:r>
      <w:r w:rsidR="00C26650" w:rsidRPr="00C26650">
        <w:rPr>
          <w:rFonts w:ascii="Times New Roman" w:hAnsi="Times New Roman" w:cs="Times New Roman"/>
          <w:sz w:val="24"/>
          <w:szCs w:val="24"/>
        </w:rPr>
        <w:t xml:space="preserve"> desenvolvidos por entes públicos</w:t>
      </w:r>
      <w:r w:rsidR="00C26650">
        <w:rPr>
          <w:rFonts w:ascii="Times New Roman" w:hAnsi="Times New Roman" w:cs="Times New Roman"/>
          <w:sz w:val="24"/>
          <w:szCs w:val="24"/>
        </w:rPr>
        <w:t xml:space="preserve">”. Essa norma alterou, a respeito do tema, a antiga </w:t>
      </w:r>
      <w:r w:rsidR="00C26650" w:rsidRPr="00C26650">
        <w:rPr>
          <w:rFonts w:ascii="Times New Roman" w:hAnsi="Times New Roman" w:cs="Times New Roman"/>
          <w:sz w:val="24"/>
          <w:szCs w:val="24"/>
        </w:rPr>
        <w:t>Medida Provisória n</w:t>
      </w:r>
      <w:r w:rsidR="00C26650">
        <w:rPr>
          <w:rFonts w:ascii="Times New Roman" w:hAnsi="Times New Roman" w:cs="Times New Roman"/>
          <w:sz w:val="24"/>
          <w:szCs w:val="24"/>
        </w:rPr>
        <w:t>.</w:t>
      </w:r>
      <w:r w:rsidR="00C26650" w:rsidRPr="00C26650">
        <w:rPr>
          <w:rFonts w:ascii="Times New Roman" w:hAnsi="Times New Roman" w:cs="Times New Roman"/>
          <w:sz w:val="24"/>
          <w:szCs w:val="24"/>
        </w:rPr>
        <w:t xml:space="preserve"> 2.200-2, de 24 de agosto de 2001</w:t>
      </w:r>
      <w:r>
        <w:rPr>
          <w:rFonts w:ascii="Times New Roman" w:hAnsi="Times New Roman" w:cs="Times New Roman"/>
          <w:sz w:val="24"/>
          <w:szCs w:val="24"/>
        </w:rPr>
        <w:t xml:space="preserve">, prevendo o seu </w:t>
      </w:r>
      <w:r w:rsidR="00C26650">
        <w:rPr>
          <w:rFonts w:ascii="Times New Roman" w:hAnsi="Times New Roman" w:cs="Times New Roman"/>
          <w:sz w:val="24"/>
          <w:szCs w:val="24"/>
        </w:rPr>
        <w:t xml:space="preserve">art. 4º </w:t>
      </w:r>
      <w:r w:rsidR="004C50B9">
        <w:rPr>
          <w:rFonts w:ascii="Times New Roman" w:hAnsi="Times New Roman" w:cs="Times New Roman"/>
          <w:sz w:val="24"/>
          <w:szCs w:val="24"/>
        </w:rPr>
        <w:t xml:space="preserve">as </w:t>
      </w:r>
      <w:r w:rsidR="004C50B9" w:rsidRPr="007713AD">
        <w:rPr>
          <w:rFonts w:ascii="Times New Roman" w:hAnsi="Times New Roman" w:cs="Times New Roman"/>
          <w:i/>
          <w:iCs/>
          <w:sz w:val="24"/>
          <w:szCs w:val="24"/>
        </w:rPr>
        <w:t>três modalidades de assinaturas eletrônicas</w:t>
      </w:r>
      <w:r w:rsidR="004C50B9">
        <w:rPr>
          <w:rFonts w:ascii="Times New Roman" w:hAnsi="Times New Roman" w:cs="Times New Roman"/>
          <w:sz w:val="24"/>
          <w:szCs w:val="24"/>
        </w:rPr>
        <w:t xml:space="preserve">, sobre as quais passo a tratar. </w:t>
      </w:r>
    </w:p>
    <w:p w14:paraId="28835CE9" w14:textId="2A8FFF3C" w:rsidR="00C26650" w:rsidRPr="00C26650" w:rsidRDefault="004C50B9" w:rsidP="00C2665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 primeira delas é a </w:t>
      </w:r>
      <w:r w:rsidR="00C26650" w:rsidRPr="004C50B9">
        <w:rPr>
          <w:rFonts w:ascii="Times New Roman" w:hAnsi="Times New Roman" w:cs="Times New Roman"/>
          <w:i/>
          <w:iCs/>
          <w:sz w:val="24"/>
          <w:szCs w:val="24"/>
        </w:rPr>
        <w:t>assinatura eletrônica simples</w:t>
      </w:r>
      <w:r>
        <w:rPr>
          <w:rFonts w:ascii="Times New Roman" w:hAnsi="Times New Roman" w:cs="Times New Roman"/>
          <w:sz w:val="24"/>
          <w:szCs w:val="24"/>
        </w:rPr>
        <w:t xml:space="preserve">, aquela que permite </w:t>
      </w:r>
      <w:r w:rsidR="00C26650" w:rsidRPr="00C26650">
        <w:rPr>
          <w:rFonts w:ascii="Times New Roman" w:hAnsi="Times New Roman" w:cs="Times New Roman"/>
          <w:sz w:val="24"/>
          <w:szCs w:val="24"/>
        </w:rPr>
        <w:t>identificar o seu signatário</w:t>
      </w:r>
      <w:r>
        <w:rPr>
          <w:rFonts w:ascii="Times New Roman" w:hAnsi="Times New Roman" w:cs="Times New Roman"/>
          <w:sz w:val="24"/>
          <w:szCs w:val="24"/>
        </w:rPr>
        <w:t xml:space="preserve"> ou </w:t>
      </w:r>
      <w:r w:rsidR="00C26650" w:rsidRPr="00C26650">
        <w:rPr>
          <w:rFonts w:ascii="Times New Roman" w:hAnsi="Times New Roman" w:cs="Times New Roman"/>
          <w:sz w:val="24"/>
          <w:szCs w:val="24"/>
        </w:rPr>
        <w:t>a que anexa ou associa dados a outros dados em formato eletrônico do signatário</w:t>
      </w:r>
      <w:r>
        <w:rPr>
          <w:rFonts w:ascii="Times New Roman" w:hAnsi="Times New Roman" w:cs="Times New Roman"/>
          <w:sz w:val="24"/>
          <w:szCs w:val="24"/>
        </w:rPr>
        <w:t>. Trata-se de uma forma básica de validação de documentos, presente, por exemplo, quando se assina</w:t>
      </w:r>
      <w:r w:rsidR="000E76DF">
        <w:rPr>
          <w:rFonts w:ascii="Times New Roman" w:hAnsi="Times New Roman" w:cs="Times New Roman"/>
          <w:sz w:val="24"/>
          <w:szCs w:val="24"/>
        </w:rPr>
        <w:t>m</w:t>
      </w:r>
      <w:r>
        <w:rPr>
          <w:rFonts w:ascii="Times New Roman" w:hAnsi="Times New Roman" w:cs="Times New Roman"/>
          <w:sz w:val="24"/>
          <w:szCs w:val="24"/>
        </w:rPr>
        <w:t xml:space="preserve"> contratos por </w:t>
      </w:r>
      <w:r w:rsidR="007713AD">
        <w:rPr>
          <w:rFonts w:ascii="Times New Roman" w:hAnsi="Times New Roman" w:cs="Times New Roman"/>
          <w:sz w:val="24"/>
          <w:szCs w:val="24"/>
        </w:rPr>
        <w:t xml:space="preserve">simples </w:t>
      </w:r>
      <w:r>
        <w:rPr>
          <w:rFonts w:ascii="Times New Roman" w:hAnsi="Times New Roman" w:cs="Times New Roman"/>
          <w:sz w:val="24"/>
          <w:szCs w:val="24"/>
        </w:rPr>
        <w:t>confirmação por e</w:t>
      </w:r>
      <w:r w:rsidR="009926B6">
        <w:rPr>
          <w:rFonts w:ascii="Times New Roman" w:hAnsi="Times New Roman" w:cs="Times New Roman"/>
          <w:sz w:val="24"/>
          <w:szCs w:val="24"/>
        </w:rPr>
        <w:t>-</w:t>
      </w:r>
      <w:r>
        <w:rPr>
          <w:rFonts w:ascii="Times New Roman" w:hAnsi="Times New Roman" w:cs="Times New Roman"/>
          <w:sz w:val="24"/>
          <w:szCs w:val="24"/>
        </w:rPr>
        <w:t xml:space="preserve">mail ou </w:t>
      </w:r>
      <w:r w:rsidR="007713AD">
        <w:rPr>
          <w:rFonts w:ascii="Times New Roman" w:hAnsi="Times New Roman" w:cs="Times New Roman"/>
          <w:sz w:val="24"/>
          <w:szCs w:val="24"/>
        </w:rPr>
        <w:t xml:space="preserve">por mensagem eletrônica em aplicativo específico ou por </w:t>
      </w:r>
      <w:r>
        <w:rPr>
          <w:rFonts w:ascii="Times New Roman" w:hAnsi="Times New Roman" w:cs="Times New Roman"/>
          <w:sz w:val="24"/>
          <w:szCs w:val="24"/>
        </w:rPr>
        <w:t xml:space="preserve">SMS. </w:t>
      </w:r>
    </w:p>
    <w:p w14:paraId="181661B5" w14:textId="64F52FFC" w:rsidR="00C26650" w:rsidRPr="00C26650" w:rsidRDefault="004C50B9" w:rsidP="00C2665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 segunda modalidade é a </w:t>
      </w:r>
      <w:r w:rsidR="00C26650" w:rsidRPr="004C50B9">
        <w:rPr>
          <w:rFonts w:ascii="Times New Roman" w:hAnsi="Times New Roman" w:cs="Times New Roman"/>
          <w:i/>
          <w:iCs/>
          <w:sz w:val="24"/>
          <w:szCs w:val="24"/>
        </w:rPr>
        <w:t>assinatura eletrônica avançada</w:t>
      </w:r>
      <w:r>
        <w:rPr>
          <w:rFonts w:ascii="Times New Roman" w:hAnsi="Times New Roman" w:cs="Times New Roman"/>
          <w:sz w:val="24"/>
          <w:szCs w:val="24"/>
        </w:rPr>
        <w:t xml:space="preserve">, </w:t>
      </w:r>
      <w:r w:rsidR="00C26650" w:rsidRPr="00C26650">
        <w:rPr>
          <w:rFonts w:ascii="Times New Roman" w:hAnsi="Times New Roman" w:cs="Times New Roman"/>
          <w:sz w:val="24"/>
          <w:szCs w:val="24"/>
        </w:rPr>
        <w:t>a que utiliza certificados não emitidos pela ICP-Brasil ou outro meio de comprovação da autoria e da integridade de documentos em forma eletrônica</w:t>
      </w:r>
      <w:r>
        <w:rPr>
          <w:rFonts w:ascii="Times New Roman" w:hAnsi="Times New Roman" w:cs="Times New Roman"/>
          <w:sz w:val="24"/>
          <w:szCs w:val="24"/>
        </w:rPr>
        <w:t xml:space="preserve">. A lei exige que </w:t>
      </w:r>
      <w:r w:rsidR="007713AD">
        <w:rPr>
          <w:rFonts w:ascii="Times New Roman" w:hAnsi="Times New Roman" w:cs="Times New Roman"/>
          <w:sz w:val="24"/>
          <w:szCs w:val="24"/>
        </w:rPr>
        <w:t xml:space="preserve">esse certificado </w:t>
      </w:r>
      <w:r>
        <w:rPr>
          <w:rFonts w:ascii="Times New Roman" w:hAnsi="Times New Roman" w:cs="Times New Roman"/>
          <w:sz w:val="24"/>
          <w:szCs w:val="24"/>
        </w:rPr>
        <w:t>seja</w:t>
      </w:r>
      <w:r w:rsidR="00C26650" w:rsidRPr="00C26650">
        <w:rPr>
          <w:rFonts w:ascii="Times New Roman" w:hAnsi="Times New Roman" w:cs="Times New Roman"/>
          <w:sz w:val="24"/>
          <w:szCs w:val="24"/>
        </w:rPr>
        <w:t xml:space="preserve"> admitid</w:t>
      </w:r>
      <w:r w:rsidR="007713AD">
        <w:rPr>
          <w:rFonts w:ascii="Times New Roman" w:hAnsi="Times New Roman" w:cs="Times New Roman"/>
          <w:sz w:val="24"/>
          <w:szCs w:val="24"/>
        </w:rPr>
        <w:t>o</w:t>
      </w:r>
      <w:r w:rsidR="007D079B">
        <w:rPr>
          <w:rFonts w:ascii="Times New Roman" w:hAnsi="Times New Roman" w:cs="Times New Roman"/>
          <w:sz w:val="24"/>
          <w:szCs w:val="24"/>
        </w:rPr>
        <w:t xml:space="preserve"> </w:t>
      </w:r>
      <w:r w:rsidR="00C26650" w:rsidRPr="00C26650">
        <w:rPr>
          <w:rFonts w:ascii="Times New Roman" w:hAnsi="Times New Roman" w:cs="Times New Roman"/>
          <w:sz w:val="24"/>
          <w:szCs w:val="24"/>
        </w:rPr>
        <w:t>pelas partes como válido</w:t>
      </w:r>
      <w:r w:rsidR="007713AD">
        <w:rPr>
          <w:rFonts w:ascii="Times New Roman" w:hAnsi="Times New Roman" w:cs="Times New Roman"/>
          <w:sz w:val="24"/>
          <w:szCs w:val="24"/>
        </w:rPr>
        <w:t>,</w:t>
      </w:r>
      <w:r w:rsidR="00C26650" w:rsidRPr="00C26650">
        <w:rPr>
          <w:rFonts w:ascii="Times New Roman" w:hAnsi="Times New Roman" w:cs="Times New Roman"/>
          <w:sz w:val="24"/>
          <w:szCs w:val="24"/>
        </w:rPr>
        <w:t xml:space="preserve"> ou aceito pela pessoa a quem for oposto o documento, com as seguintes características:</w:t>
      </w:r>
      <w:r>
        <w:rPr>
          <w:rFonts w:ascii="Times New Roman" w:hAnsi="Times New Roman" w:cs="Times New Roman"/>
          <w:sz w:val="24"/>
          <w:szCs w:val="24"/>
        </w:rPr>
        <w:t xml:space="preserve"> </w:t>
      </w:r>
      <w:r w:rsidR="00C26650" w:rsidRPr="004C50B9">
        <w:rPr>
          <w:rFonts w:ascii="Times New Roman" w:hAnsi="Times New Roman" w:cs="Times New Roman"/>
          <w:i/>
          <w:iCs/>
          <w:sz w:val="24"/>
          <w:szCs w:val="24"/>
        </w:rPr>
        <w:t>a)</w:t>
      </w:r>
      <w:r w:rsidR="00C26650" w:rsidRPr="00C26650">
        <w:rPr>
          <w:rFonts w:ascii="Times New Roman" w:hAnsi="Times New Roman" w:cs="Times New Roman"/>
          <w:sz w:val="24"/>
          <w:szCs w:val="24"/>
        </w:rPr>
        <w:t xml:space="preserve"> est</w:t>
      </w:r>
      <w:r>
        <w:rPr>
          <w:rFonts w:ascii="Times New Roman" w:hAnsi="Times New Roman" w:cs="Times New Roman"/>
          <w:sz w:val="24"/>
          <w:szCs w:val="24"/>
        </w:rPr>
        <w:t xml:space="preserve">ar </w:t>
      </w:r>
      <w:r w:rsidR="00C26650" w:rsidRPr="00C26650">
        <w:rPr>
          <w:rFonts w:ascii="Times New Roman" w:hAnsi="Times New Roman" w:cs="Times New Roman"/>
          <w:sz w:val="24"/>
          <w:szCs w:val="24"/>
        </w:rPr>
        <w:t>associada</w:t>
      </w:r>
      <w:r w:rsidR="007713AD">
        <w:rPr>
          <w:rFonts w:ascii="Times New Roman" w:hAnsi="Times New Roman" w:cs="Times New Roman"/>
          <w:sz w:val="24"/>
          <w:szCs w:val="24"/>
        </w:rPr>
        <w:t xml:space="preserve"> a assinatura</w:t>
      </w:r>
      <w:r w:rsidR="00C26650" w:rsidRPr="00C26650">
        <w:rPr>
          <w:rFonts w:ascii="Times New Roman" w:hAnsi="Times New Roman" w:cs="Times New Roman"/>
          <w:sz w:val="24"/>
          <w:szCs w:val="24"/>
        </w:rPr>
        <w:t xml:space="preserve"> ao signatário de maneira unívoca;</w:t>
      </w:r>
      <w:r>
        <w:rPr>
          <w:rFonts w:ascii="Times New Roman" w:hAnsi="Times New Roman" w:cs="Times New Roman"/>
          <w:sz w:val="24"/>
          <w:szCs w:val="24"/>
        </w:rPr>
        <w:t xml:space="preserve"> </w:t>
      </w:r>
      <w:r w:rsidR="00C26650" w:rsidRPr="004C50B9">
        <w:rPr>
          <w:rFonts w:ascii="Times New Roman" w:hAnsi="Times New Roman" w:cs="Times New Roman"/>
          <w:i/>
          <w:iCs/>
          <w:sz w:val="24"/>
          <w:szCs w:val="24"/>
        </w:rPr>
        <w:t>b)</w:t>
      </w:r>
      <w:r w:rsidR="00C26650" w:rsidRPr="00C26650">
        <w:rPr>
          <w:rFonts w:ascii="Times New Roman" w:hAnsi="Times New Roman" w:cs="Times New Roman"/>
          <w:sz w:val="24"/>
          <w:szCs w:val="24"/>
        </w:rPr>
        <w:t xml:space="preserve"> utiliza</w:t>
      </w:r>
      <w:r>
        <w:rPr>
          <w:rFonts w:ascii="Times New Roman" w:hAnsi="Times New Roman" w:cs="Times New Roman"/>
          <w:sz w:val="24"/>
          <w:szCs w:val="24"/>
        </w:rPr>
        <w:t>r</w:t>
      </w:r>
      <w:r w:rsidR="00C26650" w:rsidRPr="00C26650">
        <w:rPr>
          <w:rFonts w:ascii="Times New Roman" w:hAnsi="Times New Roman" w:cs="Times New Roman"/>
          <w:sz w:val="24"/>
          <w:szCs w:val="24"/>
        </w:rPr>
        <w:t xml:space="preserve"> dados para a criação de assinatura eletrônica cujo signatário pode, com elevado nível de confiança, operar sob o seu controle exclusivo;</w:t>
      </w:r>
      <w:r>
        <w:rPr>
          <w:rFonts w:ascii="Times New Roman" w:hAnsi="Times New Roman" w:cs="Times New Roman"/>
          <w:sz w:val="24"/>
          <w:szCs w:val="24"/>
        </w:rPr>
        <w:t xml:space="preserve"> </w:t>
      </w:r>
      <w:r w:rsidR="00C26650" w:rsidRPr="004C50B9">
        <w:rPr>
          <w:rFonts w:ascii="Times New Roman" w:hAnsi="Times New Roman" w:cs="Times New Roman"/>
          <w:i/>
          <w:iCs/>
          <w:sz w:val="24"/>
          <w:szCs w:val="24"/>
        </w:rPr>
        <w:t>c)</w:t>
      </w:r>
      <w:r w:rsidR="00C26650" w:rsidRPr="00C26650">
        <w:rPr>
          <w:rFonts w:ascii="Times New Roman" w:hAnsi="Times New Roman" w:cs="Times New Roman"/>
          <w:sz w:val="24"/>
          <w:szCs w:val="24"/>
        </w:rPr>
        <w:t xml:space="preserve"> est</w:t>
      </w:r>
      <w:r>
        <w:rPr>
          <w:rFonts w:ascii="Times New Roman" w:hAnsi="Times New Roman" w:cs="Times New Roman"/>
          <w:sz w:val="24"/>
          <w:szCs w:val="24"/>
        </w:rPr>
        <w:t>ar</w:t>
      </w:r>
      <w:r w:rsidR="005F0E14">
        <w:rPr>
          <w:rFonts w:ascii="Times New Roman" w:hAnsi="Times New Roman" w:cs="Times New Roman"/>
          <w:sz w:val="24"/>
          <w:szCs w:val="24"/>
        </w:rPr>
        <w:t xml:space="preserve"> </w:t>
      </w:r>
      <w:r w:rsidR="00C26650" w:rsidRPr="00C26650">
        <w:rPr>
          <w:rFonts w:ascii="Times New Roman" w:hAnsi="Times New Roman" w:cs="Times New Roman"/>
          <w:sz w:val="24"/>
          <w:szCs w:val="24"/>
        </w:rPr>
        <w:t xml:space="preserve">relacionada </w:t>
      </w:r>
      <w:r w:rsidR="00C26650" w:rsidRPr="00C26650">
        <w:rPr>
          <w:rFonts w:ascii="Times New Roman" w:hAnsi="Times New Roman" w:cs="Times New Roman"/>
          <w:sz w:val="24"/>
          <w:szCs w:val="24"/>
        </w:rPr>
        <w:lastRenderedPageBreak/>
        <w:t>aos dados a ela associados de tal modo que qualquer modificação posterior é detectável</w:t>
      </w:r>
      <w:r>
        <w:rPr>
          <w:rFonts w:ascii="Times New Roman" w:hAnsi="Times New Roman" w:cs="Times New Roman"/>
          <w:sz w:val="24"/>
          <w:szCs w:val="24"/>
        </w:rPr>
        <w:t xml:space="preserve">. Como ilustração, cite-se a assinatura realizada </w:t>
      </w:r>
      <w:r w:rsidR="005F0E14">
        <w:rPr>
          <w:rFonts w:ascii="Times New Roman" w:hAnsi="Times New Roman" w:cs="Times New Roman"/>
          <w:sz w:val="24"/>
          <w:szCs w:val="24"/>
        </w:rPr>
        <w:t xml:space="preserve">via conta </w:t>
      </w:r>
      <w:r w:rsidR="005F0E14" w:rsidRPr="005F0E14">
        <w:rPr>
          <w:rFonts w:ascii="Times New Roman" w:hAnsi="Times New Roman" w:cs="Times New Roman"/>
          <w:i/>
          <w:iCs/>
          <w:sz w:val="24"/>
          <w:szCs w:val="24"/>
        </w:rPr>
        <w:t>gov.br.</w:t>
      </w:r>
      <w:r w:rsidR="005F0E14">
        <w:rPr>
          <w:rFonts w:ascii="Times New Roman" w:hAnsi="Times New Roman" w:cs="Times New Roman"/>
          <w:sz w:val="24"/>
          <w:szCs w:val="24"/>
        </w:rPr>
        <w:t xml:space="preserve"> </w:t>
      </w:r>
    </w:p>
    <w:p w14:paraId="1E9C5DB0" w14:textId="27F4D674" w:rsidR="00C26650" w:rsidRPr="00C26650" w:rsidRDefault="005F0E14" w:rsidP="00C2665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Por fim, há a </w:t>
      </w:r>
      <w:r w:rsidRPr="005F0E14">
        <w:rPr>
          <w:rFonts w:ascii="Times New Roman" w:hAnsi="Times New Roman" w:cs="Times New Roman"/>
          <w:i/>
          <w:iCs/>
          <w:sz w:val="24"/>
          <w:szCs w:val="24"/>
        </w:rPr>
        <w:t>assinatura digital qualificada</w:t>
      </w:r>
      <w:r>
        <w:rPr>
          <w:rFonts w:ascii="Times New Roman" w:hAnsi="Times New Roman" w:cs="Times New Roman"/>
          <w:sz w:val="24"/>
          <w:szCs w:val="24"/>
        </w:rPr>
        <w:t xml:space="preserve">, aquela que </w:t>
      </w:r>
      <w:r w:rsidR="00C26650" w:rsidRPr="00C26650">
        <w:rPr>
          <w:rFonts w:ascii="Times New Roman" w:hAnsi="Times New Roman" w:cs="Times New Roman"/>
          <w:sz w:val="24"/>
          <w:szCs w:val="24"/>
        </w:rPr>
        <w:t>utiliza certificado digital</w:t>
      </w:r>
      <w:r>
        <w:rPr>
          <w:rFonts w:ascii="Times New Roman" w:hAnsi="Times New Roman" w:cs="Times New Roman"/>
          <w:sz w:val="24"/>
          <w:szCs w:val="24"/>
        </w:rPr>
        <w:t xml:space="preserve"> com o</w:t>
      </w:r>
      <w:r w:rsidRPr="005F0E14">
        <w:rPr>
          <w:rFonts w:ascii="Times New Roman" w:hAnsi="Times New Roman" w:cs="Times New Roman"/>
          <w:sz w:val="24"/>
          <w:szCs w:val="24"/>
        </w:rPr>
        <w:t xml:space="preserve"> processo de certificação disponibilizado pela ICP-Brasil</w:t>
      </w:r>
      <w:r>
        <w:rPr>
          <w:rFonts w:ascii="Times New Roman" w:hAnsi="Times New Roman" w:cs="Times New Roman"/>
          <w:sz w:val="24"/>
          <w:szCs w:val="24"/>
        </w:rPr>
        <w:t xml:space="preserve">, </w:t>
      </w:r>
      <w:r w:rsidRPr="00C26650">
        <w:rPr>
          <w:rFonts w:ascii="Times New Roman" w:hAnsi="Times New Roman" w:cs="Times New Roman"/>
          <w:sz w:val="24"/>
          <w:szCs w:val="24"/>
        </w:rPr>
        <w:t>nos termos do § 1º do art. 10 da Medida Provisória n</w:t>
      </w:r>
      <w:r>
        <w:rPr>
          <w:rFonts w:ascii="Times New Roman" w:hAnsi="Times New Roman" w:cs="Times New Roman"/>
          <w:sz w:val="24"/>
          <w:szCs w:val="24"/>
        </w:rPr>
        <w:t>.</w:t>
      </w:r>
      <w:r w:rsidRPr="00C26650">
        <w:rPr>
          <w:rFonts w:ascii="Times New Roman" w:hAnsi="Times New Roman" w:cs="Times New Roman"/>
          <w:sz w:val="24"/>
          <w:szCs w:val="24"/>
        </w:rPr>
        <w:t xml:space="preserve"> 2.200-2, de 2001</w:t>
      </w:r>
      <w:r w:rsidR="007713AD">
        <w:rPr>
          <w:rFonts w:ascii="Times New Roman" w:hAnsi="Times New Roman" w:cs="Times New Roman"/>
          <w:sz w:val="24"/>
          <w:szCs w:val="24"/>
        </w:rPr>
        <w:t xml:space="preserve">. Essa MP já previa que essa modalidade de assinatura traria a presunção de veracidade quanto aos seus signatários. </w:t>
      </w:r>
    </w:p>
    <w:p w14:paraId="3F6ACCB1" w14:textId="5425DBBC" w:rsidR="00873645" w:rsidRDefault="005F0E14" w:rsidP="0087364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O art. 4º, </w:t>
      </w:r>
      <w:r w:rsidR="00C26650" w:rsidRPr="00C26650">
        <w:rPr>
          <w:rFonts w:ascii="Times New Roman" w:hAnsi="Times New Roman" w:cs="Times New Roman"/>
          <w:sz w:val="24"/>
          <w:szCs w:val="24"/>
        </w:rPr>
        <w:t>§ 1º</w:t>
      </w:r>
      <w:r>
        <w:rPr>
          <w:rFonts w:ascii="Times New Roman" w:hAnsi="Times New Roman" w:cs="Times New Roman"/>
          <w:sz w:val="24"/>
          <w:szCs w:val="24"/>
        </w:rPr>
        <w:t>, da Lei n. 14.06</w:t>
      </w:r>
      <w:r w:rsidR="00CE435B">
        <w:rPr>
          <w:rFonts w:ascii="Times New Roman" w:hAnsi="Times New Roman" w:cs="Times New Roman"/>
          <w:sz w:val="24"/>
          <w:szCs w:val="24"/>
        </w:rPr>
        <w:t>3</w:t>
      </w:r>
      <w:r>
        <w:rPr>
          <w:rFonts w:ascii="Times New Roman" w:hAnsi="Times New Roman" w:cs="Times New Roman"/>
          <w:sz w:val="24"/>
          <w:szCs w:val="24"/>
        </w:rPr>
        <w:t>/2020 prevê que os</w:t>
      </w:r>
      <w:r w:rsidR="00C26650" w:rsidRPr="00C26650">
        <w:rPr>
          <w:rFonts w:ascii="Times New Roman" w:hAnsi="Times New Roman" w:cs="Times New Roman"/>
          <w:sz w:val="24"/>
          <w:szCs w:val="24"/>
        </w:rPr>
        <w:t xml:space="preserve"> três tipos de assinatura </w:t>
      </w:r>
      <w:r>
        <w:rPr>
          <w:rFonts w:ascii="Times New Roman" w:hAnsi="Times New Roman" w:cs="Times New Roman"/>
          <w:sz w:val="24"/>
          <w:szCs w:val="24"/>
        </w:rPr>
        <w:t xml:space="preserve">digital </w:t>
      </w:r>
      <w:r w:rsidR="00C26650" w:rsidRPr="00C26650">
        <w:rPr>
          <w:rFonts w:ascii="Times New Roman" w:hAnsi="Times New Roman" w:cs="Times New Roman"/>
          <w:sz w:val="24"/>
          <w:szCs w:val="24"/>
        </w:rPr>
        <w:t>caracterizam o nível de confiança sobre a identidade e a manifestação de vontade de seu titular</w:t>
      </w:r>
      <w:r>
        <w:rPr>
          <w:rFonts w:ascii="Times New Roman" w:hAnsi="Times New Roman" w:cs="Times New Roman"/>
          <w:sz w:val="24"/>
          <w:szCs w:val="24"/>
        </w:rPr>
        <w:t xml:space="preserve">. Porém, consoante o mesmo comando, </w:t>
      </w:r>
      <w:r w:rsidR="007713AD">
        <w:rPr>
          <w:rFonts w:ascii="Times New Roman" w:hAnsi="Times New Roman" w:cs="Times New Roman"/>
          <w:sz w:val="24"/>
          <w:szCs w:val="24"/>
        </w:rPr>
        <w:t>e conforme a Medida Provisóri</w:t>
      </w:r>
      <w:r w:rsidR="00873645">
        <w:rPr>
          <w:rFonts w:ascii="Times New Roman" w:hAnsi="Times New Roman" w:cs="Times New Roman"/>
          <w:sz w:val="24"/>
          <w:szCs w:val="24"/>
        </w:rPr>
        <w:t>a</w:t>
      </w:r>
      <w:r w:rsidR="007713AD">
        <w:rPr>
          <w:rFonts w:ascii="Times New Roman" w:hAnsi="Times New Roman" w:cs="Times New Roman"/>
          <w:sz w:val="24"/>
          <w:szCs w:val="24"/>
        </w:rPr>
        <w:t xml:space="preserve"> anterior, </w:t>
      </w:r>
      <w:r w:rsidR="00C26650" w:rsidRPr="00C26650">
        <w:rPr>
          <w:rFonts w:ascii="Times New Roman" w:hAnsi="Times New Roman" w:cs="Times New Roman"/>
          <w:sz w:val="24"/>
          <w:szCs w:val="24"/>
        </w:rPr>
        <w:t>a assinatura eletrônica qualificada é a que possui nível mais elevado de confiabilidade a partir de suas normas, de seus padrões e de seus procedimentos específicos.</w:t>
      </w:r>
      <w:r w:rsidR="007D079B">
        <w:rPr>
          <w:rFonts w:ascii="Times New Roman" w:hAnsi="Times New Roman" w:cs="Times New Roman"/>
          <w:sz w:val="24"/>
          <w:szCs w:val="24"/>
        </w:rPr>
        <w:t xml:space="preserve"> </w:t>
      </w:r>
    </w:p>
    <w:p w14:paraId="5DFC4A73" w14:textId="77D8A3EE" w:rsidR="00873645" w:rsidRDefault="00873645" w:rsidP="0087364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Merece ainda ser citado o </w:t>
      </w:r>
      <w:r w:rsidRPr="00873645">
        <w:rPr>
          <w:rFonts w:ascii="Times New Roman" w:hAnsi="Times New Roman" w:cs="Times New Roman"/>
          <w:sz w:val="24"/>
          <w:szCs w:val="24"/>
        </w:rPr>
        <w:t xml:space="preserve">§ 2º </w:t>
      </w:r>
      <w:r>
        <w:rPr>
          <w:rFonts w:ascii="Times New Roman" w:hAnsi="Times New Roman" w:cs="Times New Roman"/>
          <w:sz w:val="24"/>
          <w:szCs w:val="24"/>
        </w:rPr>
        <w:t>desse art. 4º da norma especial, segundo o qual d</w:t>
      </w:r>
      <w:r w:rsidRPr="00873645">
        <w:rPr>
          <w:rFonts w:ascii="Times New Roman" w:hAnsi="Times New Roman" w:cs="Times New Roman"/>
          <w:sz w:val="24"/>
          <w:szCs w:val="24"/>
        </w:rPr>
        <w:t xml:space="preserve">evem ser asseguradas formas de revogação ou de cancelamento definitivo do meio utilizado para as assinaturas </w:t>
      </w:r>
      <w:r>
        <w:rPr>
          <w:rFonts w:ascii="Times New Roman" w:hAnsi="Times New Roman" w:cs="Times New Roman"/>
          <w:sz w:val="24"/>
          <w:szCs w:val="24"/>
        </w:rPr>
        <w:t xml:space="preserve">eletrônicas, </w:t>
      </w:r>
      <w:r w:rsidRPr="00873645">
        <w:rPr>
          <w:rFonts w:ascii="Times New Roman" w:hAnsi="Times New Roman" w:cs="Times New Roman"/>
          <w:sz w:val="24"/>
          <w:szCs w:val="24"/>
        </w:rPr>
        <w:t>sobretudo em casos de comprometimento de sua segurança ou de vazamento de dados</w:t>
      </w:r>
      <w:r>
        <w:rPr>
          <w:rFonts w:ascii="Times New Roman" w:hAnsi="Times New Roman" w:cs="Times New Roman"/>
          <w:sz w:val="24"/>
          <w:szCs w:val="24"/>
        </w:rPr>
        <w:t xml:space="preserve">, e tendo em vista a proteção constante da LGPD – Lei Geral de Proteção de Dados (Lei n. 13.709/2018). </w:t>
      </w:r>
    </w:p>
    <w:p w14:paraId="1E1BD51B" w14:textId="7D026651" w:rsidR="007713AD" w:rsidRDefault="005F0E14" w:rsidP="0087364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De todo modo</w:t>
      </w:r>
      <w:r w:rsidR="00DE12D5">
        <w:rPr>
          <w:rFonts w:ascii="Times New Roman" w:hAnsi="Times New Roman" w:cs="Times New Roman"/>
          <w:sz w:val="24"/>
          <w:szCs w:val="24"/>
        </w:rPr>
        <w:t>,</w:t>
      </w:r>
      <w:r>
        <w:rPr>
          <w:rFonts w:ascii="Times New Roman" w:hAnsi="Times New Roman" w:cs="Times New Roman"/>
          <w:sz w:val="24"/>
          <w:szCs w:val="24"/>
        </w:rPr>
        <w:t xml:space="preserve"> a lei não estabelece qual a modalidade permitida </w:t>
      </w:r>
      <w:r w:rsidR="007713AD">
        <w:rPr>
          <w:rFonts w:ascii="Times New Roman" w:hAnsi="Times New Roman" w:cs="Times New Roman"/>
          <w:sz w:val="24"/>
          <w:szCs w:val="24"/>
        </w:rPr>
        <w:t xml:space="preserve">ou exigida </w:t>
      </w:r>
      <w:r>
        <w:rPr>
          <w:rFonts w:ascii="Times New Roman" w:hAnsi="Times New Roman" w:cs="Times New Roman"/>
          <w:sz w:val="24"/>
          <w:szCs w:val="24"/>
        </w:rPr>
        <w:t>para cada ato ou negócio jurídico respectivo, o que tem trazido dúvidas e desafios para a jurisprudência</w:t>
      </w:r>
      <w:r w:rsidR="007713AD">
        <w:rPr>
          <w:rFonts w:ascii="Times New Roman" w:hAnsi="Times New Roman" w:cs="Times New Roman"/>
          <w:sz w:val="24"/>
          <w:szCs w:val="24"/>
        </w:rPr>
        <w:t xml:space="preserve">, </w:t>
      </w:r>
      <w:r w:rsidR="00376D27">
        <w:rPr>
          <w:rFonts w:ascii="Times New Roman" w:hAnsi="Times New Roman" w:cs="Times New Roman"/>
          <w:sz w:val="24"/>
          <w:szCs w:val="24"/>
        </w:rPr>
        <w:t xml:space="preserve">e </w:t>
      </w:r>
      <w:r w:rsidR="007713AD">
        <w:rPr>
          <w:rFonts w:ascii="Times New Roman" w:hAnsi="Times New Roman" w:cs="Times New Roman"/>
          <w:sz w:val="24"/>
          <w:szCs w:val="24"/>
        </w:rPr>
        <w:t xml:space="preserve">o que o projeto de Reforma do Código Civil pretende </w:t>
      </w:r>
      <w:r w:rsidR="00F74B0F">
        <w:rPr>
          <w:rFonts w:ascii="Times New Roman" w:hAnsi="Times New Roman" w:cs="Times New Roman"/>
          <w:sz w:val="24"/>
          <w:szCs w:val="24"/>
        </w:rPr>
        <w:t xml:space="preserve">tentar </w:t>
      </w:r>
      <w:r w:rsidR="007713AD">
        <w:rPr>
          <w:rFonts w:ascii="Times New Roman" w:hAnsi="Times New Roman" w:cs="Times New Roman"/>
          <w:sz w:val="24"/>
          <w:szCs w:val="24"/>
        </w:rPr>
        <w:t>resolver.</w:t>
      </w:r>
      <w:r w:rsidR="007D079B">
        <w:rPr>
          <w:rFonts w:ascii="Times New Roman" w:hAnsi="Times New Roman" w:cs="Times New Roman"/>
          <w:sz w:val="24"/>
          <w:szCs w:val="24"/>
        </w:rPr>
        <w:t xml:space="preserve"> </w:t>
      </w:r>
    </w:p>
    <w:p w14:paraId="4DE99488" w14:textId="35E7D0F5" w:rsidR="007713AD" w:rsidRDefault="007713AD" w:rsidP="007713AD">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se retira de um dos mais recentes julgados do Superior Tribunal de Justiça</w:t>
      </w:r>
      <w:r w:rsidR="00376D27">
        <w:rPr>
          <w:rFonts w:ascii="Times New Roman" w:hAnsi="Times New Roman" w:cs="Times New Roman"/>
          <w:sz w:val="24"/>
          <w:szCs w:val="24"/>
        </w:rPr>
        <w:t xml:space="preserve"> a respeito dessa temática e </w:t>
      </w:r>
      <w:r w:rsidR="00F74B0F">
        <w:rPr>
          <w:rFonts w:ascii="Times New Roman" w:hAnsi="Times New Roman" w:cs="Times New Roman"/>
          <w:sz w:val="24"/>
          <w:szCs w:val="24"/>
        </w:rPr>
        <w:t xml:space="preserve">analisando quadro fático de análise de procuração judicial </w:t>
      </w:r>
      <w:r w:rsidR="00376D27">
        <w:rPr>
          <w:rFonts w:ascii="Times New Roman" w:hAnsi="Times New Roman" w:cs="Times New Roman"/>
          <w:sz w:val="24"/>
          <w:szCs w:val="24"/>
        </w:rPr>
        <w:t>outorgada a advogado</w:t>
      </w:r>
      <w:r>
        <w:rPr>
          <w:rFonts w:ascii="Times New Roman" w:hAnsi="Times New Roman" w:cs="Times New Roman"/>
          <w:sz w:val="24"/>
          <w:szCs w:val="24"/>
        </w:rPr>
        <w:t>, “s</w:t>
      </w:r>
      <w:r w:rsidRPr="007713AD">
        <w:rPr>
          <w:rFonts w:ascii="Times New Roman" w:hAnsi="Times New Roman" w:cs="Times New Roman"/>
          <w:sz w:val="24"/>
          <w:szCs w:val="24"/>
        </w:rPr>
        <w:t>egundo o entendimento desta Corte Superior firmado no julgamento do REsp nº 2.150.278/PR (Terceira Turma, DJe 29/9/2024), documentos eletrônicos produzidos em momento pré-processual não estão sujeitos ao uso exclusivo de certificado digital emitido no âmbito da ICP-Brasil, sob pena de esvaziamento do art. 10, § 2º, da MP nº 2.200-2/2001, que expressamente admite a utilização de outros meios de comprovação de autoria e integridade em documentos eletrônicos, desde que admitido pelas partes como válido ou aceito pela pessoa a quem for oposto o documento</w:t>
      </w:r>
      <w:r>
        <w:rPr>
          <w:rFonts w:ascii="Times New Roman" w:hAnsi="Times New Roman" w:cs="Times New Roman"/>
          <w:sz w:val="24"/>
          <w:szCs w:val="24"/>
        </w:rPr>
        <w:t>”</w:t>
      </w:r>
      <w:r w:rsidRPr="007713AD">
        <w:rPr>
          <w:rFonts w:ascii="Times New Roman" w:hAnsi="Times New Roman" w:cs="Times New Roman"/>
          <w:sz w:val="24"/>
          <w:szCs w:val="24"/>
        </w:rPr>
        <w:t>.</w:t>
      </w:r>
      <w:r>
        <w:rPr>
          <w:rFonts w:ascii="Times New Roman" w:hAnsi="Times New Roman" w:cs="Times New Roman"/>
          <w:sz w:val="24"/>
          <w:szCs w:val="24"/>
        </w:rPr>
        <w:t xml:space="preserve"> E</w:t>
      </w:r>
      <w:r w:rsidR="007D079B">
        <w:rPr>
          <w:rFonts w:ascii="Times New Roman" w:hAnsi="Times New Roman" w:cs="Times New Roman"/>
          <w:sz w:val="24"/>
          <w:szCs w:val="24"/>
        </w:rPr>
        <w:t xml:space="preserve"> </w:t>
      </w:r>
      <w:r>
        <w:rPr>
          <w:rFonts w:ascii="Times New Roman" w:hAnsi="Times New Roman" w:cs="Times New Roman"/>
          <w:sz w:val="24"/>
          <w:szCs w:val="24"/>
        </w:rPr>
        <w:t>mais:</w:t>
      </w:r>
      <w:r w:rsidR="007D079B">
        <w:rPr>
          <w:rFonts w:ascii="Times New Roman" w:hAnsi="Times New Roman" w:cs="Times New Roman"/>
          <w:sz w:val="24"/>
          <w:szCs w:val="24"/>
        </w:rPr>
        <w:t xml:space="preserve"> </w:t>
      </w:r>
    </w:p>
    <w:p w14:paraId="209F0FCD" w14:textId="72469C80" w:rsidR="00C26650" w:rsidRPr="007713AD" w:rsidRDefault="007713AD" w:rsidP="00376D27">
      <w:pPr>
        <w:pStyle w:val="t"/>
        <w:spacing w:before="120" w:after="120" w:line="360" w:lineRule="auto"/>
        <w:ind w:left="567" w:firstLine="0"/>
        <w:rPr>
          <w:rFonts w:ascii="Times New Roman" w:hAnsi="Times New Roman" w:cs="Times New Roman"/>
          <w:sz w:val="22"/>
          <w:szCs w:val="22"/>
        </w:rPr>
      </w:pPr>
      <w:r w:rsidRPr="007713AD">
        <w:rPr>
          <w:rFonts w:ascii="Times New Roman" w:hAnsi="Times New Roman" w:cs="Times New Roman"/>
          <w:sz w:val="22"/>
          <w:szCs w:val="22"/>
        </w:rPr>
        <w:t xml:space="preserve">“(...). A Lei nº 14.063/2020 positivou três níveis tecnológicos de assinatura eletrônica </w:t>
      </w:r>
      <w:r w:rsidR="00DE12D5">
        <w:rPr>
          <w:rFonts w:ascii="Times New Roman" w:hAnsi="Times New Roman" w:cs="Times New Roman"/>
          <w:sz w:val="22"/>
          <w:szCs w:val="22"/>
        </w:rPr>
        <w:t>–</w:t>
      </w:r>
      <w:r w:rsidR="00DE12D5" w:rsidRPr="007713AD">
        <w:rPr>
          <w:rFonts w:ascii="Times New Roman" w:hAnsi="Times New Roman" w:cs="Times New Roman"/>
          <w:sz w:val="22"/>
          <w:szCs w:val="22"/>
        </w:rPr>
        <w:t xml:space="preserve"> </w:t>
      </w:r>
      <w:r w:rsidRPr="007713AD">
        <w:rPr>
          <w:rFonts w:ascii="Times New Roman" w:hAnsi="Times New Roman" w:cs="Times New Roman"/>
          <w:sz w:val="22"/>
          <w:szCs w:val="22"/>
        </w:rPr>
        <w:t xml:space="preserve">simples, avançada e qualificada </w:t>
      </w:r>
      <w:r w:rsidR="00DE12D5">
        <w:rPr>
          <w:rFonts w:ascii="Times New Roman" w:hAnsi="Times New Roman" w:cs="Times New Roman"/>
          <w:sz w:val="22"/>
          <w:szCs w:val="22"/>
        </w:rPr>
        <w:t>–</w:t>
      </w:r>
      <w:r w:rsidRPr="007713AD">
        <w:rPr>
          <w:rFonts w:ascii="Times New Roman" w:hAnsi="Times New Roman" w:cs="Times New Roman"/>
          <w:sz w:val="22"/>
          <w:szCs w:val="22"/>
        </w:rPr>
        <w:t xml:space="preserve"> deixando claro que todas gozam de validade jurídica, sendo a assinatura qualificada (baseada em certificado ICP-Brasil) aquela dotada do grau mais elevado de confiabilidade, conforme disposto no art. 4º, § 1º da referida legislação. </w:t>
      </w:r>
      <w:r w:rsidR="00376D27">
        <w:rPr>
          <w:rFonts w:ascii="Times New Roman" w:hAnsi="Times New Roman" w:cs="Times New Roman"/>
          <w:sz w:val="22"/>
          <w:szCs w:val="22"/>
        </w:rPr>
        <w:t xml:space="preserve">(...). </w:t>
      </w:r>
      <w:r w:rsidR="00376D27" w:rsidRPr="00376D27">
        <w:rPr>
          <w:rFonts w:ascii="Times New Roman" w:hAnsi="Times New Roman" w:cs="Times New Roman"/>
          <w:sz w:val="22"/>
          <w:szCs w:val="22"/>
        </w:rPr>
        <w:t>A procuração é documento que reveste-se de especial constituição por viabilizar a representação no processo judicial. Por essa razão, a aferição de sua idoneidade não se restringe ao âmbito privado, cabendo ao Poder Judiciário verificar se o documento apresentado é autêntico e íntegro, de modo a assegurar que a representação processual se constitua de forma válida e regular.</w:t>
      </w:r>
      <w:r w:rsidR="00376D27">
        <w:rPr>
          <w:rFonts w:ascii="Times New Roman" w:hAnsi="Times New Roman" w:cs="Times New Roman"/>
          <w:sz w:val="22"/>
          <w:szCs w:val="22"/>
        </w:rPr>
        <w:t xml:space="preserve"> (...). </w:t>
      </w:r>
      <w:r w:rsidR="00376D27" w:rsidRPr="00376D27">
        <w:rPr>
          <w:rFonts w:ascii="Times New Roman" w:hAnsi="Times New Roman" w:cs="Times New Roman"/>
          <w:sz w:val="22"/>
          <w:szCs w:val="22"/>
        </w:rPr>
        <w:t xml:space="preserve">A procuração eletrônica não exige, como regra, o uso exclusivo de certificação digital emitida no âmbito da ICP-Brasil, por constituir instrumento particular de outorga de poderes. Todavia, na hipótese de dúvidas objetivas da autoridade judicial sobre a autenticidade da assinatura ou a legitimidade da outorga, admite-se que o juiz determine a apresentação de procuração firmada com certificação digital qualificada, no âmbito da ICP-Brasil, para confirmação de sua autoria e integridade, a fim de viabilizar o mais elevado grau de confiabilidade quanto à assinatura, conforme dispõe o art. 4º, § 1º, da Lei nº 14.063/2020, e o § 1º do art. 10 da MP nº 2.200-2/2001. </w:t>
      </w:r>
      <w:r w:rsidR="00376D27">
        <w:rPr>
          <w:rFonts w:ascii="Times New Roman" w:hAnsi="Times New Roman" w:cs="Times New Roman"/>
          <w:sz w:val="22"/>
          <w:szCs w:val="22"/>
        </w:rPr>
        <w:t xml:space="preserve">(...). </w:t>
      </w:r>
      <w:r w:rsidR="00376D27" w:rsidRPr="00376D27">
        <w:rPr>
          <w:rFonts w:ascii="Times New Roman" w:hAnsi="Times New Roman" w:cs="Times New Roman"/>
          <w:sz w:val="22"/>
          <w:szCs w:val="22"/>
        </w:rPr>
        <w:t>No recurso sub julgamento, verifica-se que o TJ/SP reconheceu a existência de indícios de litigância abusiva e de irregularidade na assinatura contida no documento de representação. Intimada a recorrente para regularizar a representação processual, deixou de atender à determinação. À luz do raciocínio previamente desenvolvido, não se mostra inválida, por si só, a procuração eletrônica firmada sem certificação qualificada baseada na ICP-Brasil. Todavia, diante dos indícios concretos de litigância abusiva verificados na hipótese dos autos, revela-se legítima a determinação judicial para que a parte comprovasse a autenticidade da outorga mediante a apresentação de nova procuração firmada com certificação digital qualificada ICP-Brasil, como meio de conferir o grau máximo de confiabilidade ao instrumento</w:t>
      </w:r>
      <w:r w:rsidR="00376D27">
        <w:rPr>
          <w:rFonts w:ascii="Times New Roman" w:hAnsi="Times New Roman" w:cs="Times New Roman"/>
          <w:sz w:val="22"/>
          <w:szCs w:val="22"/>
        </w:rPr>
        <w:t xml:space="preserve">” </w:t>
      </w:r>
      <w:r w:rsidRPr="007713AD">
        <w:rPr>
          <w:rFonts w:ascii="Times New Roman" w:hAnsi="Times New Roman" w:cs="Times New Roman"/>
          <w:sz w:val="22"/>
          <w:szCs w:val="22"/>
        </w:rPr>
        <w:t xml:space="preserve">(STJ, REsp 2.223.695/SP, relatora Ministra Nancy Andrighi, Terceira Turma, julgado em 10/3/2026, </w:t>
      </w:r>
      <w:r w:rsidRPr="00103B8D">
        <w:rPr>
          <w:rFonts w:ascii="Times New Roman" w:hAnsi="Times New Roman" w:cs="Times New Roman"/>
          <w:i/>
          <w:iCs/>
          <w:sz w:val="22"/>
          <w:szCs w:val="22"/>
        </w:rPr>
        <w:t>DJEN</w:t>
      </w:r>
      <w:r w:rsidRPr="007713AD">
        <w:rPr>
          <w:rFonts w:ascii="Times New Roman" w:hAnsi="Times New Roman" w:cs="Times New Roman"/>
          <w:sz w:val="22"/>
          <w:szCs w:val="22"/>
        </w:rPr>
        <w:t xml:space="preserve"> de 13/3/2026)</w:t>
      </w:r>
      <w:r w:rsidR="00376D27">
        <w:rPr>
          <w:rFonts w:ascii="Times New Roman" w:hAnsi="Times New Roman" w:cs="Times New Roman"/>
          <w:sz w:val="22"/>
          <w:szCs w:val="22"/>
        </w:rPr>
        <w:t xml:space="preserve">. </w:t>
      </w:r>
    </w:p>
    <w:p w14:paraId="37D25E54" w14:textId="120721B3" w:rsidR="005F0E14" w:rsidRDefault="00376D27"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se pode notar, o julgado afast</w:t>
      </w:r>
      <w:r w:rsidR="00395C20">
        <w:rPr>
          <w:rFonts w:ascii="Times New Roman" w:hAnsi="Times New Roman" w:cs="Times New Roman"/>
          <w:sz w:val="24"/>
          <w:szCs w:val="24"/>
        </w:rPr>
        <w:t>ou</w:t>
      </w:r>
      <w:r>
        <w:rPr>
          <w:rFonts w:ascii="Times New Roman" w:hAnsi="Times New Roman" w:cs="Times New Roman"/>
          <w:sz w:val="24"/>
          <w:szCs w:val="24"/>
        </w:rPr>
        <w:t xml:space="preserve"> a exigência da </w:t>
      </w:r>
      <w:r w:rsidRPr="00376D27">
        <w:rPr>
          <w:rFonts w:ascii="Times New Roman" w:hAnsi="Times New Roman" w:cs="Times New Roman"/>
          <w:sz w:val="24"/>
          <w:szCs w:val="24"/>
        </w:rPr>
        <w:t>assinatura digital qualificada</w:t>
      </w:r>
      <w:r>
        <w:rPr>
          <w:rFonts w:ascii="Times New Roman" w:hAnsi="Times New Roman" w:cs="Times New Roman"/>
          <w:sz w:val="24"/>
          <w:szCs w:val="24"/>
        </w:rPr>
        <w:t xml:space="preserve"> para a procuração judicial, afirmação que é encontrada em outros arestos</w:t>
      </w:r>
      <w:r w:rsidR="00395C20">
        <w:rPr>
          <w:rFonts w:ascii="Times New Roman" w:hAnsi="Times New Roman" w:cs="Times New Roman"/>
          <w:sz w:val="24"/>
          <w:szCs w:val="24"/>
        </w:rPr>
        <w:t xml:space="preserve"> da Corte</w:t>
      </w:r>
      <w:r w:rsidR="000B00D7">
        <w:rPr>
          <w:rFonts w:ascii="Times New Roman" w:hAnsi="Times New Roman" w:cs="Times New Roman"/>
          <w:sz w:val="24"/>
          <w:szCs w:val="24"/>
        </w:rPr>
        <w:t xml:space="preserve"> Superior</w:t>
      </w:r>
      <w:r>
        <w:rPr>
          <w:rFonts w:ascii="Times New Roman" w:hAnsi="Times New Roman" w:cs="Times New Roman"/>
          <w:sz w:val="24"/>
          <w:szCs w:val="24"/>
        </w:rPr>
        <w:t xml:space="preserve">. Entretanto, diante das peculiaridades do caso concreto, a conclusão final foi no sentido de se determinar judicialmente a necessidade </w:t>
      </w:r>
      <w:r w:rsidR="00395C20">
        <w:rPr>
          <w:rFonts w:ascii="Times New Roman" w:hAnsi="Times New Roman" w:cs="Times New Roman"/>
          <w:sz w:val="24"/>
          <w:szCs w:val="24"/>
        </w:rPr>
        <w:t>de a</w:t>
      </w:r>
      <w:r>
        <w:rPr>
          <w:rFonts w:ascii="Times New Roman" w:hAnsi="Times New Roman" w:cs="Times New Roman"/>
          <w:sz w:val="24"/>
          <w:szCs w:val="24"/>
        </w:rPr>
        <w:t xml:space="preserve"> parte comprovar a outorga dos poderes para o advogado</w:t>
      </w:r>
      <w:r w:rsidR="00395C20">
        <w:rPr>
          <w:rFonts w:ascii="Times New Roman" w:hAnsi="Times New Roman" w:cs="Times New Roman"/>
          <w:sz w:val="24"/>
          <w:szCs w:val="24"/>
        </w:rPr>
        <w:t xml:space="preserve">. </w:t>
      </w:r>
    </w:p>
    <w:p w14:paraId="2A1F49E9" w14:textId="0B094943" w:rsidR="00CE435B" w:rsidRDefault="00395C20" w:rsidP="00395C2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Em outro </w:t>
      </w:r>
      <w:r w:rsidR="000B00D7" w:rsidRPr="000B00D7">
        <w:rPr>
          <w:rFonts w:ascii="Times New Roman" w:hAnsi="Times New Roman" w:cs="Times New Roman"/>
          <w:i/>
          <w:iCs/>
          <w:sz w:val="24"/>
          <w:szCs w:val="24"/>
        </w:rPr>
        <w:t>decisum</w:t>
      </w:r>
      <w:r w:rsidRPr="000B00D7">
        <w:rPr>
          <w:rFonts w:ascii="Times New Roman" w:hAnsi="Times New Roman" w:cs="Times New Roman"/>
          <w:i/>
          <w:iCs/>
          <w:sz w:val="24"/>
          <w:szCs w:val="24"/>
        </w:rPr>
        <w:t>,</w:t>
      </w:r>
      <w:r>
        <w:rPr>
          <w:rFonts w:ascii="Times New Roman" w:hAnsi="Times New Roman" w:cs="Times New Roman"/>
          <w:sz w:val="24"/>
          <w:szCs w:val="24"/>
        </w:rPr>
        <w:t xml:space="preserve"> de mesma relatoria, entendeu-se que</w:t>
      </w:r>
      <w:r w:rsidR="00C81F81">
        <w:rPr>
          <w:rFonts w:ascii="Times New Roman" w:hAnsi="Times New Roman" w:cs="Times New Roman"/>
          <w:sz w:val="24"/>
          <w:szCs w:val="24"/>
        </w:rPr>
        <w:t>,</w:t>
      </w:r>
      <w:r>
        <w:rPr>
          <w:rFonts w:ascii="Times New Roman" w:hAnsi="Times New Roman" w:cs="Times New Roman"/>
          <w:sz w:val="24"/>
          <w:szCs w:val="24"/>
        </w:rPr>
        <w:t xml:space="preserve"> “s</w:t>
      </w:r>
      <w:r w:rsidRPr="00395C20">
        <w:rPr>
          <w:rFonts w:ascii="Times New Roman" w:hAnsi="Times New Roman" w:cs="Times New Roman"/>
          <w:sz w:val="24"/>
          <w:szCs w:val="24"/>
        </w:rPr>
        <w:t>e a instituição financeira lograr demonstrar que não houve qualquer indício de fraude na operação creditícia firmada em meio digital, a simples irresignação de uma das partes quanto à autenticidade do documento, sem qualquer outro lastro probatório de falha na contratação, somente com base no art. 10, §</w:t>
      </w:r>
      <w:r w:rsidR="00C81F81">
        <w:rPr>
          <w:rFonts w:ascii="Times New Roman" w:hAnsi="Times New Roman" w:cs="Times New Roman"/>
          <w:sz w:val="24"/>
          <w:szCs w:val="24"/>
        </w:rPr>
        <w:t xml:space="preserve"> </w:t>
      </w:r>
      <w:r w:rsidRPr="00395C20">
        <w:rPr>
          <w:rFonts w:ascii="Times New Roman" w:hAnsi="Times New Roman" w:cs="Times New Roman"/>
          <w:sz w:val="24"/>
          <w:szCs w:val="24"/>
        </w:rPr>
        <w:t>2º da Medida Provisória 2.200-2/2001, não é suficiente para invalidar o negócio jurídico</w:t>
      </w:r>
      <w:r>
        <w:rPr>
          <w:rFonts w:ascii="Times New Roman" w:hAnsi="Times New Roman" w:cs="Times New Roman"/>
          <w:sz w:val="24"/>
          <w:szCs w:val="24"/>
        </w:rPr>
        <w:t>”</w:t>
      </w:r>
      <w:r w:rsidR="00CE435B">
        <w:rPr>
          <w:rFonts w:ascii="Times New Roman" w:hAnsi="Times New Roman" w:cs="Times New Roman"/>
          <w:sz w:val="24"/>
          <w:szCs w:val="24"/>
        </w:rPr>
        <w:t xml:space="preserve"> </w:t>
      </w:r>
      <w:r w:rsidR="00CE435B" w:rsidRPr="00395C20">
        <w:rPr>
          <w:rFonts w:ascii="Times New Roman" w:hAnsi="Times New Roman" w:cs="Times New Roman"/>
          <w:sz w:val="24"/>
          <w:szCs w:val="24"/>
        </w:rPr>
        <w:t>(</w:t>
      </w:r>
      <w:r w:rsidR="00CE435B">
        <w:rPr>
          <w:rFonts w:ascii="Times New Roman" w:hAnsi="Times New Roman" w:cs="Times New Roman"/>
          <w:sz w:val="24"/>
          <w:szCs w:val="24"/>
        </w:rPr>
        <w:t xml:space="preserve">STJ, </w:t>
      </w:r>
      <w:r w:rsidR="00CE435B" w:rsidRPr="00395C20">
        <w:rPr>
          <w:rFonts w:ascii="Times New Roman" w:hAnsi="Times New Roman" w:cs="Times New Roman"/>
          <w:sz w:val="24"/>
          <w:szCs w:val="24"/>
        </w:rPr>
        <w:t>REsp 2.197.156/SP, relatora Ministra Nancy Andrighi, Terceira Turma, julgado em 3/3/2026</w:t>
      </w:r>
      <w:r w:rsidR="00CE435B" w:rsidRPr="00103B8D">
        <w:rPr>
          <w:rFonts w:ascii="Times New Roman" w:hAnsi="Times New Roman" w:cs="Times New Roman"/>
          <w:i/>
          <w:iCs/>
          <w:sz w:val="24"/>
          <w:szCs w:val="24"/>
        </w:rPr>
        <w:t>, DJEN</w:t>
      </w:r>
      <w:r w:rsidR="00CE435B" w:rsidRPr="00395C20">
        <w:rPr>
          <w:rFonts w:ascii="Times New Roman" w:hAnsi="Times New Roman" w:cs="Times New Roman"/>
          <w:sz w:val="24"/>
          <w:szCs w:val="24"/>
        </w:rPr>
        <w:t xml:space="preserve"> de 9/3/2026)</w:t>
      </w:r>
      <w:r w:rsidR="00CE435B">
        <w:rPr>
          <w:rFonts w:ascii="Times New Roman" w:hAnsi="Times New Roman" w:cs="Times New Roman"/>
          <w:sz w:val="24"/>
          <w:szCs w:val="24"/>
        </w:rPr>
        <w:t>.</w:t>
      </w:r>
      <w:r w:rsidR="007D079B">
        <w:rPr>
          <w:rFonts w:ascii="Times New Roman" w:hAnsi="Times New Roman" w:cs="Times New Roman"/>
          <w:sz w:val="24"/>
          <w:szCs w:val="24"/>
        </w:rPr>
        <w:t xml:space="preserve"> </w:t>
      </w:r>
    </w:p>
    <w:p w14:paraId="0F560112" w14:textId="4D5EAC99" w:rsidR="00395C20" w:rsidRDefault="00395C20" w:rsidP="00395C2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Mais uma vez, agora em caso de fraude bancária, foi afastada a exigência da assinatura </w:t>
      </w:r>
      <w:r w:rsidR="000B00D7">
        <w:rPr>
          <w:rFonts w:ascii="Times New Roman" w:hAnsi="Times New Roman" w:cs="Times New Roman"/>
          <w:sz w:val="24"/>
          <w:szCs w:val="24"/>
        </w:rPr>
        <w:t xml:space="preserve">digital </w:t>
      </w:r>
      <w:r>
        <w:rPr>
          <w:rFonts w:ascii="Times New Roman" w:hAnsi="Times New Roman" w:cs="Times New Roman"/>
          <w:sz w:val="24"/>
          <w:szCs w:val="24"/>
        </w:rPr>
        <w:t xml:space="preserve">qualificada, analisando-se o corpo probatório, sobretudo a presença de uma </w:t>
      </w:r>
      <w:r w:rsidRPr="000B00D7">
        <w:rPr>
          <w:rFonts w:ascii="Times New Roman" w:hAnsi="Times New Roman" w:cs="Times New Roman"/>
          <w:i/>
          <w:iCs/>
          <w:sz w:val="24"/>
          <w:szCs w:val="24"/>
        </w:rPr>
        <w:t xml:space="preserve">selfie </w:t>
      </w:r>
      <w:r>
        <w:rPr>
          <w:rFonts w:ascii="Times New Roman" w:hAnsi="Times New Roman" w:cs="Times New Roman"/>
          <w:sz w:val="24"/>
          <w:szCs w:val="24"/>
        </w:rPr>
        <w:t xml:space="preserve">tirada pelo suposto cliente. Consoante </w:t>
      </w:r>
      <w:r w:rsidR="000B00D7">
        <w:rPr>
          <w:rFonts w:ascii="Times New Roman" w:hAnsi="Times New Roman" w:cs="Times New Roman"/>
          <w:sz w:val="24"/>
          <w:szCs w:val="24"/>
        </w:rPr>
        <w:t>a sua ementa</w:t>
      </w:r>
      <w:r>
        <w:rPr>
          <w:rFonts w:ascii="Times New Roman" w:hAnsi="Times New Roman" w:cs="Times New Roman"/>
          <w:sz w:val="24"/>
          <w:szCs w:val="24"/>
        </w:rPr>
        <w:t>, “</w:t>
      </w:r>
      <w:r w:rsidRPr="00395C20">
        <w:rPr>
          <w:rFonts w:ascii="Times New Roman" w:hAnsi="Times New Roman" w:cs="Times New Roman"/>
          <w:sz w:val="24"/>
          <w:szCs w:val="24"/>
        </w:rPr>
        <w:t xml:space="preserve">a contratação digital foi comprovada por meio de envio de </w:t>
      </w:r>
      <w:r w:rsidRPr="000B00D7">
        <w:rPr>
          <w:rFonts w:ascii="Times New Roman" w:hAnsi="Times New Roman" w:cs="Times New Roman"/>
          <w:i/>
          <w:iCs/>
          <w:sz w:val="24"/>
          <w:szCs w:val="24"/>
        </w:rPr>
        <w:t>selfie</w:t>
      </w:r>
      <w:r w:rsidRPr="00395C20">
        <w:rPr>
          <w:rFonts w:ascii="Times New Roman" w:hAnsi="Times New Roman" w:cs="Times New Roman"/>
          <w:sz w:val="24"/>
          <w:szCs w:val="24"/>
        </w:rPr>
        <w:t>, de documentos pessoais e de aplicação de outros mecanismos de segurança, além do depósito do valor do empréstimo na conta de titularidade da contratante, inexistindo qualquer elemento probatório indicativo de fraude. Por essa razão, a mera ausência de certificação pela ICP-Brasil e a posterior negativa genérica da contratante quanto à autenticidade do documento eletrônico enviado ao contratar o empréstimo não se mostram suficientes para declarar a inexistência do negócio jurídico</w:t>
      </w:r>
      <w:r>
        <w:rPr>
          <w:rFonts w:ascii="Times New Roman" w:hAnsi="Times New Roman" w:cs="Times New Roman"/>
          <w:sz w:val="24"/>
          <w:szCs w:val="24"/>
        </w:rPr>
        <w:t xml:space="preserve">” </w:t>
      </w:r>
      <w:r w:rsidRPr="00395C20">
        <w:rPr>
          <w:rFonts w:ascii="Times New Roman" w:hAnsi="Times New Roman" w:cs="Times New Roman"/>
          <w:sz w:val="24"/>
          <w:szCs w:val="24"/>
        </w:rPr>
        <w:t>(</w:t>
      </w:r>
      <w:r>
        <w:rPr>
          <w:rFonts w:ascii="Times New Roman" w:hAnsi="Times New Roman" w:cs="Times New Roman"/>
          <w:sz w:val="24"/>
          <w:szCs w:val="24"/>
        </w:rPr>
        <w:t xml:space="preserve">STJ, </w:t>
      </w:r>
      <w:r w:rsidRPr="00395C20">
        <w:rPr>
          <w:rFonts w:ascii="Times New Roman" w:hAnsi="Times New Roman" w:cs="Times New Roman"/>
          <w:sz w:val="24"/>
          <w:szCs w:val="24"/>
        </w:rPr>
        <w:t xml:space="preserve">REsp 2.197.156/SP, relatora Ministra Nancy Andrighi, Terceira Turma, julgado em 3/3/2026, </w:t>
      </w:r>
      <w:r w:rsidRPr="00103B8D">
        <w:rPr>
          <w:rFonts w:ascii="Times New Roman" w:hAnsi="Times New Roman" w:cs="Times New Roman"/>
          <w:i/>
          <w:iCs/>
          <w:sz w:val="24"/>
          <w:szCs w:val="24"/>
        </w:rPr>
        <w:t>DJEN</w:t>
      </w:r>
      <w:r w:rsidRPr="00395C20">
        <w:rPr>
          <w:rFonts w:ascii="Times New Roman" w:hAnsi="Times New Roman" w:cs="Times New Roman"/>
          <w:sz w:val="24"/>
          <w:szCs w:val="24"/>
        </w:rPr>
        <w:t xml:space="preserve"> de 9/3/2026)</w:t>
      </w:r>
      <w:r>
        <w:rPr>
          <w:rFonts w:ascii="Times New Roman" w:hAnsi="Times New Roman" w:cs="Times New Roman"/>
          <w:sz w:val="24"/>
          <w:szCs w:val="24"/>
        </w:rPr>
        <w:t>.</w:t>
      </w:r>
      <w:r w:rsidR="007D079B">
        <w:rPr>
          <w:rFonts w:ascii="Times New Roman" w:hAnsi="Times New Roman" w:cs="Times New Roman"/>
          <w:sz w:val="24"/>
          <w:szCs w:val="24"/>
        </w:rPr>
        <w:t xml:space="preserve"> </w:t>
      </w:r>
    </w:p>
    <w:p w14:paraId="0D970BEA" w14:textId="03074BE8" w:rsidR="00DB007B" w:rsidRDefault="00395C20"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Os julgados transcritos demonstram hesitação jurisprudencial a respeito do tema, justamente porque o tratamento legal em vigor trata apenas da confiança em relação a essas modalidades de assinaturas eletrônicas, confirmando-se a antiga premissa da presunção relativa ou </w:t>
      </w:r>
      <w:r w:rsidRPr="00395C20">
        <w:rPr>
          <w:rFonts w:ascii="Times New Roman" w:hAnsi="Times New Roman" w:cs="Times New Roman"/>
          <w:i/>
          <w:iCs/>
          <w:sz w:val="24"/>
          <w:szCs w:val="24"/>
        </w:rPr>
        <w:t>iuris tantum</w:t>
      </w:r>
      <w:r>
        <w:rPr>
          <w:rFonts w:ascii="Times New Roman" w:hAnsi="Times New Roman" w:cs="Times New Roman"/>
          <w:sz w:val="24"/>
          <w:szCs w:val="24"/>
        </w:rPr>
        <w:t xml:space="preserve"> quanto à modalidade qualificada</w:t>
      </w:r>
      <w:r w:rsidR="000B00D7">
        <w:rPr>
          <w:rFonts w:ascii="Times New Roman" w:hAnsi="Times New Roman" w:cs="Times New Roman"/>
          <w:sz w:val="24"/>
          <w:szCs w:val="24"/>
        </w:rPr>
        <w:t xml:space="preserve"> consagrada na Medida Provisória n. 2.200/2001</w:t>
      </w:r>
      <w:r>
        <w:rPr>
          <w:rFonts w:ascii="Times New Roman" w:hAnsi="Times New Roman" w:cs="Times New Roman"/>
          <w:sz w:val="24"/>
          <w:szCs w:val="24"/>
        </w:rPr>
        <w:t xml:space="preserve">. </w:t>
      </w:r>
      <w:r w:rsidR="00873645">
        <w:rPr>
          <w:rFonts w:ascii="Times New Roman" w:hAnsi="Times New Roman" w:cs="Times New Roman"/>
          <w:sz w:val="24"/>
          <w:szCs w:val="24"/>
        </w:rPr>
        <w:t>A regulação atua</w:t>
      </w:r>
      <w:r w:rsidR="000B00D7">
        <w:rPr>
          <w:rFonts w:ascii="Times New Roman" w:hAnsi="Times New Roman" w:cs="Times New Roman"/>
          <w:sz w:val="24"/>
          <w:szCs w:val="24"/>
        </w:rPr>
        <w:t>l</w:t>
      </w:r>
      <w:r w:rsidR="00873645">
        <w:rPr>
          <w:rFonts w:ascii="Times New Roman" w:hAnsi="Times New Roman" w:cs="Times New Roman"/>
          <w:sz w:val="24"/>
          <w:szCs w:val="24"/>
        </w:rPr>
        <w:t xml:space="preserve">, portanto, é deficiente e suficiente para resolver os casos concretos, no meu entender. </w:t>
      </w:r>
    </w:p>
    <w:p w14:paraId="0B211164" w14:textId="4714BE00" w:rsidR="00395C20" w:rsidRDefault="00873645"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 par dessa realidade, o</w:t>
      </w:r>
      <w:r w:rsidR="00395C20">
        <w:rPr>
          <w:rFonts w:ascii="Times New Roman" w:hAnsi="Times New Roman" w:cs="Times New Roman"/>
          <w:sz w:val="24"/>
          <w:szCs w:val="24"/>
        </w:rPr>
        <w:t xml:space="preserve"> Projeto de Reforma do Código Civil pretende seguir outro caminho, em prol da certeza e da segurança jurídica, com uma exigência prévia para determinados atos e negócios jurídicos. Nesse contexto, são feitas duas propostas para o tema</w:t>
      </w:r>
      <w:r>
        <w:rPr>
          <w:rFonts w:ascii="Times New Roman" w:hAnsi="Times New Roman" w:cs="Times New Roman"/>
          <w:sz w:val="24"/>
          <w:szCs w:val="24"/>
        </w:rPr>
        <w:t xml:space="preserve"> das assinaturas digitais</w:t>
      </w:r>
      <w:r w:rsidR="00395C20">
        <w:rPr>
          <w:rFonts w:ascii="Times New Roman" w:hAnsi="Times New Roman" w:cs="Times New Roman"/>
          <w:sz w:val="24"/>
          <w:szCs w:val="24"/>
        </w:rPr>
        <w:t xml:space="preserve">, nos atuais arts. </w:t>
      </w:r>
      <w:r w:rsidR="00CE435B">
        <w:rPr>
          <w:rFonts w:ascii="Times New Roman" w:hAnsi="Times New Roman" w:cs="Times New Roman"/>
          <w:sz w:val="24"/>
          <w:szCs w:val="24"/>
        </w:rPr>
        <w:t xml:space="preserve">2.027-AW e 2.027-AX do PL n. 4/2025, </w:t>
      </w:r>
      <w:r w:rsidR="000B00D7">
        <w:rPr>
          <w:rFonts w:ascii="Times New Roman" w:hAnsi="Times New Roman" w:cs="Times New Roman"/>
          <w:sz w:val="24"/>
          <w:szCs w:val="24"/>
        </w:rPr>
        <w:t>e</w:t>
      </w:r>
      <w:r w:rsidR="00CE435B">
        <w:rPr>
          <w:rFonts w:ascii="Times New Roman" w:hAnsi="Times New Roman" w:cs="Times New Roman"/>
          <w:sz w:val="24"/>
          <w:szCs w:val="24"/>
        </w:rPr>
        <w:t xml:space="preserve"> no novo livro de Direito Civil Digital. </w:t>
      </w:r>
    </w:p>
    <w:p w14:paraId="4AAF675E" w14:textId="2ABF1047" w:rsidR="00873645" w:rsidRDefault="00CE435B"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O primeiro comando pro</w:t>
      </w:r>
      <w:r w:rsidR="000B00D7">
        <w:rPr>
          <w:rFonts w:ascii="Times New Roman" w:hAnsi="Times New Roman" w:cs="Times New Roman"/>
          <w:sz w:val="24"/>
          <w:szCs w:val="24"/>
        </w:rPr>
        <w:t xml:space="preserve">jetado </w:t>
      </w:r>
      <w:r>
        <w:rPr>
          <w:rFonts w:ascii="Times New Roman" w:hAnsi="Times New Roman" w:cs="Times New Roman"/>
          <w:sz w:val="24"/>
          <w:szCs w:val="24"/>
        </w:rPr>
        <w:t>pretende reproduzir em parte o texto do art. 4º da Lei n. 14.062/2023, tratando das três modalidades de assinatura digital dentro do Código Civil, o que visa a retomada do</w:t>
      </w:r>
      <w:r w:rsidR="00873645">
        <w:rPr>
          <w:rFonts w:ascii="Times New Roman" w:hAnsi="Times New Roman" w:cs="Times New Roman"/>
          <w:sz w:val="24"/>
          <w:szCs w:val="24"/>
        </w:rPr>
        <w:t xml:space="preserve"> seu</w:t>
      </w:r>
      <w:r>
        <w:rPr>
          <w:rFonts w:ascii="Times New Roman" w:hAnsi="Times New Roman" w:cs="Times New Roman"/>
          <w:sz w:val="24"/>
          <w:szCs w:val="24"/>
        </w:rPr>
        <w:t xml:space="preserve"> </w:t>
      </w:r>
      <w:r w:rsidRPr="00CE435B">
        <w:rPr>
          <w:rFonts w:ascii="Times New Roman" w:hAnsi="Times New Roman" w:cs="Times New Roman"/>
          <w:i/>
          <w:iCs/>
          <w:sz w:val="24"/>
          <w:szCs w:val="24"/>
        </w:rPr>
        <w:t>protagonismo legislativo</w:t>
      </w:r>
      <w:r>
        <w:rPr>
          <w:rFonts w:ascii="Times New Roman" w:hAnsi="Times New Roman" w:cs="Times New Roman"/>
          <w:sz w:val="24"/>
          <w:szCs w:val="24"/>
        </w:rPr>
        <w:t xml:space="preserve">, o que foi perdido nos últimos anos, um dos nortes da Comissão de Juristas na elaboração do Anteprojeto da Reforma. </w:t>
      </w:r>
    </w:p>
    <w:p w14:paraId="70094917" w14:textId="7E579BBF" w:rsidR="00CE435B" w:rsidRDefault="00CE435B"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w:t>
      </w:r>
      <w:r w:rsidR="00873645">
        <w:rPr>
          <w:rFonts w:ascii="Times New Roman" w:hAnsi="Times New Roman" w:cs="Times New Roman"/>
          <w:sz w:val="24"/>
          <w:szCs w:val="24"/>
        </w:rPr>
        <w:t xml:space="preserve">s razões dessa e de outras proposições no mesmo sentido, </w:t>
      </w:r>
      <w:r>
        <w:rPr>
          <w:rFonts w:ascii="Times New Roman" w:hAnsi="Times New Roman" w:cs="Times New Roman"/>
          <w:sz w:val="24"/>
          <w:szCs w:val="24"/>
        </w:rPr>
        <w:t>além de metodológic</w:t>
      </w:r>
      <w:r w:rsidR="00873645">
        <w:rPr>
          <w:rFonts w:ascii="Times New Roman" w:hAnsi="Times New Roman" w:cs="Times New Roman"/>
          <w:sz w:val="24"/>
          <w:szCs w:val="24"/>
        </w:rPr>
        <w:t>as</w:t>
      </w:r>
      <w:r>
        <w:rPr>
          <w:rFonts w:ascii="Times New Roman" w:hAnsi="Times New Roman" w:cs="Times New Roman"/>
          <w:sz w:val="24"/>
          <w:szCs w:val="24"/>
        </w:rPr>
        <w:t xml:space="preserve"> e organizaciona</w:t>
      </w:r>
      <w:r w:rsidR="00873645">
        <w:rPr>
          <w:rFonts w:ascii="Times New Roman" w:hAnsi="Times New Roman" w:cs="Times New Roman"/>
          <w:sz w:val="24"/>
          <w:szCs w:val="24"/>
        </w:rPr>
        <w:t>is</w:t>
      </w:r>
      <w:r>
        <w:rPr>
          <w:rFonts w:ascii="Times New Roman" w:hAnsi="Times New Roman" w:cs="Times New Roman"/>
          <w:sz w:val="24"/>
          <w:szCs w:val="24"/>
        </w:rPr>
        <w:t xml:space="preserve">, </w:t>
      </w:r>
      <w:r w:rsidR="00873645">
        <w:rPr>
          <w:rFonts w:ascii="Times New Roman" w:hAnsi="Times New Roman" w:cs="Times New Roman"/>
          <w:sz w:val="24"/>
          <w:szCs w:val="24"/>
        </w:rPr>
        <w:t xml:space="preserve">são </w:t>
      </w:r>
      <w:r>
        <w:rPr>
          <w:rFonts w:ascii="Times New Roman" w:hAnsi="Times New Roman" w:cs="Times New Roman"/>
          <w:sz w:val="24"/>
          <w:szCs w:val="24"/>
        </w:rPr>
        <w:t>didática</w:t>
      </w:r>
      <w:r w:rsidR="00873645">
        <w:rPr>
          <w:rFonts w:ascii="Times New Roman" w:hAnsi="Times New Roman" w:cs="Times New Roman"/>
          <w:sz w:val="24"/>
          <w:szCs w:val="24"/>
        </w:rPr>
        <w:t>s</w:t>
      </w:r>
      <w:r>
        <w:rPr>
          <w:rFonts w:ascii="Times New Roman" w:hAnsi="Times New Roman" w:cs="Times New Roman"/>
          <w:sz w:val="24"/>
          <w:szCs w:val="24"/>
        </w:rPr>
        <w:t xml:space="preserve">, pois </w:t>
      </w:r>
      <w:r w:rsidR="00873645">
        <w:rPr>
          <w:rFonts w:ascii="Times New Roman" w:hAnsi="Times New Roman" w:cs="Times New Roman"/>
          <w:sz w:val="24"/>
          <w:szCs w:val="24"/>
        </w:rPr>
        <w:t xml:space="preserve">a falta de </w:t>
      </w:r>
      <w:r>
        <w:rPr>
          <w:rFonts w:ascii="Times New Roman" w:hAnsi="Times New Roman" w:cs="Times New Roman"/>
          <w:sz w:val="24"/>
          <w:szCs w:val="24"/>
        </w:rPr>
        <w:t>tratamento constante do Código Civil</w:t>
      </w:r>
      <w:r w:rsidR="000B00D7">
        <w:rPr>
          <w:rFonts w:ascii="Times New Roman" w:hAnsi="Times New Roman" w:cs="Times New Roman"/>
          <w:sz w:val="24"/>
          <w:szCs w:val="24"/>
        </w:rPr>
        <w:t xml:space="preserve"> –</w:t>
      </w:r>
      <w:r>
        <w:rPr>
          <w:rFonts w:ascii="Times New Roman" w:hAnsi="Times New Roman" w:cs="Times New Roman"/>
          <w:sz w:val="24"/>
          <w:szCs w:val="24"/>
        </w:rPr>
        <w:t xml:space="preserve"> </w:t>
      </w:r>
      <w:r w:rsidR="000B00D7">
        <w:rPr>
          <w:rFonts w:ascii="Times New Roman" w:hAnsi="Times New Roman" w:cs="Times New Roman"/>
          <w:sz w:val="24"/>
          <w:szCs w:val="24"/>
        </w:rPr>
        <w:t xml:space="preserve">a </w:t>
      </w:r>
      <w:r>
        <w:rPr>
          <w:rFonts w:ascii="Times New Roman" w:hAnsi="Times New Roman" w:cs="Times New Roman"/>
          <w:sz w:val="24"/>
          <w:szCs w:val="24"/>
        </w:rPr>
        <w:t xml:space="preserve">lei </w:t>
      </w:r>
      <w:r w:rsidR="000B00D7">
        <w:rPr>
          <w:rFonts w:ascii="Times New Roman" w:hAnsi="Times New Roman" w:cs="Times New Roman"/>
          <w:sz w:val="24"/>
          <w:szCs w:val="24"/>
        </w:rPr>
        <w:t xml:space="preserve">ordinária </w:t>
      </w:r>
      <w:r>
        <w:rPr>
          <w:rFonts w:ascii="Times New Roman" w:hAnsi="Times New Roman" w:cs="Times New Roman"/>
          <w:sz w:val="24"/>
          <w:szCs w:val="24"/>
        </w:rPr>
        <w:t xml:space="preserve">que é estudada </w:t>
      </w:r>
      <w:r w:rsidR="000B00D7">
        <w:rPr>
          <w:rFonts w:ascii="Times New Roman" w:hAnsi="Times New Roman" w:cs="Times New Roman"/>
          <w:sz w:val="24"/>
          <w:szCs w:val="24"/>
        </w:rPr>
        <w:t xml:space="preserve">com maior profundidade </w:t>
      </w:r>
      <w:r>
        <w:rPr>
          <w:rFonts w:ascii="Times New Roman" w:hAnsi="Times New Roman" w:cs="Times New Roman"/>
          <w:sz w:val="24"/>
          <w:szCs w:val="24"/>
        </w:rPr>
        <w:t>desde as faculdades de Direito e em todos os níveis do conhecimento jurídico no Brasil</w:t>
      </w:r>
      <w:r w:rsidR="000B00D7">
        <w:rPr>
          <w:rFonts w:ascii="Times New Roman" w:hAnsi="Times New Roman" w:cs="Times New Roman"/>
          <w:sz w:val="24"/>
          <w:szCs w:val="24"/>
        </w:rPr>
        <w:t xml:space="preserve"> </w:t>
      </w:r>
      <w:r w:rsidR="005E57AA">
        <w:rPr>
          <w:rFonts w:ascii="Times New Roman" w:hAnsi="Times New Roman" w:cs="Times New Roman"/>
          <w:sz w:val="24"/>
          <w:szCs w:val="24"/>
        </w:rPr>
        <w:t xml:space="preserve">– </w:t>
      </w:r>
      <w:r>
        <w:rPr>
          <w:rFonts w:ascii="Times New Roman" w:hAnsi="Times New Roman" w:cs="Times New Roman"/>
          <w:sz w:val="24"/>
          <w:szCs w:val="24"/>
        </w:rPr>
        <w:t>faz com que grande parte da comunidade jurídica não conheça sequer a classificação das assinaturas digitais, o que se pretende corrigir com essa iniciativa</w:t>
      </w:r>
      <w:r w:rsidR="00873645">
        <w:rPr>
          <w:rFonts w:ascii="Times New Roman" w:hAnsi="Times New Roman" w:cs="Times New Roman"/>
          <w:sz w:val="24"/>
          <w:szCs w:val="24"/>
        </w:rPr>
        <w:t xml:space="preserve"> de atualização da nossa Lei Geral Privada</w:t>
      </w:r>
      <w:r>
        <w:rPr>
          <w:rFonts w:ascii="Times New Roman" w:hAnsi="Times New Roman" w:cs="Times New Roman"/>
          <w:sz w:val="24"/>
          <w:szCs w:val="24"/>
        </w:rPr>
        <w:t xml:space="preserve">. </w:t>
      </w:r>
    </w:p>
    <w:p w14:paraId="39E93DB0" w14:textId="712C907A" w:rsidR="007713AD" w:rsidRDefault="00DB007B" w:rsidP="00DB007B">
      <w:pPr>
        <w:pStyle w:val="t"/>
        <w:spacing w:before="120" w:after="120" w:line="360" w:lineRule="auto"/>
        <w:ind w:firstLine="1701"/>
        <w:rPr>
          <w:rFonts w:ascii="Times New Roman" w:hAnsi="Times New Roman" w:cs="Times New Roman"/>
          <w:sz w:val="24"/>
          <w:szCs w:val="24"/>
        </w:rPr>
      </w:pPr>
      <w:r w:rsidRPr="00DB007B">
        <w:rPr>
          <w:rFonts w:ascii="Times New Roman" w:hAnsi="Times New Roman" w:cs="Times New Roman"/>
          <w:sz w:val="24"/>
          <w:szCs w:val="24"/>
        </w:rPr>
        <w:t xml:space="preserve">Nesse contexto, </w:t>
      </w:r>
      <w:r w:rsidR="00CE435B">
        <w:rPr>
          <w:rFonts w:ascii="Times New Roman" w:hAnsi="Times New Roman" w:cs="Times New Roman"/>
          <w:sz w:val="24"/>
          <w:szCs w:val="24"/>
        </w:rPr>
        <w:t xml:space="preserve">conforme o novo art. 2.027-AW do Código Civil, </w:t>
      </w:r>
      <w:r w:rsidRPr="00DB007B">
        <w:rPr>
          <w:rFonts w:ascii="Times New Roman" w:hAnsi="Times New Roman" w:cs="Times New Roman"/>
          <w:sz w:val="24"/>
          <w:szCs w:val="24"/>
        </w:rPr>
        <w:t>são previstas como modalidades de assinaturas eletrônicas</w:t>
      </w:r>
      <w:r w:rsidR="00CE435B">
        <w:rPr>
          <w:rFonts w:ascii="Times New Roman" w:hAnsi="Times New Roman" w:cs="Times New Roman"/>
          <w:sz w:val="24"/>
          <w:szCs w:val="24"/>
        </w:rPr>
        <w:t xml:space="preserve">: </w:t>
      </w:r>
      <w:r w:rsidRPr="00DB007B">
        <w:rPr>
          <w:rStyle w:val="italico"/>
          <w:rFonts w:ascii="Times New Roman" w:hAnsi="Times New Roman" w:cs="Times New Roman"/>
          <w:iCs/>
          <w:sz w:val="24"/>
          <w:szCs w:val="24"/>
        </w:rPr>
        <w:t>a)</w:t>
      </w:r>
      <w:r w:rsidRPr="00DB007B">
        <w:rPr>
          <w:rFonts w:ascii="Times New Roman" w:hAnsi="Times New Roman" w:cs="Times New Roman"/>
          <w:sz w:val="24"/>
          <w:szCs w:val="24"/>
        </w:rPr>
        <w:t xml:space="preserve"> a </w:t>
      </w:r>
      <w:r w:rsidRPr="00DB007B">
        <w:rPr>
          <w:rStyle w:val="italico"/>
          <w:rFonts w:ascii="Times New Roman" w:hAnsi="Times New Roman" w:cs="Times New Roman"/>
          <w:iCs/>
          <w:sz w:val="24"/>
          <w:szCs w:val="24"/>
        </w:rPr>
        <w:t>assinatura eletrônica simples</w:t>
      </w:r>
      <w:r w:rsidRPr="00DB007B">
        <w:rPr>
          <w:rFonts w:ascii="Times New Roman" w:hAnsi="Times New Roman" w:cs="Times New Roman"/>
          <w:sz w:val="24"/>
          <w:szCs w:val="24"/>
        </w:rPr>
        <w:t xml:space="preserve">, sendo a que permite identificar o seu signatário; e a que anexa ou associa dados a outros dados em formato eletrônico do signatário; </w:t>
      </w:r>
      <w:r w:rsidRPr="00DB007B">
        <w:rPr>
          <w:rStyle w:val="italico"/>
          <w:rFonts w:ascii="Times New Roman" w:hAnsi="Times New Roman" w:cs="Times New Roman"/>
          <w:iCs/>
          <w:sz w:val="24"/>
          <w:szCs w:val="24"/>
        </w:rPr>
        <w:t>b)</w:t>
      </w:r>
      <w:r w:rsidRPr="00DB007B">
        <w:rPr>
          <w:rFonts w:ascii="Times New Roman" w:hAnsi="Times New Roman" w:cs="Times New Roman"/>
          <w:sz w:val="24"/>
          <w:szCs w:val="24"/>
        </w:rPr>
        <w:t xml:space="preserve"> a </w:t>
      </w:r>
      <w:r w:rsidRPr="00DB007B">
        <w:rPr>
          <w:rStyle w:val="italico"/>
          <w:rFonts w:ascii="Times New Roman" w:hAnsi="Times New Roman" w:cs="Times New Roman"/>
          <w:iCs/>
          <w:sz w:val="24"/>
          <w:szCs w:val="24"/>
        </w:rPr>
        <w:t>assinatura eletrônica avançada</w:t>
      </w:r>
      <w:r w:rsidRPr="00DB007B">
        <w:rPr>
          <w:rFonts w:ascii="Times New Roman" w:hAnsi="Times New Roman" w:cs="Times New Roman"/>
          <w:sz w:val="24"/>
          <w:szCs w:val="24"/>
        </w:rPr>
        <w:t xml:space="preserve">, a que utiliza certificados não emitidos pela chave pública brasileira da ICP-Brasil ou outro meio de comprovação da autoria e da integridade de documentos em forma eletrônica, desde que admitido pelas partes como válido ou aceito pela pessoa a quem for oposto o documento, com características determinadas; e </w:t>
      </w:r>
      <w:r w:rsidRPr="00DB007B">
        <w:rPr>
          <w:rStyle w:val="italico"/>
          <w:rFonts w:ascii="Times New Roman" w:hAnsi="Times New Roman" w:cs="Times New Roman"/>
          <w:iCs/>
          <w:sz w:val="24"/>
          <w:szCs w:val="24"/>
        </w:rPr>
        <w:t>c)</w:t>
      </w:r>
      <w:r w:rsidRPr="00DB007B">
        <w:rPr>
          <w:rFonts w:ascii="Times New Roman" w:hAnsi="Times New Roman" w:cs="Times New Roman"/>
          <w:sz w:val="24"/>
          <w:szCs w:val="24"/>
        </w:rPr>
        <w:t xml:space="preserve"> a </w:t>
      </w:r>
      <w:r w:rsidRPr="00DB007B">
        <w:rPr>
          <w:rStyle w:val="italico"/>
          <w:rFonts w:ascii="Times New Roman" w:hAnsi="Times New Roman" w:cs="Times New Roman"/>
          <w:iCs/>
          <w:sz w:val="24"/>
          <w:szCs w:val="24"/>
        </w:rPr>
        <w:t>assinatura eletrônica qualificada</w:t>
      </w:r>
      <w:r w:rsidRPr="00DB007B">
        <w:rPr>
          <w:rFonts w:ascii="Times New Roman" w:hAnsi="Times New Roman" w:cs="Times New Roman"/>
          <w:sz w:val="24"/>
          <w:szCs w:val="24"/>
        </w:rPr>
        <w:t xml:space="preserve">, a que utiliza certificado digital da ICP-Brasil. </w:t>
      </w:r>
    </w:p>
    <w:p w14:paraId="011EF573" w14:textId="77777777" w:rsidR="000B00D7" w:rsidRDefault="00CE435B" w:rsidP="00CE435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Esse comando terá, ainda, dois parágrafos, com textos mais claros, técnicos e objetivos do que os do art. 4º da Lei n. 14.063/2020, que não o revogam, mas o complementam.</w:t>
      </w:r>
      <w:r w:rsidR="00873645">
        <w:rPr>
          <w:rFonts w:ascii="Times New Roman" w:hAnsi="Times New Roman" w:cs="Times New Roman"/>
          <w:sz w:val="24"/>
          <w:szCs w:val="24"/>
        </w:rPr>
        <w:t xml:space="preserve"> </w:t>
      </w:r>
    </w:p>
    <w:p w14:paraId="6D6921BE" w14:textId="042A07A5" w:rsidR="000B00D7" w:rsidRDefault="00873645" w:rsidP="00CE435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w:t>
      </w:r>
      <w:r w:rsidR="00CE435B">
        <w:rPr>
          <w:rFonts w:ascii="Times New Roman" w:hAnsi="Times New Roman" w:cs="Times New Roman"/>
          <w:sz w:val="24"/>
          <w:szCs w:val="24"/>
        </w:rPr>
        <w:t>os termos do novo §</w:t>
      </w:r>
      <w:r w:rsidR="00494160">
        <w:rPr>
          <w:rFonts w:ascii="Times New Roman" w:hAnsi="Times New Roman" w:cs="Times New Roman"/>
          <w:sz w:val="24"/>
          <w:szCs w:val="24"/>
        </w:rPr>
        <w:t xml:space="preserve"> </w:t>
      </w:r>
      <w:r w:rsidR="00CE435B">
        <w:rPr>
          <w:rFonts w:ascii="Times New Roman" w:hAnsi="Times New Roman" w:cs="Times New Roman"/>
          <w:sz w:val="24"/>
          <w:szCs w:val="24"/>
        </w:rPr>
        <w:t>1º do art. 2.027</w:t>
      </w:r>
      <w:r>
        <w:rPr>
          <w:rFonts w:ascii="Times New Roman" w:hAnsi="Times New Roman" w:cs="Times New Roman"/>
          <w:sz w:val="24"/>
          <w:szCs w:val="24"/>
        </w:rPr>
        <w:t>-</w:t>
      </w:r>
      <w:r w:rsidR="00CE435B" w:rsidRPr="00CE435B">
        <w:rPr>
          <w:rFonts w:ascii="Times New Roman" w:hAnsi="Times New Roman" w:cs="Times New Roman"/>
          <w:sz w:val="24"/>
          <w:szCs w:val="24"/>
        </w:rPr>
        <w:t>A</w:t>
      </w:r>
      <w:r w:rsidR="00CE435B">
        <w:rPr>
          <w:rFonts w:ascii="Times New Roman" w:hAnsi="Times New Roman" w:cs="Times New Roman"/>
          <w:sz w:val="24"/>
          <w:szCs w:val="24"/>
        </w:rPr>
        <w:t>W, “a a</w:t>
      </w:r>
      <w:r w:rsidR="00CE435B" w:rsidRPr="00CE435B">
        <w:rPr>
          <w:rFonts w:ascii="Times New Roman" w:hAnsi="Times New Roman" w:cs="Times New Roman"/>
          <w:sz w:val="24"/>
          <w:szCs w:val="24"/>
        </w:rPr>
        <w:t>ssinatura digital qualificada comprova a autoria do documento, vinculando-o ao titular do respectivo certificado</w:t>
      </w:r>
      <w:r w:rsidR="00CE435B">
        <w:rPr>
          <w:rFonts w:ascii="Times New Roman" w:hAnsi="Times New Roman" w:cs="Times New Roman"/>
          <w:sz w:val="24"/>
          <w:szCs w:val="24"/>
        </w:rPr>
        <w:t>”. Constata-se, assim, que</w:t>
      </w:r>
      <w:r w:rsidR="00DF4529">
        <w:rPr>
          <w:rFonts w:ascii="Times New Roman" w:hAnsi="Times New Roman" w:cs="Times New Roman"/>
          <w:sz w:val="24"/>
          <w:szCs w:val="24"/>
        </w:rPr>
        <w:t>,</w:t>
      </w:r>
      <w:r w:rsidR="00CE435B">
        <w:rPr>
          <w:rFonts w:ascii="Times New Roman" w:hAnsi="Times New Roman" w:cs="Times New Roman"/>
          <w:sz w:val="24"/>
          <w:szCs w:val="24"/>
        </w:rPr>
        <w:t xml:space="preserve"> ao invés da mera presunção, há previsão da vinculação do signatário</w:t>
      </w:r>
      <w:r>
        <w:rPr>
          <w:rFonts w:ascii="Times New Roman" w:hAnsi="Times New Roman" w:cs="Times New Roman"/>
          <w:sz w:val="24"/>
          <w:szCs w:val="24"/>
        </w:rPr>
        <w:t xml:space="preserve"> e de comprovação de sua autoria por documento, sem a necessidade de uma prova inicial da parte que constou do documento. </w:t>
      </w:r>
    </w:p>
    <w:p w14:paraId="2FBE6F89" w14:textId="01FEFB7B" w:rsidR="00CE435B" w:rsidRDefault="00873645" w:rsidP="00CE435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Igualmente em boa hora, o </w:t>
      </w:r>
      <w:r w:rsidR="00CE435B" w:rsidRPr="00CE435B">
        <w:rPr>
          <w:rFonts w:ascii="Times New Roman" w:hAnsi="Times New Roman" w:cs="Times New Roman"/>
          <w:sz w:val="24"/>
          <w:szCs w:val="24"/>
        </w:rPr>
        <w:t xml:space="preserve">§ 2º </w:t>
      </w:r>
      <w:r>
        <w:rPr>
          <w:rFonts w:ascii="Times New Roman" w:hAnsi="Times New Roman" w:cs="Times New Roman"/>
          <w:sz w:val="24"/>
          <w:szCs w:val="24"/>
        </w:rPr>
        <w:t>desse novo art. 2.027-AW do Código Civil preverá que “a</w:t>
      </w:r>
      <w:r w:rsidR="00CE435B" w:rsidRPr="00CE435B">
        <w:rPr>
          <w:rFonts w:ascii="Times New Roman" w:hAnsi="Times New Roman" w:cs="Times New Roman"/>
          <w:sz w:val="24"/>
          <w:szCs w:val="24"/>
        </w:rPr>
        <w:t xml:space="preserve"> assinatura, por si só, não constitui prova da capacidade ou da ausência de vícios na manifestação de vontade, o que pode ser demonstrado por qualquer interessado</w:t>
      </w:r>
      <w:r>
        <w:rPr>
          <w:rFonts w:ascii="Times New Roman" w:hAnsi="Times New Roman" w:cs="Times New Roman"/>
          <w:sz w:val="24"/>
          <w:szCs w:val="24"/>
        </w:rPr>
        <w:t>”, ou seja, caberá novamente uma inversão do ônus da prova, a ser produzida</w:t>
      </w:r>
      <w:r w:rsidR="007D079B">
        <w:rPr>
          <w:rFonts w:ascii="Times New Roman" w:hAnsi="Times New Roman" w:cs="Times New Roman"/>
          <w:sz w:val="24"/>
          <w:szCs w:val="24"/>
        </w:rPr>
        <w:t xml:space="preserve"> </w:t>
      </w:r>
      <w:r>
        <w:rPr>
          <w:rFonts w:ascii="Times New Roman" w:hAnsi="Times New Roman" w:cs="Times New Roman"/>
          <w:sz w:val="24"/>
          <w:szCs w:val="24"/>
        </w:rPr>
        <w:t>por aquele que contesta o documento onde consta a assinatura digital</w:t>
      </w:r>
      <w:r w:rsidR="00CE435B" w:rsidRPr="00CE435B">
        <w:rPr>
          <w:rFonts w:ascii="Times New Roman" w:hAnsi="Times New Roman" w:cs="Times New Roman"/>
          <w:sz w:val="24"/>
          <w:szCs w:val="24"/>
        </w:rPr>
        <w:t>.</w:t>
      </w:r>
    </w:p>
    <w:p w14:paraId="47716EC0" w14:textId="330442C6" w:rsidR="00F74B0F" w:rsidRDefault="00873645"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proposição mais importante de todas</w:t>
      </w:r>
      <w:r w:rsidR="000B00D7">
        <w:rPr>
          <w:rFonts w:ascii="Times New Roman" w:hAnsi="Times New Roman" w:cs="Times New Roman"/>
          <w:sz w:val="24"/>
          <w:szCs w:val="24"/>
        </w:rPr>
        <w:t xml:space="preserve"> sobre as assinaturas digitais</w:t>
      </w:r>
      <w:r>
        <w:rPr>
          <w:rFonts w:ascii="Times New Roman" w:hAnsi="Times New Roman" w:cs="Times New Roman"/>
          <w:sz w:val="24"/>
          <w:szCs w:val="24"/>
        </w:rPr>
        <w:t xml:space="preserve">, o </w:t>
      </w:r>
      <w:r w:rsidR="000B00D7">
        <w:rPr>
          <w:rFonts w:ascii="Times New Roman" w:hAnsi="Times New Roman" w:cs="Times New Roman"/>
          <w:sz w:val="24"/>
          <w:szCs w:val="24"/>
        </w:rPr>
        <w:t xml:space="preserve">novel </w:t>
      </w:r>
      <w:r>
        <w:rPr>
          <w:rFonts w:ascii="Times New Roman" w:hAnsi="Times New Roman" w:cs="Times New Roman"/>
          <w:sz w:val="24"/>
          <w:szCs w:val="24"/>
        </w:rPr>
        <w:t>art. 2.027-AX do Código Civil estabelece que</w:t>
      </w:r>
      <w:r w:rsidR="007B355F">
        <w:rPr>
          <w:rFonts w:ascii="Times New Roman" w:hAnsi="Times New Roman" w:cs="Times New Roman"/>
          <w:sz w:val="24"/>
          <w:szCs w:val="24"/>
        </w:rPr>
        <w:t>,</w:t>
      </w:r>
      <w:r>
        <w:rPr>
          <w:rFonts w:ascii="Times New Roman" w:hAnsi="Times New Roman" w:cs="Times New Roman"/>
          <w:sz w:val="24"/>
          <w:szCs w:val="24"/>
        </w:rPr>
        <w:t xml:space="preserve"> “s</w:t>
      </w:r>
      <w:r w:rsidRPr="00873645">
        <w:rPr>
          <w:rFonts w:ascii="Times New Roman" w:hAnsi="Times New Roman" w:cs="Times New Roman"/>
          <w:sz w:val="24"/>
          <w:szCs w:val="24"/>
        </w:rPr>
        <w:t>alvo disposição legal em sentido contrário, a validade de documentos constitutivos, modificativos ou extintivos de posições jurídicas que produzam efeitos perante terceiros depende de assinatura qualificada</w:t>
      </w:r>
      <w:r>
        <w:rPr>
          <w:rFonts w:ascii="Times New Roman" w:hAnsi="Times New Roman" w:cs="Times New Roman"/>
          <w:sz w:val="24"/>
          <w:szCs w:val="24"/>
        </w:rPr>
        <w:t xml:space="preserve">”. </w:t>
      </w:r>
    </w:p>
    <w:p w14:paraId="3945F696" w14:textId="41E7CFCA" w:rsidR="00F74B0F" w:rsidRDefault="00873645"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Observa-se, portanto e em regra, que</w:t>
      </w:r>
      <w:r w:rsidR="007B355F">
        <w:rPr>
          <w:rFonts w:ascii="Times New Roman" w:hAnsi="Times New Roman" w:cs="Times New Roman"/>
          <w:sz w:val="24"/>
          <w:szCs w:val="24"/>
        </w:rPr>
        <w:t>,</w:t>
      </w:r>
      <w:r>
        <w:rPr>
          <w:rFonts w:ascii="Times New Roman" w:hAnsi="Times New Roman" w:cs="Times New Roman"/>
          <w:sz w:val="24"/>
          <w:szCs w:val="24"/>
        </w:rPr>
        <w:t xml:space="preserve"> para </w:t>
      </w:r>
      <w:r w:rsidR="00F74B0F">
        <w:rPr>
          <w:rFonts w:ascii="Times New Roman" w:hAnsi="Times New Roman" w:cs="Times New Roman"/>
          <w:sz w:val="24"/>
          <w:szCs w:val="24"/>
        </w:rPr>
        <w:t>a validade dos</w:t>
      </w:r>
      <w:r>
        <w:rPr>
          <w:rFonts w:ascii="Times New Roman" w:hAnsi="Times New Roman" w:cs="Times New Roman"/>
          <w:sz w:val="24"/>
          <w:szCs w:val="24"/>
        </w:rPr>
        <w:t xml:space="preserve"> atos e negócios jurídicos que geram efeitos </w:t>
      </w:r>
      <w:r w:rsidRPr="00873645">
        <w:rPr>
          <w:rFonts w:ascii="Times New Roman" w:hAnsi="Times New Roman" w:cs="Times New Roman"/>
          <w:i/>
          <w:iCs/>
          <w:sz w:val="24"/>
          <w:szCs w:val="24"/>
        </w:rPr>
        <w:t>erga omnes</w:t>
      </w:r>
      <w:r>
        <w:rPr>
          <w:rFonts w:ascii="Times New Roman" w:hAnsi="Times New Roman" w:cs="Times New Roman"/>
          <w:sz w:val="24"/>
          <w:szCs w:val="24"/>
        </w:rPr>
        <w:t>, caso das escrituras de compra e venda de imó</w:t>
      </w:r>
      <w:r w:rsidR="00F74B0F">
        <w:rPr>
          <w:rFonts w:ascii="Times New Roman" w:hAnsi="Times New Roman" w:cs="Times New Roman"/>
          <w:sz w:val="24"/>
          <w:szCs w:val="24"/>
        </w:rPr>
        <w:t>veis</w:t>
      </w:r>
      <w:r>
        <w:rPr>
          <w:rFonts w:ascii="Times New Roman" w:hAnsi="Times New Roman" w:cs="Times New Roman"/>
          <w:sz w:val="24"/>
          <w:szCs w:val="24"/>
        </w:rPr>
        <w:t xml:space="preserve">, de divórcio e de inventários extrajudiciais, será necessária a assinatura </w:t>
      </w:r>
      <w:r w:rsidR="000B00D7">
        <w:rPr>
          <w:rFonts w:ascii="Times New Roman" w:hAnsi="Times New Roman" w:cs="Times New Roman"/>
          <w:sz w:val="24"/>
          <w:szCs w:val="24"/>
        </w:rPr>
        <w:t xml:space="preserve">digital </w:t>
      </w:r>
      <w:r>
        <w:rPr>
          <w:rFonts w:ascii="Times New Roman" w:hAnsi="Times New Roman" w:cs="Times New Roman"/>
          <w:sz w:val="24"/>
          <w:szCs w:val="24"/>
        </w:rPr>
        <w:t>qualificada.</w:t>
      </w:r>
      <w:r w:rsidR="00F74B0F">
        <w:rPr>
          <w:rFonts w:ascii="Times New Roman" w:hAnsi="Times New Roman" w:cs="Times New Roman"/>
          <w:sz w:val="24"/>
          <w:szCs w:val="24"/>
        </w:rPr>
        <w:t xml:space="preserve"> </w:t>
      </w:r>
    </w:p>
    <w:p w14:paraId="1E7D292F" w14:textId="2A1E6180" w:rsidR="00873645" w:rsidRDefault="00F74B0F"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Substitui-se a análise </w:t>
      </w:r>
      <w:r w:rsidRPr="00F74B0F">
        <w:rPr>
          <w:rFonts w:ascii="Times New Roman" w:hAnsi="Times New Roman" w:cs="Times New Roman"/>
          <w:i/>
          <w:iCs/>
          <w:sz w:val="24"/>
          <w:szCs w:val="24"/>
        </w:rPr>
        <w:t>a posteriori</w:t>
      </w:r>
      <w:r>
        <w:rPr>
          <w:rFonts w:ascii="Times New Roman" w:hAnsi="Times New Roman" w:cs="Times New Roman"/>
          <w:sz w:val="24"/>
          <w:szCs w:val="24"/>
        </w:rPr>
        <w:t xml:space="preserve"> da veracidade da assinatura digital e </w:t>
      </w:r>
      <w:r w:rsidR="000B00D7">
        <w:rPr>
          <w:rFonts w:ascii="Times New Roman" w:hAnsi="Times New Roman" w:cs="Times New Roman"/>
          <w:sz w:val="24"/>
          <w:szCs w:val="24"/>
        </w:rPr>
        <w:t xml:space="preserve">a </w:t>
      </w:r>
      <w:r>
        <w:rPr>
          <w:rFonts w:ascii="Times New Roman" w:hAnsi="Times New Roman" w:cs="Times New Roman"/>
          <w:sz w:val="24"/>
          <w:szCs w:val="24"/>
        </w:rPr>
        <w:t xml:space="preserve">sua </w:t>
      </w:r>
      <w:r w:rsidR="000B00D7">
        <w:rPr>
          <w:rFonts w:ascii="Times New Roman" w:hAnsi="Times New Roman" w:cs="Times New Roman"/>
          <w:sz w:val="24"/>
          <w:szCs w:val="24"/>
        </w:rPr>
        <w:t xml:space="preserve">correspondente </w:t>
      </w:r>
      <w:r>
        <w:rPr>
          <w:rFonts w:ascii="Times New Roman" w:hAnsi="Times New Roman" w:cs="Times New Roman"/>
          <w:sz w:val="24"/>
          <w:szCs w:val="24"/>
        </w:rPr>
        <w:t xml:space="preserve">presunção, </w:t>
      </w:r>
      <w:r w:rsidR="000B00D7">
        <w:rPr>
          <w:rFonts w:ascii="Times New Roman" w:hAnsi="Times New Roman" w:cs="Times New Roman"/>
          <w:sz w:val="24"/>
          <w:szCs w:val="24"/>
        </w:rPr>
        <w:t xml:space="preserve">o </w:t>
      </w:r>
      <w:r>
        <w:rPr>
          <w:rFonts w:ascii="Times New Roman" w:hAnsi="Times New Roman" w:cs="Times New Roman"/>
          <w:sz w:val="24"/>
          <w:szCs w:val="24"/>
        </w:rPr>
        <w:t>que tem gerado muitas dúvidas</w:t>
      </w:r>
      <w:r w:rsidR="000B00D7">
        <w:rPr>
          <w:rFonts w:ascii="Times New Roman" w:hAnsi="Times New Roman" w:cs="Times New Roman"/>
          <w:sz w:val="24"/>
          <w:szCs w:val="24"/>
        </w:rPr>
        <w:t xml:space="preserve"> e incertezas</w:t>
      </w:r>
      <w:r>
        <w:rPr>
          <w:rFonts w:ascii="Times New Roman" w:hAnsi="Times New Roman" w:cs="Times New Roman"/>
          <w:sz w:val="24"/>
          <w:szCs w:val="24"/>
        </w:rPr>
        <w:t xml:space="preserve">, por uma exigência </w:t>
      </w:r>
      <w:r w:rsidRPr="00F74B0F">
        <w:rPr>
          <w:rFonts w:ascii="Times New Roman" w:hAnsi="Times New Roman" w:cs="Times New Roman"/>
          <w:i/>
          <w:iCs/>
          <w:sz w:val="24"/>
          <w:szCs w:val="24"/>
        </w:rPr>
        <w:t>a priori</w:t>
      </w:r>
      <w:r>
        <w:rPr>
          <w:rFonts w:ascii="Times New Roman" w:hAnsi="Times New Roman" w:cs="Times New Roman"/>
          <w:sz w:val="24"/>
          <w:szCs w:val="24"/>
        </w:rPr>
        <w:t>, como um requisito de validade para os documentos que geram efeitos para além das partes, ou seja, para os atos e negócios jurídicos com eficácia externa.</w:t>
      </w:r>
      <w:r w:rsidR="007D079B">
        <w:rPr>
          <w:rFonts w:ascii="Times New Roman" w:hAnsi="Times New Roman" w:cs="Times New Roman"/>
          <w:sz w:val="24"/>
          <w:szCs w:val="24"/>
        </w:rPr>
        <w:t xml:space="preserve"> </w:t>
      </w:r>
    </w:p>
    <w:p w14:paraId="009B4DD6" w14:textId="77777777" w:rsidR="00F74B0F" w:rsidRDefault="00F74B0F" w:rsidP="0087364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Não se pode negar que e</w:t>
      </w:r>
      <w:r w:rsidR="00873645">
        <w:rPr>
          <w:rFonts w:ascii="Times New Roman" w:hAnsi="Times New Roman" w:cs="Times New Roman"/>
          <w:sz w:val="24"/>
          <w:szCs w:val="24"/>
        </w:rPr>
        <w:t xml:space="preserve">ssa proposição traz </w:t>
      </w:r>
      <w:r>
        <w:rPr>
          <w:rFonts w:ascii="Times New Roman" w:hAnsi="Times New Roman" w:cs="Times New Roman"/>
          <w:sz w:val="24"/>
          <w:szCs w:val="24"/>
        </w:rPr>
        <w:t xml:space="preserve">maior </w:t>
      </w:r>
      <w:r w:rsidR="00873645">
        <w:rPr>
          <w:rFonts w:ascii="Times New Roman" w:hAnsi="Times New Roman" w:cs="Times New Roman"/>
          <w:sz w:val="24"/>
          <w:szCs w:val="24"/>
        </w:rPr>
        <w:t xml:space="preserve">segurança jurídica para </w:t>
      </w:r>
      <w:r>
        <w:rPr>
          <w:rFonts w:ascii="Times New Roman" w:hAnsi="Times New Roman" w:cs="Times New Roman"/>
          <w:sz w:val="24"/>
          <w:szCs w:val="24"/>
        </w:rPr>
        <w:t xml:space="preserve">as </w:t>
      </w:r>
      <w:r w:rsidR="00873645">
        <w:rPr>
          <w:rFonts w:ascii="Times New Roman" w:hAnsi="Times New Roman" w:cs="Times New Roman"/>
          <w:sz w:val="24"/>
          <w:szCs w:val="24"/>
        </w:rPr>
        <w:t>assinaturas</w:t>
      </w:r>
      <w:r>
        <w:rPr>
          <w:rFonts w:ascii="Times New Roman" w:hAnsi="Times New Roman" w:cs="Times New Roman"/>
          <w:sz w:val="24"/>
          <w:szCs w:val="24"/>
        </w:rPr>
        <w:t xml:space="preserve"> digitais</w:t>
      </w:r>
      <w:r w:rsidR="00873645">
        <w:rPr>
          <w:rFonts w:ascii="Times New Roman" w:hAnsi="Times New Roman" w:cs="Times New Roman"/>
          <w:sz w:val="24"/>
          <w:szCs w:val="24"/>
        </w:rPr>
        <w:t xml:space="preserve">, ainda mais em uma realidade em que se propagam e se multiplicam as fraudes eletrônicas, </w:t>
      </w:r>
      <w:r>
        <w:rPr>
          <w:rFonts w:ascii="Times New Roman" w:hAnsi="Times New Roman" w:cs="Times New Roman"/>
          <w:sz w:val="24"/>
          <w:szCs w:val="24"/>
        </w:rPr>
        <w:t xml:space="preserve">praticadas pela </w:t>
      </w:r>
      <w:r w:rsidRPr="00103B8D">
        <w:rPr>
          <w:rFonts w:ascii="Times New Roman" w:hAnsi="Times New Roman" w:cs="Times New Roman"/>
          <w:sz w:val="24"/>
          <w:szCs w:val="24"/>
        </w:rPr>
        <w:t>internet</w:t>
      </w:r>
      <w:r w:rsidRPr="007B355F">
        <w:rPr>
          <w:rFonts w:ascii="Times New Roman" w:hAnsi="Times New Roman" w:cs="Times New Roman"/>
          <w:sz w:val="24"/>
          <w:szCs w:val="24"/>
        </w:rPr>
        <w:t>,</w:t>
      </w:r>
      <w:r>
        <w:rPr>
          <w:rFonts w:ascii="Times New Roman" w:hAnsi="Times New Roman" w:cs="Times New Roman"/>
          <w:sz w:val="24"/>
          <w:szCs w:val="24"/>
        </w:rPr>
        <w:t xml:space="preserve"> </w:t>
      </w:r>
      <w:r w:rsidR="00873645">
        <w:rPr>
          <w:rFonts w:ascii="Times New Roman" w:hAnsi="Times New Roman" w:cs="Times New Roman"/>
          <w:sz w:val="24"/>
          <w:szCs w:val="24"/>
        </w:rPr>
        <w:t xml:space="preserve">como se retira dos julgados do </w:t>
      </w:r>
      <w:r>
        <w:rPr>
          <w:rFonts w:ascii="Times New Roman" w:hAnsi="Times New Roman" w:cs="Times New Roman"/>
          <w:sz w:val="24"/>
          <w:szCs w:val="24"/>
        </w:rPr>
        <w:t>Superior Tribunal de Justiça</w:t>
      </w:r>
      <w:r w:rsidR="00873645">
        <w:rPr>
          <w:rFonts w:ascii="Times New Roman" w:hAnsi="Times New Roman" w:cs="Times New Roman"/>
          <w:sz w:val="24"/>
          <w:szCs w:val="24"/>
        </w:rPr>
        <w:t xml:space="preserve"> que aqui foram transcritos. </w:t>
      </w:r>
    </w:p>
    <w:p w14:paraId="66F52188" w14:textId="77777777" w:rsidR="000B00D7" w:rsidRDefault="00F74B0F" w:rsidP="0087364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Espera-se, portanto, a aprovação das proposições pelo Parlamento Brasileiro, o que virá em boa hora, e dentro do Código Civil, que é o </w:t>
      </w:r>
      <w:r w:rsidRPr="000B00D7">
        <w:rPr>
          <w:rFonts w:ascii="Times New Roman" w:hAnsi="Times New Roman" w:cs="Times New Roman"/>
          <w:i/>
          <w:iCs/>
          <w:sz w:val="24"/>
          <w:szCs w:val="24"/>
        </w:rPr>
        <w:t xml:space="preserve">locus </w:t>
      </w:r>
      <w:r>
        <w:rPr>
          <w:rFonts w:ascii="Times New Roman" w:hAnsi="Times New Roman" w:cs="Times New Roman"/>
          <w:sz w:val="24"/>
          <w:szCs w:val="24"/>
        </w:rPr>
        <w:t xml:space="preserve">adequado para essa regulação. </w:t>
      </w:r>
    </w:p>
    <w:p w14:paraId="2429FD31" w14:textId="58FE8282" w:rsidR="00873645" w:rsidRPr="00873645" w:rsidRDefault="000B00D7" w:rsidP="0087364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última nota, </w:t>
      </w:r>
      <w:r w:rsidR="002E1E6F">
        <w:rPr>
          <w:rFonts w:ascii="Times New Roman" w:hAnsi="Times New Roman" w:cs="Times New Roman"/>
          <w:sz w:val="24"/>
          <w:szCs w:val="24"/>
        </w:rPr>
        <w:t>conforme</w:t>
      </w:r>
      <w:r>
        <w:rPr>
          <w:rFonts w:ascii="Times New Roman" w:hAnsi="Times New Roman" w:cs="Times New Roman"/>
          <w:sz w:val="24"/>
          <w:szCs w:val="24"/>
        </w:rPr>
        <w:t xml:space="preserve"> </w:t>
      </w:r>
      <w:r w:rsidR="00F74B0F">
        <w:rPr>
          <w:rFonts w:ascii="Times New Roman" w:hAnsi="Times New Roman" w:cs="Times New Roman"/>
          <w:sz w:val="24"/>
          <w:szCs w:val="24"/>
        </w:rPr>
        <w:t xml:space="preserve">debatido nas audiências públicas da Comissão Temporária do Senado Federal, seja mais interessante que o livro de Direito Civil Digital esteja no final da Parte Geral </w:t>
      </w:r>
      <w:r>
        <w:rPr>
          <w:rFonts w:ascii="Times New Roman" w:hAnsi="Times New Roman" w:cs="Times New Roman"/>
          <w:sz w:val="24"/>
          <w:szCs w:val="24"/>
        </w:rPr>
        <w:t xml:space="preserve">do Código Civil </w:t>
      </w:r>
      <w:r w:rsidR="00F74B0F">
        <w:rPr>
          <w:rFonts w:ascii="Times New Roman" w:hAnsi="Times New Roman" w:cs="Times New Roman"/>
          <w:sz w:val="24"/>
          <w:szCs w:val="24"/>
        </w:rPr>
        <w:t>e antes d</w:t>
      </w:r>
      <w:r>
        <w:rPr>
          <w:rFonts w:ascii="Times New Roman" w:hAnsi="Times New Roman" w:cs="Times New Roman"/>
          <w:sz w:val="24"/>
          <w:szCs w:val="24"/>
        </w:rPr>
        <w:t>e sua Parte Especial e d</w:t>
      </w:r>
      <w:r w:rsidR="00F74B0F">
        <w:rPr>
          <w:rFonts w:ascii="Times New Roman" w:hAnsi="Times New Roman" w:cs="Times New Roman"/>
          <w:sz w:val="24"/>
          <w:szCs w:val="24"/>
        </w:rPr>
        <w:t xml:space="preserve">o livro de Direito das Obrigações, como letras do art. 232. Também penso que esse livro deverá ser mais enxuto, com menos comandos legais, tema que aprofundarei no próximo e último artigo desta série, em que tratarei do </w:t>
      </w:r>
      <w:r w:rsidR="00F74B0F" w:rsidRPr="00F74B0F">
        <w:rPr>
          <w:rFonts w:ascii="Times New Roman" w:hAnsi="Times New Roman" w:cs="Times New Roman"/>
          <w:i/>
          <w:iCs/>
          <w:sz w:val="24"/>
          <w:szCs w:val="24"/>
        </w:rPr>
        <w:t>e-notariado.</w:t>
      </w:r>
      <w:r w:rsidR="007D079B">
        <w:rPr>
          <w:rFonts w:ascii="Times New Roman" w:hAnsi="Times New Roman" w:cs="Times New Roman"/>
          <w:sz w:val="24"/>
          <w:szCs w:val="24"/>
        </w:rPr>
        <w:t xml:space="preserve"> </w:t>
      </w:r>
    </w:p>
    <w:sectPr w:rsidR="00873645" w:rsidRPr="00873645"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1D950F" w14:textId="77777777" w:rsidR="00B25CA7" w:rsidRPr="00506A24" w:rsidRDefault="00B25CA7" w:rsidP="00B15AD0">
      <w:pPr>
        <w:spacing w:after="0" w:line="240" w:lineRule="auto"/>
      </w:pPr>
      <w:r w:rsidRPr="00506A24">
        <w:separator/>
      </w:r>
    </w:p>
  </w:endnote>
  <w:endnote w:type="continuationSeparator" w:id="0">
    <w:p w14:paraId="6320B619" w14:textId="77777777" w:rsidR="00B25CA7" w:rsidRPr="00506A24" w:rsidRDefault="00B25CA7" w:rsidP="00B15AD0">
      <w:pPr>
        <w:spacing w:after="0" w:line="240" w:lineRule="auto"/>
      </w:pPr>
      <w:r w:rsidRPr="00506A2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MyriadPro-Regular">
    <w:altName w:val="Malgun Gothic"/>
    <w:panose1 w:val="00000000000000000000"/>
    <w:charset w:val="00"/>
    <w:family w:val="auto"/>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9919016"/>
      <w:docPartObj>
        <w:docPartGallery w:val="Page Numbers (Bottom of Page)"/>
        <w:docPartUnique/>
      </w:docPartObj>
    </w:sdtPr>
    <w:sdtContent>
      <w:p w14:paraId="5C9B0961" w14:textId="1488891B" w:rsidR="00313722" w:rsidRPr="00506A24" w:rsidRDefault="00B06309">
        <w:pPr>
          <w:pStyle w:val="Rodap"/>
          <w:jc w:val="right"/>
        </w:pPr>
        <w:r w:rsidRPr="00506A24">
          <w:fldChar w:fldCharType="begin"/>
        </w:r>
        <w:r w:rsidRPr="00506A24">
          <w:instrText xml:space="preserve"> PAGE   \* MERGEFORMAT </w:instrText>
        </w:r>
        <w:r w:rsidRPr="00506A24">
          <w:fldChar w:fldCharType="separate"/>
        </w:r>
        <w:r w:rsidR="009F5F3F">
          <w:rPr>
            <w:noProof/>
          </w:rPr>
          <w:t>1</w:t>
        </w:r>
        <w:r w:rsidRPr="00506A24">
          <w:fldChar w:fldCharType="end"/>
        </w:r>
      </w:p>
    </w:sdtContent>
  </w:sdt>
  <w:p w14:paraId="42C3C8E5" w14:textId="77777777" w:rsidR="00313722" w:rsidRPr="00506A24" w:rsidRDefault="0031372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E14449" w14:textId="77777777" w:rsidR="00B25CA7" w:rsidRPr="00506A24" w:rsidRDefault="00B25CA7" w:rsidP="00B15AD0">
      <w:pPr>
        <w:spacing w:after="0" w:line="240" w:lineRule="auto"/>
      </w:pPr>
      <w:r w:rsidRPr="00506A24">
        <w:separator/>
      </w:r>
    </w:p>
  </w:footnote>
  <w:footnote w:type="continuationSeparator" w:id="0">
    <w:p w14:paraId="731E347D" w14:textId="77777777" w:rsidR="00B25CA7" w:rsidRPr="00506A24" w:rsidRDefault="00B25CA7" w:rsidP="00B15AD0">
      <w:pPr>
        <w:spacing w:after="0" w:line="240" w:lineRule="auto"/>
      </w:pPr>
      <w:r w:rsidRPr="00506A24">
        <w:continuationSeparator/>
      </w:r>
    </w:p>
  </w:footnote>
  <w:footnote w:id="1">
    <w:p w14:paraId="1C5C5CE1" w14:textId="77777777" w:rsidR="00313722" w:rsidRPr="00197971" w:rsidRDefault="00313722" w:rsidP="00B15AD0">
      <w:pPr>
        <w:pStyle w:val="Textodenotaderodap"/>
        <w:jc w:val="both"/>
      </w:pPr>
      <w:r w:rsidRPr="00506A24">
        <w:rPr>
          <w:rStyle w:val="Refdenotaderodap"/>
        </w:rPr>
        <w:footnoteRef/>
      </w:r>
      <w:r w:rsidRPr="00506A24">
        <w:t xml:space="preserve"> Pós-Doutor e Doutor em Direito Civil pela USP. Mestre em Direito Civil Comparado pela PUCSP. Professor Titular permanente e coordenador do mestrado da Escola Paulista de Direito (EPD). Professor e coordenador dos cursos de pós-graduação </w:t>
      </w:r>
      <w:r w:rsidRPr="00506A24">
        <w:rPr>
          <w:i/>
        </w:rPr>
        <w:t>lato sensu</w:t>
      </w:r>
      <w:r w:rsidRPr="00506A24">
        <w:t xml:space="preserve"> em Direito Privado da EPD. Relator do Projeto de Reforma do Código Civil. Primeiro Presidente e Fundador do Instituto Brasileiro de Direito Contratual (IBDCONT). Conselheiro Federal da OAB, pela OABSP. Advogado em São Paulo, parecerista, árbitro e consultor jurídico.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15:restartNumberingAfterBreak="0">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297148060">
    <w:abstractNumId w:val="1"/>
  </w:num>
  <w:num w:numId="2" w16cid:durableId="1543399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84D"/>
    <w:rsid w:val="00002059"/>
    <w:rsid w:val="00004278"/>
    <w:rsid w:val="00010B62"/>
    <w:rsid w:val="00012D24"/>
    <w:rsid w:val="00014A13"/>
    <w:rsid w:val="000163F9"/>
    <w:rsid w:val="000165B6"/>
    <w:rsid w:val="0002246D"/>
    <w:rsid w:val="000272D3"/>
    <w:rsid w:val="00042DD9"/>
    <w:rsid w:val="0006022B"/>
    <w:rsid w:val="000618D8"/>
    <w:rsid w:val="00061D0E"/>
    <w:rsid w:val="00061D24"/>
    <w:rsid w:val="00061D89"/>
    <w:rsid w:val="00065809"/>
    <w:rsid w:val="00081B5A"/>
    <w:rsid w:val="00081F89"/>
    <w:rsid w:val="00084038"/>
    <w:rsid w:val="00090984"/>
    <w:rsid w:val="00091C4D"/>
    <w:rsid w:val="00092468"/>
    <w:rsid w:val="000967F8"/>
    <w:rsid w:val="000A0500"/>
    <w:rsid w:val="000A1BE1"/>
    <w:rsid w:val="000A1DAE"/>
    <w:rsid w:val="000A20A3"/>
    <w:rsid w:val="000A4AFE"/>
    <w:rsid w:val="000A6A8E"/>
    <w:rsid w:val="000B00D7"/>
    <w:rsid w:val="000B0D00"/>
    <w:rsid w:val="000B199E"/>
    <w:rsid w:val="000B3C12"/>
    <w:rsid w:val="000B4F9A"/>
    <w:rsid w:val="000B6EDD"/>
    <w:rsid w:val="000C0579"/>
    <w:rsid w:val="000C5F8E"/>
    <w:rsid w:val="000D4EB5"/>
    <w:rsid w:val="000D5EE0"/>
    <w:rsid w:val="000D6AB7"/>
    <w:rsid w:val="000D7B84"/>
    <w:rsid w:val="000E69A0"/>
    <w:rsid w:val="000E76DF"/>
    <w:rsid w:val="000E7C7A"/>
    <w:rsid w:val="000F397F"/>
    <w:rsid w:val="00101681"/>
    <w:rsid w:val="00103B8D"/>
    <w:rsid w:val="001115BE"/>
    <w:rsid w:val="001164E8"/>
    <w:rsid w:val="00121038"/>
    <w:rsid w:val="001257FC"/>
    <w:rsid w:val="00127619"/>
    <w:rsid w:val="00130044"/>
    <w:rsid w:val="0013242A"/>
    <w:rsid w:val="00140F1A"/>
    <w:rsid w:val="001431C6"/>
    <w:rsid w:val="0014589B"/>
    <w:rsid w:val="00147FD2"/>
    <w:rsid w:val="0015250A"/>
    <w:rsid w:val="00154A54"/>
    <w:rsid w:val="00155FF7"/>
    <w:rsid w:val="0015785B"/>
    <w:rsid w:val="001604A2"/>
    <w:rsid w:val="00162445"/>
    <w:rsid w:val="00163219"/>
    <w:rsid w:val="00174761"/>
    <w:rsid w:val="00176E7D"/>
    <w:rsid w:val="001A1246"/>
    <w:rsid w:val="001A33D9"/>
    <w:rsid w:val="001A3BB7"/>
    <w:rsid w:val="001A3C52"/>
    <w:rsid w:val="001B0CD7"/>
    <w:rsid w:val="001B36E1"/>
    <w:rsid w:val="001B45D7"/>
    <w:rsid w:val="001B648E"/>
    <w:rsid w:val="001C0743"/>
    <w:rsid w:val="001C0BF5"/>
    <w:rsid w:val="001C20B6"/>
    <w:rsid w:val="001C3F9C"/>
    <w:rsid w:val="001D10F0"/>
    <w:rsid w:val="001D23C5"/>
    <w:rsid w:val="001D248B"/>
    <w:rsid w:val="001D26B5"/>
    <w:rsid w:val="001D2D3A"/>
    <w:rsid w:val="001D2FCE"/>
    <w:rsid w:val="001D4C59"/>
    <w:rsid w:val="001E3A72"/>
    <w:rsid w:val="001E5FD0"/>
    <w:rsid w:val="001F0B30"/>
    <w:rsid w:val="001F7416"/>
    <w:rsid w:val="00204797"/>
    <w:rsid w:val="002057D0"/>
    <w:rsid w:val="00216BE4"/>
    <w:rsid w:val="002173DE"/>
    <w:rsid w:val="00223883"/>
    <w:rsid w:val="00226F9E"/>
    <w:rsid w:val="00227988"/>
    <w:rsid w:val="00231DBA"/>
    <w:rsid w:val="00231DCF"/>
    <w:rsid w:val="00234405"/>
    <w:rsid w:val="00240103"/>
    <w:rsid w:val="00240B32"/>
    <w:rsid w:val="002628DD"/>
    <w:rsid w:val="0027030E"/>
    <w:rsid w:val="00270AAC"/>
    <w:rsid w:val="00275DC5"/>
    <w:rsid w:val="0027678B"/>
    <w:rsid w:val="00276D6A"/>
    <w:rsid w:val="0027700F"/>
    <w:rsid w:val="002809A2"/>
    <w:rsid w:val="00283304"/>
    <w:rsid w:val="00283C6E"/>
    <w:rsid w:val="0028639A"/>
    <w:rsid w:val="002876ED"/>
    <w:rsid w:val="00295705"/>
    <w:rsid w:val="00295C84"/>
    <w:rsid w:val="00296B3B"/>
    <w:rsid w:val="00297F8D"/>
    <w:rsid w:val="002A1A09"/>
    <w:rsid w:val="002A471D"/>
    <w:rsid w:val="002A4A94"/>
    <w:rsid w:val="002A60FF"/>
    <w:rsid w:val="002B12EB"/>
    <w:rsid w:val="002B7539"/>
    <w:rsid w:val="002B77B1"/>
    <w:rsid w:val="002B7E62"/>
    <w:rsid w:val="002C0424"/>
    <w:rsid w:val="002C20BD"/>
    <w:rsid w:val="002C5F94"/>
    <w:rsid w:val="002D2CA8"/>
    <w:rsid w:val="002D7126"/>
    <w:rsid w:val="002D75F5"/>
    <w:rsid w:val="002E06BF"/>
    <w:rsid w:val="002E0A51"/>
    <w:rsid w:val="002E174E"/>
    <w:rsid w:val="002E1E6F"/>
    <w:rsid w:val="002E2013"/>
    <w:rsid w:val="002F013F"/>
    <w:rsid w:val="002F1032"/>
    <w:rsid w:val="002F1121"/>
    <w:rsid w:val="002F1277"/>
    <w:rsid w:val="002F6BCE"/>
    <w:rsid w:val="003045A4"/>
    <w:rsid w:val="00310780"/>
    <w:rsid w:val="00311DC8"/>
    <w:rsid w:val="00313722"/>
    <w:rsid w:val="003156EB"/>
    <w:rsid w:val="00316B68"/>
    <w:rsid w:val="00325274"/>
    <w:rsid w:val="0032631E"/>
    <w:rsid w:val="00331477"/>
    <w:rsid w:val="003358E3"/>
    <w:rsid w:val="00341469"/>
    <w:rsid w:val="00341F09"/>
    <w:rsid w:val="00351820"/>
    <w:rsid w:val="00353FDF"/>
    <w:rsid w:val="00354174"/>
    <w:rsid w:val="00356BC1"/>
    <w:rsid w:val="00357109"/>
    <w:rsid w:val="0037094A"/>
    <w:rsid w:val="00376D27"/>
    <w:rsid w:val="0038223F"/>
    <w:rsid w:val="003869F0"/>
    <w:rsid w:val="00394C9F"/>
    <w:rsid w:val="00395C20"/>
    <w:rsid w:val="003964F7"/>
    <w:rsid w:val="00396C5B"/>
    <w:rsid w:val="003A2D67"/>
    <w:rsid w:val="003B0F36"/>
    <w:rsid w:val="003C0ADC"/>
    <w:rsid w:val="003D1130"/>
    <w:rsid w:val="003D758C"/>
    <w:rsid w:val="003E6BFA"/>
    <w:rsid w:val="003F45B3"/>
    <w:rsid w:val="00416565"/>
    <w:rsid w:val="00416BAE"/>
    <w:rsid w:val="00420F7D"/>
    <w:rsid w:val="00421AAD"/>
    <w:rsid w:val="004231D8"/>
    <w:rsid w:val="004263CC"/>
    <w:rsid w:val="00440E97"/>
    <w:rsid w:val="0044129B"/>
    <w:rsid w:val="004459BC"/>
    <w:rsid w:val="00451CC8"/>
    <w:rsid w:val="00461BBB"/>
    <w:rsid w:val="00463CAE"/>
    <w:rsid w:val="0046464F"/>
    <w:rsid w:val="00465B35"/>
    <w:rsid w:val="004702C9"/>
    <w:rsid w:val="00473561"/>
    <w:rsid w:val="00475A7F"/>
    <w:rsid w:val="00486631"/>
    <w:rsid w:val="00494160"/>
    <w:rsid w:val="004B0CC8"/>
    <w:rsid w:val="004B1ABA"/>
    <w:rsid w:val="004C28CC"/>
    <w:rsid w:val="004C2B01"/>
    <w:rsid w:val="004C50B9"/>
    <w:rsid w:val="004C6716"/>
    <w:rsid w:val="004C6CAD"/>
    <w:rsid w:val="004D192A"/>
    <w:rsid w:val="004D3C8B"/>
    <w:rsid w:val="004E68BF"/>
    <w:rsid w:val="004F108D"/>
    <w:rsid w:val="004F5A0C"/>
    <w:rsid w:val="005019A9"/>
    <w:rsid w:val="00505C0B"/>
    <w:rsid w:val="00505F81"/>
    <w:rsid w:val="00506A24"/>
    <w:rsid w:val="00507514"/>
    <w:rsid w:val="00510D5E"/>
    <w:rsid w:val="0051186F"/>
    <w:rsid w:val="00513172"/>
    <w:rsid w:val="00520F3F"/>
    <w:rsid w:val="00521AD5"/>
    <w:rsid w:val="00525923"/>
    <w:rsid w:val="005264F9"/>
    <w:rsid w:val="00537B7E"/>
    <w:rsid w:val="00540A1C"/>
    <w:rsid w:val="00550067"/>
    <w:rsid w:val="00551126"/>
    <w:rsid w:val="00552DBC"/>
    <w:rsid w:val="00554A9A"/>
    <w:rsid w:val="00555174"/>
    <w:rsid w:val="00560AB1"/>
    <w:rsid w:val="00565371"/>
    <w:rsid w:val="005662A2"/>
    <w:rsid w:val="00572FB3"/>
    <w:rsid w:val="005803EC"/>
    <w:rsid w:val="00581D80"/>
    <w:rsid w:val="00582E0D"/>
    <w:rsid w:val="0058340B"/>
    <w:rsid w:val="005937B9"/>
    <w:rsid w:val="00594F57"/>
    <w:rsid w:val="005A0224"/>
    <w:rsid w:val="005A1CA7"/>
    <w:rsid w:val="005A5520"/>
    <w:rsid w:val="005A5D67"/>
    <w:rsid w:val="005A6CC3"/>
    <w:rsid w:val="005B6FDC"/>
    <w:rsid w:val="005C2B81"/>
    <w:rsid w:val="005C3438"/>
    <w:rsid w:val="005C3619"/>
    <w:rsid w:val="005C4502"/>
    <w:rsid w:val="005D3299"/>
    <w:rsid w:val="005D6822"/>
    <w:rsid w:val="005E4456"/>
    <w:rsid w:val="005E4E1C"/>
    <w:rsid w:val="005E57AA"/>
    <w:rsid w:val="005E5BC0"/>
    <w:rsid w:val="005F0E14"/>
    <w:rsid w:val="005F164A"/>
    <w:rsid w:val="005F1820"/>
    <w:rsid w:val="005F25C9"/>
    <w:rsid w:val="005F41FE"/>
    <w:rsid w:val="005F6BE4"/>
    <w:rsid w:val="005F7883"/>
    <w:rsid w:val="006067E7"/>
    <w:rsid w:val="00606C96"/>
    <w:rsid w:val="00610691"/>
    <w:rsid w:val="00613516"/>
    <w:rsid w:val="006169A5"/>
    <w:rsid w:val="00620620"/>
    <w:rsid w:val="0063474C"/>
    <w:rsid w:val="00635A77"/>
    <w:rsid w:val="0063631C"/>
    <w:rsid w:val="00637D4E"/>
    <w:rsid w:val="0064646B"/>
    <w:rsid w:val="006503ED"/>
    <w:rsid w:val="0065126D"/>
    <w:rsid w:val="0065327B"/>
    <w:rsid w:val="00653C19"/>
    <w:rsid w:val="00653FEF"/>
    <w:rsid w:val="006551BA"/>
    <w:rsid w:val="0065579F"/>
    <w:rsid w:val="00664651"/>
    <w:rsid w:val="00666DBB"/>
    <w:rsid w:val="00667AAB"/>
    <w:rsid w:val="00674CF0"/>
    <w:rsid w:val="006815B4"/>
    <w:rsid w:val="00682647"/>
    <w:rsid w:val="00684049"/>
    <w:rsid w:val="00684EAE"/>
    <w:rsid w:val="00687D4D"/>
    <w:rsid w:val="00687F6F"/>
    <w:rsid w:val="00692442"/>
    <w:rsid w:val="006931D3"/>
    <w:rsid w:val="00693231"/>
    <w:rsid w:val="0069517F"/>
    <w:rsid w:val="00696537"/>
    <w:rsid w:val="00696E45"/>
    <w:rsid w:val="006A1DE3"/>
    <w:rsid w:val="006A20BD"/>
    <w:rsid w:val="006A24C2"/>
    <w:rsid w:val="006A3397"/>
    <w:rsid w:val="006A4626"/>
    <w:rsid w:val="006A67A7"/>
    <w:rsid w:val="006B0194"/>
    <w:rsid w:val="006B1CDC"/>
    <w:rsid w:val="006B4DC9"/>
    <w:rsid w:val="006B64C9"/>
    <w:rsid w:val="006D2259"/>
    <w:rsid w:val="006D389F"/>
    <w:rsid w:val="006D7C66"/>
    <w:rsid w:val="006E0C8C"/>
    <w:rsid w:val="006E1F16"/>
    <w:rsid w:val="006E434B"/>
    <w:rsid w:val="006F37FB"/>
    <w:rsid w:val="006F666B"/>
    <w:rsid w:val="006F7018"/>
    <w:rsid w:val="0070123D"/>
    <w:rsid w:val="007018A3"/>
    <w:rsid w:val="0070682D"/>
    <w:rsid w:val="00711BF6"/>
    <w:rsid w:val="0071408C"/>
    <w:rsid w:val="007154AD"/>
    <w:rsid w:val="007161E4"/>
    <w:rsid w:val="007318C7"/>
    <w:rsid w:val="007406B8"/>
    <w:rsid w:val="00741F35"/>
    <w:rsid w:val="00747200"/>
    <w:rsid w:val="0075158E"/>
    <w:rsid w:val="007522CF"/>
    <w:rsid w:val="00752FEE"/>
    <w:rsid w:val="007662FB"/>
    <w:rsid w:val="00771074"/>
    <w:rsid w:val="007713AD"/>
    <w:rsid w:val="007745E9"/>
    <w:rsid w:val="00774964"/>
    <w:rsid w:val="00777567"/>
    <w:rsid w:val="00777A2F"/>
    <w:rsid w:val="0078277B"/>
    <w:rsid w:val="00783334"/>
    <w:rsid w:val="00784107"/>
    <w:rsid w:val="00786CE4"/>
    <w:rsid w:val="007914E9"/>
    <w:rsid w:val="0079684D"/>
    <w:rsid w:val="007A0FB1"/>
    <w:rsid w:val="007A1060"/>
    <w:rsid w:val="007A54E4"/>
    <w:rsid w:val="007A6C76"/>
    <w:rsid w:val="007B113F"/>
    <w:rsid w:val="007B2E42"/>
    <w:rsid w:val="007B3258"/>
    <w:rsid w:val="007B355F"/>
    <w:rsid w:val="007B5E1B"/>
    <w:rsid w:val="007C17F4"/>
    <w:rsid w:val="007C1C26"/>
    <w:rsid w:val="007C517C"/>
    <w:rsid w:val="007D079B"/>
    <w:rsid w:val="007D0849"/>
    <w:rsid w:val="007D7E1C"/>
    <w:rsid w:val="007E25B9"/>
    <w:rsid w:val="007E6471"/>
    <w:rsid w:val="007F14FB"/>
    <w:rsid w:val="00801384"/>
    <w:rsid w:val="00802F39"/>
    <w:rsid w:val="00805969"/>
    <w:rsid w:val="0080683F"/>
    <w:rsid w:val="00806EDD"/>
    <w:rsid w:val="00824E4B"/>
    <w:rsid w:val="00830464"/>
    <w:rsid w:val="00831927"/>
    <w:rsid w:val="00832AE4"/>
    <w:rsid w:val="00851514"/>
    <w:rsid w:val="00851601"/>
    <w:rsid w:val="00852A04"/>
    <w:rsid w:val="00852DEB"/>
    <w:rsid w:val="00855774"/>
    <w:rsid w:val="008674E3"/>
    <w:rsid w:val="00867E84"/>
    <w:rsid w:val="00873645"/>
    <w:rsid w:val="00880709"/>
    <w:rsid w:val="00880ACE"/>
    <w:rsid w:val="00880B27"/>
    <w:rsid w:val="00885120"/>
    <w:rsid w:val="00895E9B"/>
    <w:rsid w:val="008A46FF"/>
    <w:rsid w:val="008A6200"/>
    <w:rsid w:val="008B65F8"/>
    <w:rsid w:val="008C19E7"/>
    <w:rsid w:val="008D1456"/>
    <w:rsid w:val="008D1E6F"/>
    <w:rsid w:val="008E513D"/>
    <w:rsid w:val="008F2C5D"/>
    <w:rsid w:val="008F63CA"/>
    <w:rsid w:val="0090223A"/>
    <w:rsid w:val="00902BB5"/>
    <w:rsid w:val="00906135"/>
    <w:rsid w:val="00907993"/>
    <w:rsid w:val="0091232E"/>
    <w:rsid w:val="00920A9B"/>
    <w:rsid w:val="00920C6E"/>
    <w:rsid w:val="0092561C"/>
    <w:rsid w:val="00925730"/>
    <w:rsid w:val="00932490"/>
    <w:rsid w:val="00932B41"/>
    <w:rsid w:val="009368C3"/>
    <w:rsid w:val="009464A7"/>
    <w:rsid w:val="00946888"/>
    <w:rsid w:val="00952AB1"/>
    <w:rsid w:val="00953982"/>
    <w:rsid w:val="00954C6F"/>
    <w:rsid w:val="00955726"/>
    <w:rsid w:val="00956D2B"/>
    <w:rsid w:val="00960F98"/>
    <w:rsid w:val="00961295"/>
    <w:rsid w:val="00964A37"/>
    <w:rsid w:val="00965DB6"/>
    <w:rsid w:val="009661A3"/>
    <w:rsid w:val="009667C7"/>
    <w:rsid w:val="00971484"/>
    <w:rsid w:val="009715B4"/>
    <w:rsid w:val="00975C0F"/>
    <w:rsid w:val="0097659D"/>
    <w:rsid w:val="00977772"/>
    <w:rsid w:val="0098731E"/>
    <w:rsid w:val="009926B6"/>
    <w:rsid w:val="009B1CDE"/>
    <w:rsid w:val="009B666C"/>
    <w:rsid w:val="009B75BF"/>
    <w:rsid w:val="009C00DA"/>
    <w:rsid w:val="009C3361"/>
    <w:rsid w:val="009C4399"/>
    <w:rsid w:val="009C5018"/>
    <w:rsid w:val="009D12E8"/>
    <w:rsid w:val="009D17EF"/>
    <w:rsid w:val="009D6C03"/>
    <w:rsid w:val="009E1D79"/>
    <w:rsid w:val="009E65DC"/>
    <w:rsid w:val="009F1929"/>
    <w:rsid w:val="009F594A"/>
    <w:rsid w:val="009F5F3F"/>
    <w:rsid w:val="009F6476"/>
    <w:rsid w:val="00A01D37"/>
    <w:rsid w:val="00A02347"/>
    <w:rsid w:val="00A06093"/>
    <w:rsid w:val="00A07A6F"/>
    <w:rsid w:val="00A1091B"/>
    <w:rsid w:val="00A109C6"/>
    <w:rsid w:val="00A10A11"/>
    <w:rsid w:val="00A15C1C"/>
    <w:rsid w:val="00A17286"/>
    <w:rsid w:val="00A20C07"/>
    <w:rsid w:val="00A21CE5"/>
    <w:rsid w:val="00A2489D"/>
    <w:rsid w:val="00A327F6"/>
    <w:rsid w:val="00A43AFD"/>
    <w:rsid w:val="00A442CF"/>
    <w:rsid w:val="00A44ECC"/>
    <w:rsid w:val="00A51146"/>
    <w:rsid w:val="00A57D4B"/>
    <w:rsid w:val="00A62ABF"/>
    <w:rsid w:val="00A73016"/>
    <w:rsid w:val="00A76A82"/>
    <w:rsid w:val="00A76C5C"/>
    <w:rsid w:val="00A80308"/>
    <w:rsid w:val="00A81FFC"/>
    <w:rsid w:val="00A82E3B"/>
    <w:rsid w:val="00A84FDB"/>
    <w:rsid w:val="00A86B2F"/>
    <w:rsid w:val="00A8793F"/>
    <w:rsid w:val="00A90F25"/>
    <w:rsid w:val="00A97842"/>
    <w:rsid w:val="00AA00C0"/>
    <w:rsid w:val="00AA1666"/>
    <w:rsid w:val="00AA56AC"/>
    <w:rsid w:val="00AB0E85"/>
    <w:rsid w:val="00AB462C"/>
    <w:rsid w:val="00AB7223"/>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05B5"/>
    <w:rsid w:val="00B01459"/>
    <w:rsid w:val="00B02847"/>
    <w:rsid w:val="00B06309"/>
    <w:rsid w:val="00B11339"/>
    <w:rsid w:val="00B15AD0"/>
    <w:rsid w:val="00B15C5A"/>
    <w:rsid w:val="00B23807"/>
    <w:rsid w:val="00B24B08"/>
    <w:rsid w:val="00B25CA7"/>
    <w:rsid w:val="00B26B79"/>
    <w:rsid w:val="00B30B9D"/>
    <w:rsid w:val="00B3241B"/>
    <w:rsid w:val="00B35B11"/>
    <w:rsid w:val="00B36E19"/>
    <w:rsid w:val="00B40CF5"/>
    <w:rsid w:val="00B41824"/>
    <w:rsid w:val="00B46C1C"/>
    <w:rsid w:val="00B47D6E"/>
    <w:rsid w:val="00B5085B"/>
    <w:rsid w:val="00B5467F"/>
    <w:rsid w:val="00B57D95"/>
    <w:rsid w:val="00B61C0C"/>
    <w:rsid w:val="00B62174"/>
    <w:rsid w:val="00B65451"/>
    <w:rsid w:val="00B70649"/>
    <w:rsid w:val="00B70904"/>
    <w:rsid w:val="00B80F6E"/>
    <w:rsid w:val="00B82C9B"/>
    <w:rsid w:val="00B83A19"/>
    <w:rsid w:val="00B87B12"/>
    <w:rsid w:val="00B92183"/>
    <w:rsid w:val="00B92548"/>
    <w:rsid w:val="00B92F1F"/>
    <w:rsid w:val="00B96C3E"/>
    <w:rsid w:val="00B96D42"/>
    <w:rsid w:val="00B975F2"/>
    <w:rsid w:val="00BA23C3"/>
    <w:rsid w:val="00BA5F05"/>
    <w:rsid w:val="00BB1251"/>
    <w:rsid w:val="00BB144D"/>
    <w:rsid w:val="00BB541E"/>
    <w:rsid w:val="00BB60D6"/>
    <w:rsid w:val="00BB7705"/>
    <w:rsid w:val="00BC1801"/>
    <w:rsid w:val="00BC23E3"/>
    <w:rsid w:val="00BC3E67"/>
    <w:rsid w:val="00BD0315"/>
    <w:rsid w:val="00BD35D8"/>
    <w:rsid w:val="00BD40C8"/>
    <w:rsid w:val="00BD437B"/>
    <w:rsid w:val="00BE1CB2"/>
    <w:rsid w:val="00BE49BF"/>
    <w:rsid w:val="00BE77F7"/>
    <w:rsid w:val="00BE7A99"/>
    <w:rsid w:val="00BF00AE"/>
    <w:rsid w:val="00BF18DC"/>
    <w:rsid w:val="00BF45D8"/>
    <w:rsid w:val="00BF7D04"/>
    <w:rsid w:val="00C002DB"/>
    <w:rsid w:val="00C06F0A"/>
    <w:rsid w:val="00C11874"/>
    <w:rsid w:val="00C26650"/>
    <w:rsid w:val="00C31189"/>
    <w:rsid w:val="00C404EB"/>
    <w:rsid w:val="00C45AC9"/>
    <w:rsid w:val="00C53FB9"/>
    <w:rsid w:val="00C55C23"/>
    <w:rsid w:val="00C55F21"/>
    <w:rsid w:val="00C5797D"/>
    <w:rsid w:val="00C650C5"/>
    <w:rsid w:val="00C73DE8"/>
    <w:rsid w:val="00C75E3D"/>
    <w:rsid w:val="00C81C6B"/>
    <w:rsid w:val="00C81D18"/>
    <w:rsid w:val="00C81F81"/>
    <w:rsid w:val="00C82083"/>
    <w:rsid w:val="00C92E87"/>
    <w:rsid w:val="00C94ADB"/>
    <w:rsid w:val="00C94D42"/>
    <w:rsid w:val="00C94F2F"/>
    <w:rsid w:val="00CA0E59"/>
    <w:rsid w:val="00CA24B4"/>
    <w:rsid w:val="00CA27DC"/>
    <w:rsid w:val="00CA41F7"/>
    <w:rsid w:val="00CA5D25"/>
    <w:rsid w:val="00CA6B4A"/>
    <w:rsid w:val="00CA6F54"/>
    <w:rsid w:val="00CA7E3B"/>
    <w:rsid w:val="00CB291F"/>
    <w:rsid w:val="00CB34BC"/>
    <w:rsid w:val="00CC320E"/>
    <w:rsid w:val="00CC5417"/>
    <w:rsid w:val="00CC5480"/>
    <w:rsid w:val="00CD2BEF"/>
    <w:rsid w:val="00CD50B1"/>
    <w:rsid w:val="00CE435B"/>
    <w:rsid w:val="00CE43E1"/>
    <w:rsid w:val="00CE530B"/>
    <w:rsid w:val="00CE63DB"/>
    <w:rsid w:val="00CE7C6D"/>
    <w:rsid w:val="00CF55C8"/>
    <w:rsid w:val="00D01AB6"/>
    <w:rsid w:val="00D0211A"/>
    <w:rsid w:val="00D046C6"/>
    <w:rsid w:val="00D046F1"/>
    <w:rsid w:val="00D04F1C"/>
    <w:rsid w:val="00D07EB8"/>
    <w:rsid w:val="00D13683"/>
    <w:rsid w:val="00D146BD"/>
    <w:rsid w:val="00D166F9"/>
    <w:rsid w:val="00D167BF"/>
    <w:rsid w:val="00D22AC7"/>
    <w:rsid w:val="00D2308A"/>
    <w:rsid w:val="00D26334"/>
    <w:rsid w:val="00D31F45"/>
    <w:rsid w:val="00D35C63"/>
    <w:rsid w:val="00D373E2"/>
    <w:rsid w:val="00D4240B"/>
    <w:rsid w:val="00D44E5A"/>
    <w:rsid w:val="00D57E74"/>
    <w:rsid w:val="00D57F00"/>
    <w:rsid w:val="00D61255"/>
    <w:rsid w:val="00D623D8"/>
    <w:rsid w:val="00D63892"/>
    <w:rsid w:val="00D70256"/>
    <w:rsid w:val="00D73535"/>
    <w:rsid w:val="00D75992"/>
    <w:rsid w:val="00D76315"/>
    <w:rsid w:val="00D81FAD"/>
    <w:rsid w:val="00D84097"/>
    <w:rsid w:val="00D8419E"/>
    <w:rsid w:val="00D85EFE"/>
    <w:rsid w:val="00D85FDA"/>
    <w:rsid w:val="00D87DAF"/>
    <w:rsid w:val="00D91A06"/>
    <w:rsid w:val="00D9380E"/>
    <w:rsid w:val="00D94656"/>
    <w:rsid w:val="00D97E3F"/>
    <w:rsid w:val="00DA104A"/>
    <w:rsid w:val="00DA5F58"/>
    <w:rsid w:val="00DB007B"/>
    <w:rsid w:val="00DB1C32"/>
    <w:rsid w:val="00DB2F2A"/>
    <w:rsid w:val="00DC0085"/>
    <w:rsid w:val="00DC17C3"/>
    <w:rsid w:val="00DC2D95"/>
    <w:rsid w:val="00DC49FD"/>
    <w:rsid w:val="00DC5ACF"/>
    <w:rsid w:val="00DD25AE"/>
    <w:rsid w:val="00DD4193"/>
    <w:rsid w:val="00DD4DDC"/>
    <w:rsid w:val="00DD65DA"/>
    <w:rsid w:val="00DE12D5"/>
    <w:rsid w:val="00DE4010"/>
    <w:rsid w:val="00DF4529"/>
    <w:rsid w:val="00DF5F89"/>
    <w:rsid w:val="00DF7B7C"/>
    <w:rsid w:val="00E03BC8"/>
    <w:rsid w:val="00E0689A"/>
    <w:rsid w:val="00E10301"/>
    <w:rsid w:val="00E1042B"/>
    <w:rsid w:val="00E10CC7"/>
    <w:rsid w:val="00E10FD6"/>
    <w:rsid w:val="00E12C52"/>
    <w:rsid w:val="00E144F9"/>
    <w:rsid w:val="00E154BB"/>
    <w:rsid w:val="00E16C47"/>
    <w:rsid w:val="00E209D4"/>
    <w:rsid w:val="00E24444"/>
    <w:rsid w:val="00E25C3F"/>
    <w:rsid w:val="00E25D63"/>
    <w:rsid w:val="00E32682"/>
    <w:rsid w:val="00E35493"/>
    <w:rsid w:val="00E35E71"/>
    <w:rsid w:val="00E36342"/>
    <w:rsid w:val="00E405B6"/>
    <w:rsid w:val="00E4119F"/>
    <w:rsid w:val="00E41630"/>
    <w:rsid w:val="00E44CDE"/>
    <w:rsid w:val="00E52B01"/>
    <w:rsid w:val="00E53BFA"/>
    <w:rsid w:val="00E5446C"/>
    <w:rsid w:val="00E552E6"/>
    <w:rsid w:val="00E577F6"/>
    <w:rsid w:val="00E611F8"/>
    <w:rsid w:val="00E621E1"/>
    <w:rsid w:val="00E62628"/>
    <w:rsid w:val="00E64137"/>
    <w:rsid w:val="00E67C9F"/>
    <w:rsid w:val="00E74015"/>
    <w:rsid w:val="00E75ACA"/>
    <w:rsid w:val="00E80E0C"/>
    <w:rsid w:val="00E821F9"/>
    <w:rsid w:val="00E827C1"/>
    <w:rsid w:val="00E83783"/>
    <w:rsid w:val="00E84574"/>
    <w:rsid w:val="00E866C6"/>
    <w:rsid w:val="00E97DED"/>
    <w:rsid w:val="00E97E60"/>
    <w:rsid w:val="00EA72D1"/>
    <w:rsid w:val="00EB139C"/>
    <w:rsid w:val="00EC15F6"/>
    <w:rsid w:val="00EC5820"/>
    <w:rsid w:val="00EC6D8C"/>
    <w:rsid w:val="00EC6F29"/>
    <w:rsid w:val="00ED029D"/>
    <w:rsid w:val="00ED11CD"/>
    <w:rsid w:val="00ED7CE4"/>
    <w:rsid w:val="00EE402C"/>
    <w:rsid w:val="00EE4E8D"/>
    <w:rsid w:val="00EE5673"/>
    <w:rsid w:val="00EE56AE"/>
    <w:rsid w:val="00EE67EA"/>
    <w:rsid w:val="00EF7463"/>
    <w:rsid w:val="00F049DE"/>
    <w:rsid w:val="00F11002"/>
    <w:rsid w:val="00F17013"/>
    <w:rsid w:val="00F215A0"/>
    <w:rsid w:val="00F226FD"/>
    <w:rsid w:val="00F24B9B"/>
    <w:rsid w:val="00F2527F"/>
    <w:rsid w:val="00F265DF"/>
    <w:rsid w:val="00F27A97"/>
    <w:rsid w:val="00F327F5"/>
    <w:rsid w:val="00F33B33"/>
    <w:rsid w:val="00F36722"/>
    <w:rsid w:val="00F374A4"/>
    <w:rsid w:val="00F37CBA"/>
    <w:rsid w:val="00F40467"/>
    <w:rsid w:val="00F4508D"/>
    <w:rsid w:val="00F47016"/>
    <w:rsid w:val="00F63D06"/>
    <w:rsid w:val="00F67913"/>
    <w:rsid w:val="00F6792C"/>
    <w:rsid w:val="00F74B0F"/>
    <w:rsid w:val="00F857F3"/>
    <w:rsid w:val="00F95D83"/>
    <w:rsid w:val="00F97FE1"/>
    <w:rsid w:val="00FA4B9B"/>
    <w:rsid w:val="00FA5943"/>
    <w:rsid w:val="00FB11D8"/>
    <w:rsid w:val="00FB52CB"/>
    <w:rsid w:val="00FC17DC"/>
    <w:rsid w:val="00FC70DB"/>
    <w:rsid w:val="00FD72D8"/>
    <w:rsid w:val="00FE09D7"/>
    <w:rsid w:val="00FE20A8"/>
    <w:rsid w:val="00FE3106"/>
    <w:rsid w:val="00FE55D2"/>
    <w:rsid w:val="00FF0F7C"/>
    <w:rsid w:val="00FF1A0B"/>
    <w:rsid w:val="00FF2F67"/>
    <w:rsid w:val="00FF3081"/>
    <w:rsid w:val="00FF4191"/>
    <w:rsid w:val="00FF6E58"/>
    <w:rsid w:val="00FF7EB6"/>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FC60F"/>
  <w15:docId w15:val="{86AFA64C-D2D1-40F4-B3DD-E82BB4338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 w:type="paragraph" w:customStyle="1" w:styleId="boxiniciorec">
    <w:name w:val="box inicio_rec"/>
    <w:basedOn w:val="Normal"/>
    <w:uiPriority w:val="99"/>
    <w:rsid w:val="00F049DE"/>
    <w:pPr>
      <w:widowControl w:val="0"/>
      <w:shd w:val="clear" w:color="auto" w:fill="000000"/>
      <w:autoSpaceDE w:val="0"/>
      <w:autoSpaceDN w:val="0"/>
      <w:adjustRightInd w:val="0"/>
      <w:spacing w:before="283" w:after="57"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 w:type="paragraph" w:customStyle="1" w:styleId="boxfinalrec">
    <w:name w:val="box final_rec"/>
    <w:basedOn w:val="Normal"/>
    <w:uiPriority w:val="99"/>
    <w:rsid w:val="00F049DE"/>
    <w:pPr>
      <w:widowControl w:val="0"/>
      <w:shd w:val="clear" w:color="auto" w:fill="000000"/>
      <w:autoSpaceDE w:val="0"/>
      <w:autoSpaceDN w:val="0"/>
      <w:adjustRightInd w:val="0"/>
      <w:spacing w:after="283"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F66612-ADC3-4909-A7BB-1E8403B5D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1787</Words>
  <Characters>11904</Characters>
  <Application>Microsoft Office Word</Application>
  <DocSecurity>0</DocSecurity>
  <Lines>201</Lines>
  <Paragraphs>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Flávio Tartuce</cp:lastModifiedBy>
  <cp:revision>2</cp:revision>
  <dcterms:created xsi:type="dcterms:W3CDTF">2026-05-27T14:23:00Z</dcterms:created>
  <dcterms:modified xsi:type="dcterms:W3CDTF">2026-05-27T14:23:00Z</dcterms:modified>
</cp:coreProperties>
</file>