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92DEF" w14:textId="7E724093" w:rsidR="002B77B1" w:rsidRDefault="002D75F5"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DAS CLÁUSULAS RESTRITIVAS DO TESTAMENTO E O PROJETO DE REFORMA DO CÓDIGO CIVIL </w:t>
      </w:r>
    </w:p>
    <w:p w14:paraId="2C741E7D" w14:textId="77777777" w:rsidR="00CC320E" w:rsidRDefault="00CC320E" w:rsidP="009661A3">
      <w:pPr>
        <w:spacing w:before="120" w:after="120" w:line="360" w:lineRule="auto"/>
        <w:jc w:val="right"/>
        <w:rPr>
          <w:rFonts w:ascii="Times New Roman" w:hAnsi="Times New Roman" w:cs="Times New Roman"/>
          <w:bCs/>
          <w:sz w:val="24"/>
          <w:szCs w:val="24"/>
        </w:rPr>
      </w:pPr>
    </w:p>
    <w:p w14:paraId="7DC27421" w14:textId="77777777"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27EE0436" w14:textId="77777777" w:rsidR="009661A3" w:rsidRDefault="009661A3" w:rsidP="00572FB3">
      <w:pPr>
        <w:pStyle w:val="t"/>
        <w:spacing w:before="120" w:after="120" w:line="360" w:lineRule="auto"/>
        <w:ind w:firstLine="1701"/>
        <w:rPr>
          <w:rFonts w:ascii="Times New Roman" w:hAnsi="Times New Roman" w:cs="Times New Roman"/>
          <w:sz w:val="24"/>
          <w:szCs w:val="24"/>
        </w:rPr>
      </w:pPr>
    </w:p>
    <w:p w14:paraId="71244695" w14:textId="0A203005" w:rsidR="002D75F5" w:rsidRPr="002D75F5" w:rsidRDefault="002D75F5"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tenho destacado neste canal, em uma série de artigos que segue com este, </w:t>
      </w:r>
      <w:r w:rsidR="00696537">
        <w:rPr>
          <w:rFonts w:ascii="Times New Roman" w:hAnsi="Times New Roman" w:cs="Times New Roman"/>
          <w:sz w:val="24"/>
          <w:szCs w:val="24"/>
        </w:rPr>
        <w:t xml:space="preserve">o Projeto de Reforma do Código Civil </w:t>
      </w:r>
      <w:r w:rsidR="00D57E74">
        <w:rPr>
          <w:rFonts w:ascii="Times New Roman" w:hAnsi="Times New Roman" w:cs="Times New Roman"/>
          <w:sz w:val="24"/>
          <w:szCs w:val="24"/>
        </w:rPr>
        <w:t xml:space="preserve">– </w:t>
      </w:r>
      <w:r w:rsidR="00696537">
        <w:rPr>
          <w:rFonts w:ascii="Times New Roman" w:hAnsi="Times New Roman" w:cs="Times New Roman"/>
          <w:sz w:val="24"/>
          <w:szCs w:val="24"/>
        </w:rPr>
        <w:t xml:space="preserve">PL n. 4/2025 </w:t>
      </w:r>
      <w:r w:rsidR="00D57E74">
        <w:rPr>
          <w:rFonts w:ascii="Times New Roman" w:hAnsi="Times New Roman" w:cs="Times New Roman"/>
          <w:sz w:val="24"/>
          <w:szCs w:val="24"/>
        </w:rPr>
        <w:t xml:space="preserve">– </w:t>
      </w:r>
      <w:r>
        <w:rPr>
          <w:rFonts w:ascii="Times New Roman" w:hAnsi="Times New Roman" w:cs="Times New Roman"/>
          <w:sz w:val="24"/>
          <w:szCs w:val="24"/>
        </w:rPr>
        <w:t xml:space="preserve">traz </w:t>
      </w:r>
      <w:r w:rsidR="00DF7B7C">
        <w:rPr>
          <w:rFonts w:ascii="Times New Roman" w:hAnsi="Times New Roman" w:cs="Times New Roman"/>
          <w:sz w:val="24"/>
          <w:szCs w:val="24"/>
        </w:rPr>
        <w:t>redução de</w:t>
      </w:r>
      <w:r w:rsidR="00EE4E8D">
        <w:rPr>
          <w:rFonts w:ascii="Times New Roman" w:hAnsi="Times New Roman" w:cs="Times New Roman"/>
          <w:sz w:val="24"/>
          <w:szCs w:val="24"/>
        </w:rPr>
        <w:t xml:space="preserve"> </w:t>
      </w:r>
      <w:r w:rsidR="00A80308" w:rsidRPr="00572FB3">
        <w:rPr>
          <w:rFonts w:ascii="Times New Roman" w:hAnsi="Times New Roman" w:cs="Times New Roman"/>
          <w:sz w:val="24"/>
          <w:szCs w:val="24"/>
        </w:rPr>
        <w:t>burocracias</w:t>
      </w:r>
      <w:r w:rsidR="00DF7B7C">
        <w:rPr>
          <w:rFonts w:ascii="Times New Roman" w:hAnsi="Times New Roman" w:cs="Times New Roman"/>
          <w:sz w:val="24"/>
          <w:szCs w:val="24"/>
        </w:rPr>
        <w:t xml:space="preserve"> </w:t>
      </w:r>
      <w:r>
        <w:rPr>
          <w:rFonts w:ascii="Times New Roman" w:hAnsi="Times New Roman" w:cs="Times New Roman"/>
          <w:sz w:val="24"/>
          <w:szCs w:val="24"/>
        </w:rPr>
        <w:t xml:space="preserve">para o instituto do testamento. Neste texto analisarei as propostas relativas à suas cláusulas restritivas, que são três. </w:t>
      </w:r>
    </w:p>
    <w:p w14:paraId="17B4C076" w14:textId="76BC6F27" w:rsidR="002D75F5" w:rsidRDefault="002D75F5"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Pela </w:t>
      </w:r>
      <w:r w:rsidRPr="002D75F5">
        <w:rPr>
          <w:rFonts w:ascii="Times New Roman" w:hAnsi="Times New Roman" w:cs="Times New Roman"/>
          <w:i/>
          <w:sz w:val="24"/>
          <w:szCs w:val="24"/>
        </w:rPr>
        <w:t>cláusula de inalienabilidade</w:t>
      </w:r>
      <w:r>
        <w:rPr>
          <w:rFonts w:ascii="Times New Roman" w:hAnsi="Times New Roman" w:cs="Times New Roman"/>
          <w:sz w:val="24"/>
          <w:szCs w:val="24"/>
        </w:rPr>
        <w:t xml:space="preserve">, veda-se a </w:t>
      </w:r>
      <w:r w:rsidRPr="002D75F5">
        <w:rPr>
          <w:rFonts w:ascii="Times New Roman" w:hAnsi="Times New Roman" w:cs="Times New Roman"/>
          <w:sz w:val="24"/>
          <w:szCs w:val="24"/>
        </w:rPr>
        <w:t>alienação do bem clausulado, seja por venda, doação, dação em pagamento, transação, hipoteca, penhor, entre outros</w:t>
      </w:r>
      <w:r>
        <w:rPr>
          <w:rFonts w:ascii="Times New Roman" w:hAnsi="Times New Roman" w:cs="Times New Roman"/>
          <w:sz w:val="24"/>
          <w:szCs w:val="24"/>
        </w:rPr>
        <w:t xml:space="preserve">. Essa é considerada a mais restritiva de todas, sendo certo que a sua inclusão gera automaticamente a inclusão das duas seguintes, como está previsto no art. 1.911, </w:t>
      </w:r>
      <w:r w:rsidRPr="00BB1251">
        <w:rPr>
          <w:rFonts w:ascii="Times New Roman" w:hAnsi="Times New Roman" w:cs="Times New Roman"/>
          <w:i/>
          <w:sz w:val="24"/>
          <w:szCs w:val="24"/>
        </w:rPr>
        <w:t>caput</w:t>
      </w:r>
      <w:r>
        <w:rPr>
          <w:rFonts w:ascii="Times New Roman" w:hAnsi="Times New Roman" w:cs="Times New Roman"/>
          <w:sz w:val="24"/>
          <w:szCs w:val="24"/>
        </w:rPr>
        <w:t>, do Código Civil: "a</w:t>
      </w:r>
      <w:r w:rsidRPr="002D75F5">
        <w:rPr>
          <w:rFonts w:ascii="Times New Roman" w:hAnsi="Times New Roman" w:cs="Times New Roman"/>
          <w:sz w:val="24"/>
          <w:szCs w:val="24"/>
        </w:rPr>
        <w:t xml:space="preserve"> cláusula de inalienabilidade, imposta aos bens por ato de liberalidade, implica impenhorabilidade e incomunicabilidade</w:t>
      </w:r>
      <w:r>
        <w:rPr>
          <w:rFonts w:ascii="Times New Roman" w:hAnsi="Times New Roman" w:cs="Times New Roman"/>
          <w:sz w:val="24"/>
          <w:szCs w:val="24"/>
        </w:rPr>
        <w:t>".</w:t>
      </w:r>
      <w:r w:rsidR="00EE4E8D">
        <w:rPr>
          <w:rFonts w:ascii="Times New Roman" w:hAnsi="Times New Roman" w:cs="Times New Roman"/>
          <w:sz w:val="24"/>
          <w:szCs w:val="24"/>
        </w:rPr>
        <w:t xml:space="preserve"> </w:t>
      </w:r>
    </w:p>
    <w:p w14:paraId="0C482BF0" w14:textId="69EE1793" w:rsidR="002D75F5" w:rsidRPr="002D75F5" w:rsidRDefault="002D75F5"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Segundo a </w:t>
      </w:r>
      <w:r w:rsidRPr="002D75F5">
        <w:rPr>
          <w:rFonts w:ascii="Times New Roman" w:hAnsi="Times New Roman" w:cs="Times New Roman"/>
          <w:i/>
          <w:sz w:val="24"/>
          <w:szCs w:val="24"/>
        </w:rPr>
        <w:t>cláusula de incomunicabilidade</w:t>
      </w:r>
      <w:r>
        <w:rPr>
          <w:rFonts w:ascii="Times New Roman" w:hAnsi="Times New Roman" w:cs="Times New Roman"/>
          <w:sz w:val="24"/>
          <w:szCs w:val="24"/>
        </w:rPr>
        <w:t xml:space="preserve">, </w:t>
      </w:r>
      <w:r w:rsidRPr="002D75F5">
        <w:rPr>
          <w:rFonts w:ascii="Times New Roman" w:hAnsi="Times New Roman" w:cs="Times New Roman"/>
          <w:sz w:val="24"/>
          <w:szCs w:val="24"/>
        </w:rPr>
        <w:t>afasta</w:t>
      </w:r>
      <w:r>
        <w:rPr>
          <w:rFonts w:ascii="Times New Roman" w:hAnsi="Times New Roman" w:cs="Times New Roman"/>
          <w:sz w:val="24"/>
          <w:szCs w:val="24"/>
        </w:rPr>
        <w:t>-se</w:t>
      </w:r>
      <w:r w:rsidRPr="002D75F5">
        <w:rPr>
          <w:rFonts w:ascii="Times New Roman" w:hAnsi="Times New Roman" w:cs="Times New Roman"/>
          <w:sz w:val="24"/>
          <w:szCs w:val="24"/>
        </w:rPr>
        <w:t xml:space="preserve"> a comunicação do bem em qualquer regime adotado, mesmo na comunhão universal</w:t>
      </w:r>
      <w:r>
        <w:rPr>
          <w:rFonts w:ascii="Times New Roman" w:hAnsi="Times New Roman" w:cs="Times New Roman"/>
          <w:sz w:val="24"/>
          <w:szCs w:val="24"/>
        </w:rPr>
        <w:t xml:space="preserve">, como está previsto no </w:t>
      </w:r>
      <w:r w:rsidRPr="002D75F5">
        <w:rPr>
          <w:rFonts w:ascii="Times New Roman" w:hAnsi="Times New Roman" w:cs="Times New Roman"/>
          <w:sz w:val="24"/>
          <w:szCs w:val="24"/>
        </w:rPr>
        <w:t>art. 1.668, inc. I, do C</w:t>
      </w:r>
      <w:r>
        <w:rPr>
          <w:rFonts w:ascii="Times New Roman" w:hAnsi="Times New Roman" w:cs="Times New Roman"/>
          <w:sz w:val="24"/>
          <w:szCs w:val="24"/>
        </w:rPr>
        <w:t xml:space="preserve">ódigo Civil. </w:t>
      </w:r>
      <w:r w:rsidRPr="002D75F5">
        <w:rPr>
          <w:rFonts w:ascii="Times New Roman" w:hAnsi="Times New Roman" w:cs="Times New Roman"/>
          <w:sz w:val="24"/>
          <w:szCs w:val="24"/>
        </w:rPr>
        <w:t>Advirta-se que a cláusula de incomunicabilidade somente impede que a pessoa receba o bem em vida</w:t>
      </w:r>
      <w:r w:rsidR="00953982">
        <w:rPr>
          <w:rFonts w:ascii="Times New Roman" w:hAnsi="Times New Roman" w:cs="Times New Roman"/>
          <w:sz w:val="24"/>
          <w:szCs w:val="24"/>
        </w:rPr>
        <w:t>,</w:t>
      </w:r>
      <w:r>
        <w:rPr>
          <w:rFonts w:ascii="Times New Roman" w:hAnsi="Times New Roman" w:cs="Times New Roman"/>
          <w:sz w:val="24"/>
          <w:szCs w:val="24"/>
        </w:rPr>
        <w:t xml:space="preserve"> e, </w:t>
      </w:r>
      <w:r w:rsidRPr="002D75F5">
        <w:rPr>
          <w:rFonts w:ascii="Times New Roman" w:hAnsi="Times New Roman" w:cs="Times New Roman"/>
          <w:sz w:val="24"/>
          <w:szCs w:val="24"/>
        </w:rPr>
        <w:t xml:space="preserve">conforme </w:t>
      </w:r>
      <w:r w:rsidR="00E25C3F">
        <w:rPr>
          <w:rFonts w:ascii="Times New Roman" w:hAnsi="Times New Roman" w:cs="Times New Roman"/>
          <w:sz w:val="24"/>
          <w:szCs w:val="24"/>
        </w:rPr>
        <w:t>tem decidido o</w:t>
      </w:r>
      <w:r>
        <w:rPr>
          <w:rFonts w:ascii="Times New Roman" w:hAnsi="Times New Roman" w:cs="Times New Roman"/>
          <w:sz w:val="24"/>
          <w:szCs w:val="24"/>
        </w:rPr>
        <w:t xml:space="preserve"> Superior Tribunal de Justiça, </w:t>
      </w:r>
      <w:r w:rsidRPr="002D75F5">
        <w:rPr>
          <w:rFonts w:ascii="Times New Roman" w:hAnsi="Times New Roman" w:cs="Times New Roman"/>
          <w:sz w:val="24"/>
          <w:szCs w:val="24"/>
        </w:rPr>
        <w:t>“a cláusula de incomunicabilidade imposta a um bem não se relaciona com a vocação hereditária. Assim, se o indivíduo recebeu por doação ou testamento bem imóvel com a referida cláusula, sua morte não impede que seu herdeiro receba o mesmo bem” (STJ, REsp 1.552.553/RJ, 4.ª Turma</w:t>
      </w:r>
      <w:r w:rsidR="00953982">
        <w:rPr>
          <w:rFonts w:ascii="Times New Roman" w:hAnsi="Times New Roman" w:cs="Times New Roman"/>
          <w:sz w:val="24"/>
          <w:szCs w:val="24"/>
        </w:rPr>
        <w:t>,</w:t>
      </w:r>
      <w:r w:rsidRPr="002D75F5">
        <w:rPr>
          <w:rFonts w:ascii="Times New Roman" w:hAnsi="Times New Roman" w:cs="Times New Roman"/>
          <w:sz w:val="24"/>
          <w:szCs w:val="24"/>
        </w:rPr>
        <w:t xml:space="preserve"> Rel. Min. Maria Isabel Gallotti, j. 24.11.2015, </w:t>
      </w:r>
      <w:r w:rsidRPr="00F27A97">
        <w:rPr>
          <w:rFonts w:ascii="Times New Roman" w:hAnsi="Times New Roman" w:cs="Times New Roman"/>
          <w:i/>
          <w:iCs/>
          <w:sz w:val="24"/>
          <w:szCs w:val="24"/>
        </w:rPr>
        <w:t>DJe</w:t>
      </w:r>
      <w:r w:rsidRPr="002D75F5">
        <w:rPr>
          <w:rFonts w:ascii="Times New Roman" w:hAnsi="Times New Roman" w:cs="Times New Roman"/>
          <w:sz w:val="24"/>
          <w:szCs w:val="24"/>
        </w:rPr>
        <w:t xml:space="preserve"> 11.02.2016).</w:t>
      </w:r>
    </w:p>
    <w:p w14:paraId="47CA4B16" w14:textId="77777777" w:rsidR="002D75F5" w:rsidRDefault="00E25C3F"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a </w:t>
      </w:r>
      <w:r w:rsidRPr="00E25C3F">
        <w:rPr>
          <w:rFonts w:ascii="Times New Roman" w:hAnsi="Times New Roman" w:cs="Times New Roman"/>
          <w:i/>
          <w:sz w:val="24"/>
          <w:szCs w:val="24"/>
        </w:rPr>
        <w:t>c</w:t>
      </w:r>
      <w:r w:rsidR="002D75F5" w:rsidRPr="00E25C3F">
        <w:rPr>
          <w:rFonts w:ascii="Times New Roman" w:hAnsi="Times New Roman" w:cs="Times New Roman"/>
          <w:i/>
          <w:sz w:val="24"/>
          <w:szCs w:val="24"/>
        </w:rPr>
        <w:t>láusula de impenhorabilidade</w:t>
      </w:r>
      <w:r w:rsidR="002D75F5" w:rsidRPr="002D75F5">
        <w:rPr>
          <w:rFonts w:ascii="Times New Roman" w:hAnsi="Times New Roman" w:cs="Times New Roman"/>
          <w:sz w:val="24"/>
          <w:szCs w:val="24"/>
        </w:rPr>
        <w:t xml:space="preserve"> impede que o bem seja penhorado, constrito para garantia de uma execução. De todo modo, não é </w:t>
      </w:r>
      <w:r>
        <w:rPr>
          <w:rFonts w:ascii="Times New Roman" w:hAnsi="Times New Roman" w:cs="Times New Roman"/>
          <w:sz w:val="24"/>
          <w:szCs w:val="24"/>
        </w:rPr>
        <w:t xml:space="preserve">ela </w:t>
      </w:r>
      <w:r w:rsidR="002D75F5" w:rsidRPr="002D75F5">
        <w:rPr>
          <w:rFonts w:ascii="Times New Roman" w:hAnsi="Times New Roman" w:cs="Times New Roman"/>
          <w:sz w:val="24"/>
          <w:szCs w:val="24"/>
        </w:rPr>
        <w:t xml:space="preserve">óbice para que ocorra a alienação do bem, ou que ele seja dado em garantia. Consoante ementa </w:t>
      </w:r>
      <w:r w:rsidR="002D75F5" w:rsidRPr="002D75F5">
        <w:rPr>
          <w:rFonts w:ascii="Times New Roman" w:hAnsi="Times New Roman" w:cs="Times New Roman"/>
          <w:sz w:val="24"/>
          <w:szCs w:val="24"/>
        </w:rPr>
        <w:lastRenderedPageBreak/>
        <w:t xml:space="preserve">doutrinária aprovada na </w:t>
      </w:r>
      <w:r w:rsidR="002D75F5" w:rsidRPr="00E25C3F">
        <w:rPr>
          <w:rFonts w:ascii="Times New Roman" w:hAnsi="Times New Roman" w:cs="Times New Roman"/>
          <w:i/>
          <w:sz w:val="24"/>
          <w:szCs w:val="24"/>
        </w:rPr>
        <w:t>I Jornada de Direito Notarial e Registral</w:t>
      </w:r>
      <w:r w:rsidR="002D75F5" w:rsidRPr="002D75F5">
        <w:rPr>
          <w:rFonts w:ascii="Times New Roman" w:hAnsi="Times New Roman" w:cs="Times New Roman"/>
          <w:sz w:val="24"/>
          <w:szCs w:val="24"/>
        </w:rPr>
        <w:t>, em agosto de 2022, “a cláusula de impenhorabilidade, imposta em doação ou testamento, não obsta a alienação do bem imóvel, nem a outorga de garantia real convencional ou o oferecimento voluntário à penhora, pelo beneficiário” (Enunciado n. 27).</w:t>
      </w:r>
    </w:p>
    <w:p w14:paraId="36AF6DF9" w14:textId="77777777" w:rsidR="002D75F5" w:rsidRDefault="00E25C3F"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no atual sistema, essas cláusulas restritivas estão previstas no art. 1.848 do Código Civil, que tem a seguinte redação: </w:t>
      </w:r>
    </w:p>
    <w:p w14:paraId="031AC147" w14:textId="77777777" w:rsidR="002D75F5" w:rsidRPr="00E25C3F" w:rsidRDefault="002D75F5" w:rsidP="00E25C3F">
      <w:pPr>
        <w:pStyle w:val="t"/>
        <w:spacing w:before="120" w:after="120" w:line="360" w:lineRule="auto"/>
        <w:ind w:left="567" w:firstLine="0"/>
        <w:rPr>
          <w:rFonts w:ascii="Times New Roman" w:hAnsi="Times New Roman" w:cs="Times New Roman"/>
          <w:sz w:val="22"/>
          <w:szCs w:val="22"/>
        </w:rPr>
      </w:pPr>
      <w:r w:rsidRPr="00E25C3F">
        <w:rPr>
          <w:rFonts w:ascii="Times New Roman" w:hAnsi="Times New Roman" w:cs="Times New Roman"/>
          <w:sz w:val="22"/>
          <w:szCs w:val="22"/>
        </w:rPr>
        <w:t>“Art. 1.848. Salvo se houver justa causa, declarada no testamento, não pode o testador estabelecer cláusula de inalienabilidade, impenhorabilidade, e de incomunicabilidade, sobre os bens da legítima.</w:t>
      </w:r>
    </w:p>
    <w:p w14:paraId="34756FC6" w14:textId="77777777" w:rsidR="002D75F5" w:rsidRPr="00E25C3F" w:rsidRDefault="002D75F5" w:rsidP="00E25C3F">
      <w:pPr>
        <w:pStyle w:val="t"/>
        <w:spacing w:before="120" w:after="120" w:line="360" w:lineRule="auto"/>
        <w:ind w:left="567" w:firstLine="0"/>
        <w:rPr>
          <w:rFonts w:ascii="Times New Roman" w:hAnsi="Times New Roman" w:cs="Times New Roman"/>
          <w:sz w:val="22"/>
          <w:szCs w:val="22"/>
        </w:rPr>
      </w:pPr>
      <w:r w:rsidRPr="00E25C3F">
        <w:rPr>
          <w:rFonts w:ascii="Times New Roman" w:hAnsi="Times New Roman" w:cs="Times New Roman"/>
          <w:sz w:val="22"/>
          <w:szCs w:val="22"/>
        </w:rPr>
        <w:t>§ 1.º Não é permitido ao testador estabelecer a conversão dos bens da legítima em outros de espécie diversa.</w:t>
      </w:r>
    </w:p>
    <w:p w14:paraId="184DD481" w14:textId="77777777" w:rsidR="002D75F5" w:rsidRPr="00E25C3F" w:rsidRDefault="002D75F5" w:rsidP="00E25C3F">
      <w:pPr>
        <w:pStyle w:val="t"/>
        <w:spacing w:before="120" w:after="120" w:line="360" w:lineRule="auto"/>
        <w:ind w:left="567" w:firstLine="0"/>
        <w:rPr>
          <w:rFonts w:ascii="Times New Roman" w:hAnsi="Times New Roman" w:cs="Times New Roman"/>
          <w:sz w:val="22"/>
          <w:szCs w:val="22"/>
        </w:rPr>
      </w:pPr>
      <w:r w:rsidRPr="00E25C3F">
        <w:rPr>
          <w:rFonts w:ascii="Times New Roman" w:hAnsi="Times New Roman" w:cs="Times New Roman"/>
          <w:sz w:val="22"/>
          <w:szCs w:val="22"/>
        </w:rPr>
        <w:t>§ 2.º Mediante autorização judicial e havendo justa causa, podem ser alienados os bens gravados, convertendo-se o produto em outros bens, que ficarão sub-rogados nos ônus dos primeiros”.</w:t>
      </w:r>
    </w:p>
    <w:p w14:paraId="7CDE0D9C" w14:textId="36012E85" w:rsidR="00BB1251" w:rsidRDefault="00E25C3F" w:rsidP="00E25C3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Nos termo</w:t>
      </w:r>
      <w:r w:rsidR="00BB1251">
        <w:rPr>
          <w:rFonts w:ascii="Times New Roman" w:hAnsi="Times New Roman" w:cs="Times New Roman"/>
          <w:sz w:val="24"/>
          <w:szCs w:val="24"/>
        </w:rPr>
        <w:t>s</w:t>
      </w:r>
      <w:r>
        <w:rPr>
          <w:rFonts w:ascii="Times New Roman" w:hAnsi="Times New Roman" w:cs="Times New Roman"/>
          <w:sz w:val="24"/>
          <w:szCs w:val="24"/>
        </w:rPr>
        <w:t xml:space="preserve"> do seu </w:t>
      </w:r>
      <w:r w:rsidRPr="00E25C3F">
        <w:rPr>
          <w:rFonts w:ascii="Times New Roman" w:hAnsi="Times New Roman" w:cs="Times New Roman"/>
          <w:i/>
          <w:sz w:val="24"/>
          <w:szCs w:val="24"/>
        </w:rPr>
        <w:t>caput</w:t>
      </w:r>
      <w:r>
        <w:rPr>
          <w:rFonts w:ascii="Times New Roman" w:hAnsi="Times New Roman" w:cs="Times New Roman"/>
          <w:sz w:val="24"/>
          <w:szCs w:val="24"/>
        </w:rPr>
        <w:t xml:space="preserve">, </w:t>
      </w:r>
      <w:r w:rsidR="002D75F5" w:rsidRPr="002D75F5">
        <w:rPr>
          <w:rFonts w:ascii="Times New Roman" w:hAnsi="Times New Roman" w:cs="Times New Roman"/>
          <w:sz w:val="24"/>
          <w:szCs w:val="24"/>
        </w:rPr>
        <w:t>as referidas cláusulas devem ser justificadas quando inseridas sobre a legítima, quota dos herdeiros necessários.</w:t>
      </w:r>
      <w:r>
        <w:rPr>
          <w:rFonts w:ascii="Times New Roman" w:hAnsi="Times New Roman" w:cs="Times New Roman"/>
          <w:sz w:val="24"/>
          <w:szCs w:val="24"/>
        </w:rPr>
        <w:t xml:space="preserve"> Há tempos a doutrina tem criticado a </w:t>
      </w:r>
      <w:r w:rsidR="002D75F5" w:rsidRPr="002D75F5">
        <w:rPr>
          <w:rFonts w:ascii="Times New Roman" w:hAnsi="Times New Roman" w:cs="Times New Roman"/>
          <w:sz w:val="24"/>
          <w:szCs w:val="24"/>
        </w:rPr>
        <w:t xml:space="preserve">eficiência </w:t>
      </w:r>
      <w:r>
        <w:rPr>
          <w:rFonts w:ascii="Times New Roman" w:hAnsi="Times New Roman" w:cs="Times New Roman"/>
          <w:sz w:val="24"/>
          <w:szCs w:val="24"/>
        </w:rPr>
        <w:t>dessa</w:t>
      </w:r>
      <w:r w:rsidR="002D75F5" w:rsidRPr="002D75F5">
        <w:rPr>
          <w:rFonts w:ascii="Times New Roman" w:hAnsi="Times New Roman" w:cs="Times New Roman"/>
          <w:sz w:val="24"/>
          <w:szCs w:val="24"/>
        </w:rPr>
        <w:t xml:space="preserve"> exigência</w:t>
      </w:r>
      <w:r>
        <w:rPr>
          <w:rFonts w:ascii="Times New Roman" w:hAnsi="Times New Roman" w:cs="Times New Roman"/>
          <w:sz w:val="24"/>
          <w:szCs w:val="24"/>
        </w:rPr>
        <w:t>, entre os quais o saudoso Zeno Veloso, que sempre destacou as dificuldades de análise dos limites e das possibilidades dessa imposição, o que pode gerar uma discussão interminável entre os herdeiros</w:t>
      </w:r>
      <w:r w:rsidR="00953982">
        <w:rPr>
          <w:rFonts w:ascii="Times New Roman" w:hAnsi="Times New Roman" w:cs="Times New Roman"/>
          <w:sz w:val="24"/>
          <w:szCs w:val="24"/>
        </w:rPr>
        <w:t xml:space="preserve">, </w:t>
      </w:r>
      <w:r w:rsidRPr="00E25C3F">
        <w:rPr>
          <w:rFonts w:ascii="Times New Roman" w:hAnsi="Times New Roman" w:cs="Times New Roman"/>
          <w:i/>
          <w:sz w:val="24"/>
          <w:szCs w:val="24"/>
        </w:rPr>
        <w:t>travando</w:t>
      </w:r>
      <w:r>
        <w:rPr>
          <w:rFonts w:ascii="Times New Roman" w:hAnsi="Times New Roman" w:cs="Times New Roman"/>
          <w:sz w:val="24"/>
          <w:szCs w:val="24"/>
        </w:rPr>
        <w:t xml:space="preserve"> o inventário. </w:t>
      </w:r>
    </w:p>
    <w:p w14:paraId="6DBD1514" w14:textId="77777777" w:rsidR="0091232E" w:rsidRDefault="002D75F5" w:rsidP="00BB1251">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No Projeto de Reforma do Código Civil, elaborado pela Comissão de Juristas</w:t>
      </w:r>
      <w:r w:rsidR="00E25C3F">
        <w:rPr>
          <w:rFonts w:ascii="Times New Roman" w:hAnsi="Times New Roman" w:cs="Times New Roman"/>
          <w:sz w:val="24"/>
          <w:szCs w:val="24"/>
        </w:rPr>
        <w:t xml:space="preserve"> nomeada no Senado Federal</w:t>
      </w:r>
      <w:r w:rsidRPr="002D75F5">
        <w:rPr>
          <w:rFonts w:ascii="Times New Roman" w:hAnsi="Times New Roman" w:cs="Times New Roman"/>
          <w:sz w:val="24"/>
          <w:szCs w:val="24"/>
        </w:rPr>
        <w:t xml:space="preserve">, sugere-se a retirada da justa causa nas três modalidades. Assim, o </w:t>
      </w:r>
      <w:r w:rsidRPr="00E25C3F">
        <w:rPr>
          <w:rFonts w:ascii="Times New Roman" w:hAnsi="Times New Roman" w:cs="Times New Roman"/>
          <w:i/>
          <w:sz w:val="24"/>
          <w:szCs w:val="24"/>
        </w:rPr>
        <w:t>caput</w:t>
      </w:r>
      <w:r w:rsidRPr="002D75F5">
        <w:rPr>
          <w:rFonts w:ascii="Times New Roman" w:hAnsi="Times New Roman" w:cs="Times New Roman"/>
          <w:sz w:val="24"/>
          <w:szCs w:val="24"/>
        </w:rPr>
        <w:t xml:space="preserve"> do art. 1.848 passará a prever</w:t>
      </w:r>
      <w:r w:rsidR="00E25C3F">
        <w:rPr>
          <w:rFonts w:ascii="Times New Roman" w:hAnsi="Times New Roman" w:cs="Times New Roman"/>
          <w:sz w:val="24"/>
          <w:szCs w:val="24"/>
        </w:rPr>
        <w:t xml:space="preserve">, de forma direta e simplificada, seguindo-se as máximas que geraram a sua elaboração, </w:t>
      </w:r>
      <w:r w:rsidRPr="002D75F5">
        <w:rPr>
          <w:rFonts w:ascii="Times New Roman" w:hAnsi="Times New Roman" w:cs="Times New Roman"/>
          <w:sz w:val="24"/>
          <w:szCs w:val="24"/>
        </w:rPr>
        <w:t xml:space="preserve">que “pode o testador estabelecer cláusula de inalienabilidade, impenhorabilidade e de incomunicabilidade, sobre os bens da legítima”. </w:t>
      </w:r>
    </w:p>
    <w:p w14:paraId="09DE8067" w14:textId="159888AD" w:rsidR="00BB1251" w:rsidRPr="002D75F5" w:rsidRDefault="002D75F5" w:rsidP="00BB1251">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Essa parece ser, sem dúvidas, a melhor proposição para o tema.</w:t>
      </w:r>
      <w:r w:rsidR="00BB1251">
        <w:rPr>
          <w:rFonts w:ascii="Times New Roman" w:hAnsi="Times New Roman" w:cs="Times New Roman"/>
          <w:sz w:val="24"/>
          <w:szCs w:val="24"/>
        </w:rPr>
        <w:t xml:space="preserve"> Como explica José Fernando Simão, </w:t>
      </w:r>
      <w:r w:rsidR="00BB1251" w:rsidRPr="00BB1251">
        <w:rPr>
          <w:rFonts w:ascii="Times New Roman" w:hAnsi="Times New Roman" w:cs="Times New Roman"/>
          <w:sz w:val="24"/>
          <w:szCs w:val="24"/>
        </w:rPr>
        <w:t xml:space="preserve">"a principal alteração feita no art. 1.848 é a supressão da exigência de justa causa para clausular a legítima. A Comissão entendeu que o </w:t>
      </w:r>
      <w:r w:rsidR="00BB1251" w:rsidRPr="00BB1251">
        <w:rPr>
          <w:rFonts w:ascii="Times New Roman" w:hAnsi="Times New Roman" w:cs="Times New Roman"/>
          <w:i/>
          <w:sz w:val="24"/>
          <w:szCs w:val="24"/>
        </w:rPr>
        <w:t>animus</w:t>
      </w:r>
      <w:r w:rsidR="00BB1251" w:rsidRPr="00BB1251">
        <w:rPr>
          <w:rFonts w:ascii="Times New Roman" w:hAnsi="Times New Roman" w:cs="Times New Roman"/>
          <w:sz w:val="24"/>
          <w:szCs w:val="24"/>
        </w:rPr>
        <w:t xml:space="preserve"> protetivo do herdeiro necessário já se mostra ínsito à própria clausulação e que deve prevalecer o direito à liberdade testamentária quando confrontado com o direito fundamental à herança dos herdeiros necessários. Assim, segue a jurisprudência, que já vem flexibilizando a rigidez da clausulação. Ademais, a justificativa da cláusula de incomunicabilidade já era repudiada pela doutrina</w:t>
      </w:r>
      <w:r w:rsidR="00BB1251">
        <w:rPr>
          <w:rFonts w:ascii="Times New Roman" w:hAnsi="Times New Roman" w:cs="Times New Roman"/>
          <w:sz w:val="24"/>
          <w:szCs w:val="24"/>
        </w:rPr>
        <w:t xml:space="preserve">" (SIMÃO, José Fernando. </w:t>
      </w:r>
      <w:r w:rsidR="00BB1251" w:rsidRPr="00D04F1C">
        <w:rPr>
          <w:rFonts w:ascii="Times New Roman" w:hAnsi="Times New Roman" w:cs="Times New Roman"/>
          <w:i/>
          <w:sz w:val="24"/>
          <w:szCs w:val="24"/>
        </w:rPr>
        <w:t xml:space="preserve">Código Civil </w:t>
      </w:r>
      <w:r w:rsidR="00953982">
        <w:rPr>
          <w:rFonts w:ascii="Times New Roman" w:hAnsi="Times New Roman" w:cs="Times New Roman"/>
          <w:i/>
          <w:sz w:val="24"/>
          <w:szCs w:val="24"/>
        </w:rPr>
        <w:t>c</w:t>
      </w:r>
      <w:r w:rsidR="00953982" w:rsidRPr="00D04F1C">
        <w:rPr>
          <w:rFonts w:ascii="Times New Roman" w:hAnsi="Times New Roman" w:cs="Times New Roman"/>
          <w:i/>
          <w:sz w:val="24"/>
          <w:szCs w:val="24"/>
        </w:rPr>
        <w:t>omentado</w:t>
      </w:r>
      <w:r w:rsidR="00953982" w:rsidRPr="00F27A97">
        <w:rPr>
          <w:rFonts w:ascii="Times New Roman" w:hAnsi="Times New Roman" w:cs="Times New Roman"/>
          <w:iCs/>
          <w:sz w:val="24"/>
          <w:szCs w:val="24"/>
        </w:rPr>
        <w:t>: d</w:t>
      </w:r>
      <w:r w:rsidR="00BB1251">
        <w:rPr>
          <w:rFonts w:ascii="Times New Roman" w:hAnsi="Times New Roman" w:cs="Times New Roman"/>
          <w:sz w:val="24"/>
          <w:szCs w:val="24"/>
        </w:rPr>
        <w:t xml:space="preserve">outrina e </w:t>
      </w:r>
      <w:r w:rsidR="00953982">
        <w:rPr>
          <w:rFonts w:ascii="Times New Roman" w:hAnsi="Times New Roman" w:cs="Times New Roman"/>
          <w:sz w:val="24"/>
          <w:szCs w:val="24"/>
        </w:rPr>
        <w:t>jurisprudência</w:t>
      </w:r>
      <w:r w:rsidR="00BB1251">
        <w:rPr>
          <w:rFonts w:ascii="Times New Roman" w:hAnsi="Times New Roman" w:cs="Times New Roman"/>
          <w:sz w:val="24"/>
          <w:szCs w:val="24"/>
        </w:rPr>
        <w:t xml:space="preserve">. </w:t>
      </w:r>
      <w:r w:rsidR="00953982">
        <w:rPr>
          <w:rFonts w:ascii="Times New Roman" w:hAnsi="Times New Roman" w:cs="Times New Roman"/>
          <w:sz w:val="24"/>
          <w:szCs w:val="24"/>
        </w:rPr>
        <w:t xml:space="preserve">6. ed. </w:t>
      </w:r>
      <w:r w:rsidR="00BB1251">
        <w:rPr>
          <w:rFonts w:ascii="Times New Roman" w:hAnsi="Times New Roman" w:cs="Times New Roman"/>
          <w:sz w:val="24"/>
          <w:szCs w:val="24"/>
        </w:rPr>
        <w:t>Rio de Janeiro: Forense, 2025, p. 1893).</w:t>
      </w:r>
      <w:r w:rsidR="00EE4E8D">
        <w:rPr>
          <w:rFonts w:ascii="Times New Roman" w:hAnsi="Times New Roman" w:cs="Times New Roman"/>
          <w:sz w:val="24"/>
          <w:szCs w:val="24"/>
        </w:rPr>
        <w:t xml:space="preserve"> </w:t>
      </w:r>
    </w:p>
    <w:p w14:paraId="37F0A4B1" w14:textId="1A3C25D1" w:rsidR="002D75F5" w:rsidRPr="002D75F5" w:rsidRDefault="00E25C3F"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Seguindo</w:t>
      </w:r>
      <w:r w:rsidR="00BB1251">
        <w:rPr>
          <w:rFonts w:ascii="Times New Roman" w:hAnsi="Times New Roman" w:cs="Times New Roman"/>
          <w:sz w:val="24"/>
          <w:szCs w:val="24"/>
        </w:rPr>
        <w:t>-se</w:t>
      </w:r>
      <w:r>
        <w:rPr>
          <w:rFonts w:ascii="Times New Roman" w:hAnsi="Times New Roman" w:cs="Times New Roman"/>
          <w:sz w:val="24"/>
          <w:szCs w:val="24"/>
        </w:rPr>
        <w:t xml:space="preserve"> na análise do comando</w:t>
      </w:r>
      <w:r w:rsidR="0091232E">
        <w:rPr>
          <w:rFonts w:ascii="Times New Roman" w:hAnsi="Times New Roman" w:cs="Times New Roman"/>
          <w:sz w:val="24"/>
          <w:szCs w:val="24"/>
        </w:rPr>
        <w:t xml:space="preserve"> vigente</w:t>
      </w:r>
      <w:r>
        <w:rPr>
          <w:rFonts w:ascii="Times New Roman" w:hAnsi="Times New Roman" w:cs="Times New Roman"/>
          <w:sz w:val="24"/>
          <w:szCs w:val="24"/>
        </w:rPr>
        <w:t>, o §</w:t>
      </w:r>
      <w:r w:rsidR="00953982">
        <w:rPr>
          <w:rFonts w:ascii="Times New Roman" w:hAnsi="Times New Roman" w:cs="Times New Roman"/>
          <w:sz w:val="24"/>
          <w:szCs w:val="24"/>
        </w:rPr>
        <w:t xml:space="preserve"> </w:t>
      </w:r>
      <w:r>
        <w:rPr>
          <w:rFonts w:ascii="Times New Roman" w:hAnsi="Times New Roman" w:cs="Times New Roman"/>
          <w:sz w:val="24"/>
          <w:szCs w:val="24"/>
        </w:rPr>
        <w:t xml:space="preserve">1º do art. 1.848 do Código Civil trata da </w:t>
      </w:r>
      <w:r w:rsidR="002D75F5" w:rsidRPr="002D75F5">
        <w:rPr>
          <w:rFonts w:ascii="Times New Roman" w:hAnsi="Times New Roman" w:cs="Times New Roman"/>
          <w:sz w:val="24"/>
          <w:szCs w:val="24"/>
        </w:rPr>
        <w:t>proibição da conversão de bens</w:t>
      </w:r>
      <w:r>
        <w:rPr>
          <w:rFonts w:ascii="Times New Roman" w:hAnsi="Times New Roman" w:cs="Times New Roman"/>
          <w:sz w:val="24"/>
          <w:szCs w:val="24"/>
        </w:rPr>
        <w:t>. Como explica</w:t>
      </w:r>
      <w:r w:rsidR="00BB1251">
        <w:rPr>
          <w:rFonts w:ascii="Times New Roman" w:hAnsi="Times New Roman" w:cs="Times New Roman"/>
          <w:sz w:val="24"/>
          <w:szCs w:val="24"/>
        </w:rPr>
        <w:t xml:space="preserve"> novamente</w:t>
      </w:r>
      <w:r>
        <w:rPr>
          <w:rFonts w:ascii="Times New Roman" w:hAnsi="Times New Roman" w:cs="Times New Roman"/>
          <w:sz w:val="24"/>
          <w:szCs w:val="24"/>
        </w:rPr>
        <w:t xml:space="preserve"> e exemplifica</w:t>
      </w:r>
      <w:r w:rsidR="002D75F5" w:rsidRPr="002D75F5">
        <w:rPr>
          <w:rFonts w:ascii="Times New Roman" w:hAnsi="Times New Roman" w:cs="Times New Roman"/>
          <w:sz w:val="24"/>
          <w:szCs w:val="24"/>
        </w:rPr>
        <w:t xml:space="preserve"> José Fernando Simão</w:t>
      </w:r>
      <w:r w:rsidR="00953982">
        <w:rPr>
          <w:rFonts w:ascii="Times New Roman" w:hAnsi="Times New Roman" w:cs="Times New Roman"/>
          <w:sz w:val="24"/>
          <w:szCs w:val="24"/>
        </w:rPr>
        <w:t>,</w:t>
      </w:r>
      <w:r w:rsidR="002D75F5" w:rsidRPr="002D75F5">
        <w:rPr>
          <w:rFonts w:ascii="Times New Roman" w:hAnsi="Times New Roman" w:cs="Times New Roman"/>
          <w:sz w:val="24"/>
          <w:szCs w:val="24"/>
        </w:rPr>
        <w:t xml:space="preserve"> “a conversão significa que o testador determina em seu ato de última vontade a venda de bens deixados que devem ser trocados por outros. Exemplo disso se verificaria se fosse determinado à herdeira que, após a morte do testador, a venda da fazenda para a aquisição de títulos da dívida pública”</w:t>
      </w:r>
      <w:r>
        <w:rPr>
          <w:rFonts w:ascii="Times New Roman" w:hAnsi="Times New Roman" w:cs="Times New Roman"/>
          <w:sz w:val="24"/>
          <w:szCs w:val="24"/>
        </w:rPr>
        <w:t xml:space="preserve"> (SIMÃO, José Fernando. </w:t>
      </w:r>
      <w:r w:rsidRPr="00D04F1C">
        <w:rPr>
          <w:rFonts w:ascii="Times New Roman" w:hAnsi="Times New Roman" w:cs="Times New Roman"/>
          <w:i/>
          <w:sz w:val="24"/>
          <w:szCs w:val="24"/>
        </w:rPr>
        <w:t xml:space="preserve">Código Civil </w:t>
      </w:r>
      <w:r w:rsidR="00667AAB">
        <w:rPr>
          <w:rFonts w:ascii="Times New Roman" w:hAnsi="Times New Roman" w:cs="Times New Roman"/>
          <w:i/>
          <w:sz w:val="24"/>
          <w:szCs w:val="24"/>
        </w:rPr>
        <w:t>c</w:t>
      </w:r>
      <w:r w:rsidR="00667AAB" w:rsidRPr="00D04F1C">
        <w:rPr>
          <w:rFonts w:ascii="Times New Roman" w:hAnsi="Times New Roman" w:cs="Times New Roman"/>
          <w:i/>
          <w:sz w:val="24"/>
          <w:szCs w:val="24"/>
        </w:rPr>
        <w:t>omentado</w:t>
      </w:r>
      <w:r w:rsidR="00667AAB" w:rsidRPr="00F27A97">
        <w:rPr>
          <w:rFonts w:ascii="Times New Roman" w:hAnsi="Times New Roman" w:cs="Times New Roman"/>
          <w:iCs/>
          <w:sz w:val="24"/>
          <w:szCs w:val="24"/>
        </w:rPr>
        <w:t>: d</w:t>
      </w:r>
      <w:r>
        <w:rPr>
          <w:rFonts w:ascii="Times New Roman" w:hAnsi="Times New Roman" w:cs="Times New Roman"/>
          <w:sz w:val="24"/>
          <w:szCs w:val="24"/>
        </w:rPr>
        <w:t xml:space="preserve">outrina e </w:t>
      </w:r>
      <w:r w:rsidR="00667AAB">
        <w:rPr>
          <w:rFonts w:ascii="Times New Roman" w:hAnsi="Times New Roman" w:cs="Times New Roman"/>
          <w:sz w:val="24"/>
          <w:szCs w:val="24"/>
        </w:rPr>
        <w:t>jurisprudência</w:t>
      </w:r>
      <w:r>
        <w:rPr>
          <w:rFonts w:ascii="Times New Roman" w:hAnsi="Times New Roman" w:cs="Times New Roman"/>
          <w:sz w:val="24"/>
          <w:szCs w:val="24"/>
        </w:rPr>
        <w:t xml:space="preserve">. </w:t>
      </w:r>
      <w:r w:rsidR="00667AAB">
        <w:rPr>
          <w:rFonts w:ascii="Times New Roman" w:hAnsi="Times New Roman" w:cs="Times New Roman"/>
          <w:sz w:val="24"/>
          <w:szCs w:val="24"/>
        </w:rPr>
        <w:t xml:space="preserve">6. ed. </w:t>
      </w:r>
      <w:r w:rsidR="00D04F1C">
        <w:rPr>
          <w:rFonts w:ascii="Times New Roman" w:hAnsi="Times New Roman" w:cs="Times New Roman"/>
          <w:sz w:val="24"/>
          <w:szCs w:val="24"/>
        </w:rPr>
        <w:t>Rio de Janeiro: Forense, 2025, p. 1892).</w:t>
      </w:r>
      <w:r w:rsidR="00EE4E8D">
        <w:rPr>
          <w:rFonts w:ascii="Times New Roman" w:hAnsi="Times New Roman" w:cs="Times New Roman"/>
          <w:sz w:val="24"/>
          <w:szCs w:val="24"/>
        </w:rPr>
        <w:t xml:space="preserve"> </w:t>
      </w:r>
    </w:p>
    <w:p w14:paraId="25EAF9C3" w14:textId="77777777" w:rsidR="002D75F5" w:rsidRPr="002D75F5" w:rsidRDefault="00D04F1C"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w:t>
      </w:r>
      <w:r w:rsidR="002D75F5" w:rsidRPr="002D75F5">
        <w:rPr>
          <w:rFonts w:ascii="Times New Roman" w:hAnsi="Times New Roman" w:cs="Times New Roman"/>
          <w:sz w:val="24"/>
          <w:szCs w:val="24"/>
        </w:rPr>
        <w:t xml:space="preserve"> Projeto de Reforma do Código Civil pretende-se incluir uma exceção na norma em vigor, admitindo que a conversão seja feita em dinheiro, e passando o </w:t>
      </w:r>
      <w:r w:rsidR="0091232E">
        <w:rPr>
          <w:rFonts w:ascii="Times New Roman" w:hAnsi="Times New Roman" w:cs="Times New Roman"/>
          <w:sz w:val="24"/>
          <w:szCs w:val="24"/>
        </w:rPr>
        <w:t xml:space="preserve">novo </w:t>
      </w:r>
      <w:r w:rsidR="002D75F5" w:rsidRPr="002D75F5">
        <w:rPr>
          <w:rFonts w:ascii="Times New Roman" w:hAnsi="Times New Roman" w:cs="Times New Roman"/>
          <w:sz w:val="24"/>
          <w:szCs w:val="24"/>
        </w:rPr>
        <w:t>§ 2.º do art. 1.848 a prever que “não é permitido ao testador estabelecer a conversão dos bens da legítima em outros de espécie diversa, salvo se a conversão for determinada em dinheiro”. Penso que a solução é equilibrada, chegando a um bom termo para a temática</w:t>
      </w:r>
      <w:r>
        <w:rPr>
          <w:rFonts w:ascii="Times New Roman" w:hAnsi="Times New Roman" w:cs="Times New Roman"/>
          <w:sz w:val="24"/>
          <w:szCs w:val="24"/>
        </w:rPr>
        <w:t>, igualmente</w:t>
      </w:r>
      <w:r w:rsidRPr="00D04F1C">
        <w:rPr>
          <w:rFonts w:ascii="Times New Roman" w:hAnsi="Times New Roman" w:cs="Times New Roman"/>
          <w:i/>
          <w:sz w:val="24"/>
          <w:szCs w:val="24"/>
        </w:rPr>
        <w:t xml:space="preserve"> destravando </w:t>
      </w:r>
      <w:r>
        <w:rPr>
          <w:rFonts w:ascii="Times New Roman" w:hAnsi="Times New Roman" w:cs="Times New Roman"/>
          <w:sz w:val="24"/>
          <w:szCs w:val="24"/>
        </w:rPr>
        <w:t>o instituto e afastando disputas indesejadas entre os herdeiros</w:t>
      </w:r>
      <w:r w:rsidR="00BB1251">
        <w:rPr>
          <w:rFonts w:ascii="Times New Roman" w:hAnsi="Times New Roman" w:cs="Times New Roman"/>
          <w:sz w:val="24"/>
          <w:szCs w:val="24"/>
        </w:rPr>
        <w:t>, premissas que guiaram as pr</w:t>
      </w:r>
      <w:r w:rsidR="0091232E">
        <w:rPr>
          <w:rFonts w:ascii="Times New Roman" w:hAnsi="Times New Roman" w:cs="Times New Roman"/>
          <w:sz w:val="24"/>
          <w:szCs w:val="24"/>
        </w:rPr>
        <w:t>o</w:t>
      </w:r>
      <w:r w:rsidR="00BB1251">
        <w:rPr>
          <w:rFonts w:ascii="Times New Roman" w:hAnsi="Times New Roman" w:cs="Times New Roman"/>
          <w:sz w:val="24"/>
          <w:szCs w:val="24"/>
        </w:rPr>
        <w:t>postas</w:t>
      </w:r>
      <w:r w:rsidR="002D75F5" w:rsidRPr="002D75F5">
        <w:rPr>
          <w:rFonts w:ascii="Times New Roman" w:hAnsi="Times New Roman" w:cs="Times New Roman"/>
          <w:sz w:val="24"/>
          <w:szCs w:val="24"/>
        </w:rPr>
        <w:t xml:space="preserve">. </w:t>
      </w:r>
    </w:p>
    <w:p w14:paraId="427C710D" w14:textId="79F7C7E1" w:rsidR="00D04F1C" w:rsidRDefault="002D75F5" w:rsidP="002D75F5">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 xml:space="preserve">Voltando-se à norma </w:t>
      </w:r>
      <w:r w:rsidR="00F27A97">
        <w:rPr>
          <w:rFonts w:ascii="Times New Roman" w:hAnsi="Times New Roman" w:cs="Times New Roman"/>
          <w:sz w:val="24"/>
          <w:szCs w:val="24"/>
        </w:rPr>
        <w:t xml:space="preserve">que hoje está </w:t>
      </w:r>
      <w:r w:rsidRPr="002D75F5">
        <w:rPr>
          <w:rFonts w:ascii="Times New Roman" w:hAnsi="Times New Roman" w:cs="Times New Roman"/>
          <w:sz w:val="24"/>
          <w:szCs w:val="24"/>
        </w:rPr>
        <w:t xml:space="preserve">em vigor, como se pode perceber da leitura do § 2.º do art. 1.848, por meio de autorização judicial e em havendo justa causa </w:t>
      </w:r>
      <w:r w:rsidR="00667AAB">
        <w:rPr>
          <w:rFonts w:ascii="Times New Roman" w:hAnsi="Times New Roman" w:cs="Times New Roman"/>
          <w:sz w:val="24"/>
          <w:szCs w:val="24"/>
        </w:rPr>
        <w:t xml:space="preserve">– </w:t>
      </w:r>
      <w:r w:rsidRPr="002D75F5">
        <w:rPr>
          <w:rFonts w:ascii="Times New Roman" w:hAnsi="Times New Roman" w:cs="Times New Roman"/>
          <w:sz w:val="24"/>
          <w:szCs w:val="24"/>
        </w:rPr>
        <w:t>mais uma vez</w:t>
      </w:r>
      <w:r w:rsidR="00D04F1C">
        <w:rPr>
          <w:rFonts w:ascii="Times New Roman" w:hAnsi="Times New Roman" w:cs="Times New Roman"/>
          <w:sz w:val="24"/>
          <w:szCs w:val="24"/>
        </w:rPr>
        <w:t xml:space="preserve"> </w:t>
      </w:r>
      <w:r w:rsidR="00667AAB">
        <w:rPr>
          <w:rFonts w:ascii="Times New Roman" w:hAnsi="Times New Roman" w:cs="Times New Roman"/>
          <w:sz w:val="24"/>
          <w:szCs w:val="24"/>
        </w:rPr>
        <w:t>–</w:t>
      </w:r>
      <w:r w:rsidR="00667AAB" w:rsidRPr="002D75F5">
        <w:rPr>
          <w:rFonts w:ascii="Times New Roman" w:hAnsi="Times New Roman" w:cs="Times New Roman"/>
          <w:sz w:val="24"/>
          <w:szCs w:val="24"/>
        </w:rPr>
        <w:t xml:space="preserve">, </w:t>
      </w:r>
      <w:r w:rsidRPr="002D75F5">
        <w:rPr>
          <w:rFonts w:ascii="Times New Roman" w:hAnsi="Times New Roman" w:cs="Times New Roman"/>
          <w:sz w:val="24"/>
          <w:szCs w:val="24"/>
        </w:rPr>
        <w:t>é possível a alienação dos bens clausulados. Em casos tais, o produto da venda deve ser destinado para a aquisição de outros bens, em substituição</w:t>
      </w:r>
      <w:r w:rsidR="00D04F1C">
        <w:rPr>
          <w:rFonts w:ascii="Times New Roman" w:hAnsi="Times New Roman" w:cs="Times New Roman"/>
          <w:sz w:val="24"/>
          <w:szCs w:val="24"/>
        </w:rPr>
        <w:t xml:space="preserve"> ou </w:t>
      </w:r>
      <w:r w:rsidRPr="0091232E">
        <w:rPr>
          <w:rFonts w:ascii="Times New Roman" w:hAnsi="Times New Roman" w:cs="Times New Roman"/>
          <w:i/>
          <w:sz w:val="24"/>
          <w:szCs w:val="24"/>
        </w:rPr>
        <w:t>sub-rogação</w:t>
      </w:r>
      <w:r w:rsidR="00D04F1C" w:rsidRPr="0091232E">
        <w:rPr>
          <w:rFonts w:ascii="Times New Roman" w:hAnsi="Times New Roman" w:cs="Times New Roman"/>
          <w:i/>
          <w:sz w:val="24"/>
          <w:szCs w:val="24"/>
        </w:rPr>
        <w:t xml:space="preserve"> real</w:t>
      </w:r>
      <w:r w:rsidRPr="002D75F5">
        <w:rPr>
          <w:rFonts w:ascii="Times New Roman" w:hAnsi="Times New Roman" w:cs="Times New Roman"/>
          <w:sz w:val="24"/>
          <w:szCs w:val="24"/>
        </w:rPr>
        <w:t xml:space="preserve">, que permanecerão com as cláusulas dos primeiros. </w:t>
      </w:r>
    </w:p>
    <w:p w14:paraId="3B09D6F1" w14:textId="75CDB100" w:rsidR="002D75F5" w:rsidRPr="002D75F5" w:rsidRDefault="00D04F1C"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jurisprudência há tempos tem mitigado o rigor no levantamento da restrição da inalienabilidade. De início, o </w:t>
      </w:r>
      <w:r w:rsidR="0091232E">
        <w:rPr>
          <w:rFonts w:ascii="Times New Roman" w:hAnsi="Times New Roman" w:cs="Times New Roman"/>
          <w:sz w:val="24"/>
          <w:szCs w:val="24"/>
        </w:rPr>
        <w:t>S</w:t>
      </w:r>
      <w:r w:rsidR="00F27A97">
        <w:rPr>
          <w:rFonts w:ascii="Times New Roman" w:hAnsi="Times New Roman" w:cs="Times New Roman"/>
          <w:sz w:val="24"/>
          <w:szCs w:val="24"/>
        </w:rPr>
        <w:t xml:space="preserve">uperior Tribunal de Justiça </w:t>
      </w:r>
      <w:r>
        <w:rPr>
          <w:rFonts w:ascii="Times New Roman" w:hAnsi="Times New Roman" w:cs="Times New Roman"/>
          <w:sz w:val="24"/>
          <w:szCs w:val="24"/>
        </w:rPr>
        <w:t>há tempos tem considerado que</w:t>
      </w:r>
      <w:r w:rsidR="00E67C9F">
        <w:rPr>
          <w:rFonts w:ascii="Times New Roman" w:hAnsi="Times New Roman" w:cs="Times New Roman"/>
          <w:sz w:val="24"/>
          <w:szCs w:val="24"/>
        </w:rPr>
        <w:t>,</w:t>
      </w:r>
      <w:r>
        <w:rPr>
          <w:rFonts w:ascii="Times New Roman" w:hAnsi="Times New Roman" w:cs="Times New Roman"/>
          <w:sz w:val="24"/>
          <w:szCs w:val="24"/>
        </w:rPr>
        <w:t xml:space="preserve"> </w:t>
      </w:r>
      <w:r w:rsidR="002D75F5" w:rsidRPr="002D75F5">
        <w:rPr>
          <w:rFonts w:ascii="Times New Roman" w:hAnsi="Times New Roman" w:cs="Times New Roman"/>
          <w:sz w:val="24"/>
          <w:szCs w:val="24"/>
        </w:rPr>
        <w:t xml:space="preserve">“se a alienação do imóvel gravado permite uma melhor adequação do patrimônio à sua função social e possibilita ao herdeiro sua sobrevivência e bem-estar, a comercialização do bem vai ao encontro do propósito do testador, que era, em princípio, o de amparar adequadamente o beneficiário das cláusulas de inalienabilidade, impenhorabilidade e incomunicabilidade” (STJ, REsp 1.158.679/MG, 3.ª Turma, Rel. Min. Nancy Andrighi, j. 07.04.2011, </w:t>
      </w:r>
      <w:r w:rsidR="002D75F5" w:rsidRPr="00F27A97">
        <w:rPr>
          <w:rFonts w:ascii="Times New Roman" w:hAnsi="Times New Roman" w:cs="Times New Roman"/>
          <w:i/>
          <w:iCs/>
          <w:sz w:val="24"/>
          <w:szCs w:val="24"/>
        </w:rPr>
        <w:t>DJe</w:t>
      </w:r>
      <w:r w:rsidR="002D75F5" w:rsidRPr="002D75F5">
        <w:rPr>
          <w:rFonts w:ascii="Times New Roman" w:hAnsi="Times New Roman" w:cs="Times New Roman"/>
          <w:sz w:val="24"/>
          <w:szCs w:val="24"/>
        </w:rPr>
        <w:t xml:space="preserve"> 15.04.2011). </w:t>
      </w:r>
    </w:p>
    <w:p w14:paraId="03879F84" w14:textId="77777777" w:rsidR="002D75F5" w:rsidRPr="002D75F5" w:rsidRDefault="00D04F1C"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Na mesma linha, d</w:t>
      </w:r>
      <w:r w:rsidR="002D75F5" w:rsidRPr="002D75F5">
        <w:rPr>
          <w:rFonts w:ascii="Times New Roman" w:hAnsi="Times New Roman" w:cs="Times New Roman"/>
          <w:sz w:val="24"/>
          <w:szCs w:val="24"/>
        </w:rPr>
        <w:t>e data mais recente, concluiu</w:t>
      </w:r>
      <w:r>
        <w:rPr>
          <w:rFonts w:ascii="Times New Roman" w:hAnsi="Times New Roman" w:cs="Times New Roman"/>
          <w:sz w:val="24"/>
          <w:szCs w:val="24"/>
        </w:rPr>
        <w:t xml:space="preserve">-se no Tribunal da Cidadania </w:t>
      </w:r>
      <w:r w:rsidR="002D75F5" w:rsidRPr="002D75F5">
        <w:rPr>
          <w:rFonts w:ascii="Times New Roman" w:hAnsi="Times New Roman" w:cs="Times New Roman"/>
          <w:sz w:val="24"/>
          <w:szCs w:val="24"/>
        </w:rPr>
        <w:t xml:space="preserve">pela “possibilidade de cancelamento da cláusula de inalienabilidade após a morte dos doadores, passadas quase duas décadas do ato de liberalidade, em face da ausência de justa causa para a sua manutenção. Interpretação do art. 1.848 do Código Civil à luz do princípio da função social da propriedade” (STJ, REsp 1.631.278/PR, 3.ª Turma, Rel. Min. Paulo de Tarso Sanseverino, j. 19.03.2019, </w:t>
      </w:r>
      <w:r w:rsidR="002D75F5" w:rsidRPr="00F27A97">
        <w:rPr>
          <w:rFonts w:ascii="Times New Roman" w:hAnsi="Times New Roman" w:cs="Times New Roman"/>
          <w:i/>
          <w:iCs/>
          <w:sz w:val="24"/>
          <w:szCs w:val="24"/>
        </w:rPr>
        <w:t xml:space="preserve">DJe </w:t>
      </w:r>
      <w:r w:rsidR="002D75F5" w:rsidRPr="002D75F5">
        <w:rPr>
          <w:rFonts w:ascii="Times New Roman" w:hAnsi="Times New Roman" w:cs="Times New Roman"/>
          <w:sz w:val="24"/>
          <w:szCs w:val="24"/>
        </w:rPr>
        <w:t xml:space="preserve">29.03.2019). A título </w:t>
      </w:r>
      <w:r>
        <w:rPr>
          <w:rFonts w:ascii="Times New Roman" w:hAnsi="Times New Roman" w:cs="Times New Roman"/>
          <w:sz w:val="24"/>
          <w:szCs w:val="24"/>
        </w:rPr>
        <w:t>de exemplo</w:t>
      </w:r>
      <w:r w:rsidR="002D75F5" w:rsidRPr="002D75F5">
        <w:rPr>
          <w:rFonts w:ascii="Times New Roman" w:hAnsi="Times New Roman" w:cs="Times New Roman"/>
          <w:sz w:val="24"/>
          <w:szCs w:val="24"/>
        </w:rPr>
        <w:t xml:space="preserve">, imagine-se o caso de um imóvel rural que se encontra improdutivo porque a cláusula de inalienabilidade obsta que se obtenha um financiamento para o desenvolvimento da atividade agrária. </w:t>
      </w:r>
      <w:r>
        <w:rPr>
          <w:rFonts w:ascii="Times New Roman" w:hAnsi="Times New Roman" w:cs="Times New Roman"/>
          <w:sz w:val="24"/>
          <w:szCs w:val="24"/>
        </w:rPr>
        <w:t>Es</w:t>
      </w:r>
      <w:r w:rsidR="002D75F5" w:rsidRPr="002D75F5">
        <w:rPr>
          <w:rFonts w:ascii="Times New Roman" w:hAnsi="Times New Roman" w:cs="Times New Roman"/>
          <w:sz w:val="24"/>
          <w:szCs w:val="24"/>
        </w:rPr>
        <w:t>sa situação</w:t>
      </w:r>
      <w:r>
        <w:rPr>
          <w:rFonts w:ascii="Times New Roman" w:hAnsi="Times New Roman" w:cs="Times New Roman"/>
          <w:sz w:val="24"/>
          <w:szCs w:val="24"/>
        </w:rPr>
        <w:t xml:space="preserve">, por si só, </w:t>
      </w:r>
      <w:r w:rsidR="002D75F5" w:rsidRPr="002D75F5">
        <w:rPr>
          <w:rFonts w:ascii="Times New Roman" w:hAnsi="Times New Roman" w:cs="Times New Roman"/>
          <w:sz w:val="24"/>
          <w:szCs w:val="24"/>
        </w:rPr>
        <w:t xml:space="preserve">já </w:t>
      </w:r>
      <w:r>
        <w:rPr>
          <w:rFonts w:ascii="Times New Roman" w:hAnsi="Times New Roman" w:cs="Times New Roman"/>
          <w:sz w:val="24"/>
          <w:szCs w:val="24"/>
        </w:rPr>
        <w:t xml:space="preserve">deve </w:t>
      </w:r>
      <w:r w:rsidR="002D75F5" w:rsidRPr="002D75F5">
        <w:rPr>
          <w:rFonts w:ascii="Times New Roman" w:hAnsi="Times New Roman" w:cs="Times New Roman"/>
          <w:sz w:val="24"/>
          <w:szCs w:val="24"/>
        </w:rPr>
        <w:t>basta</w:t>
      </w:r>
      <w:r>
        <w:rPr>
          <w:rFonts w:ascii="Times New Roman" w:hAnsi="Times New Roman" w:cs="Times New Roman"/>
          <w:sz w:val="24"/>
          <w:szCs w:val="24"/>
        </w:rPr>
        <w:t>r</w:t>
      </w:r>
      <w:r w:rsidR="002D75F5" w:rsidRPr="002D75F5">
        <w:rPr>
          <w:rFonts w:ascii="Times New Roman" w:hAnsi="Times New Roman" w:cs="Times New Roman"/>
          <w:sz w:val="24"/>
          <w:szCs w:val="24"/>
        </w:rPr>
        <w:t xml:space="preserve"> para o cancelamento da cláusula, não havendo a necessidade de se debater qualquer outro requisito para tanto. </w:t>
      </w:r>
    </w:p>
    <w:p w14:paraId="04FF34C4" w14:textId="77777777" w:rsidR="002D75F5" w:rsidRPr="002D75F5" w:rsidRDefault="002D75F5" w:rsidP="002D75F5">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Em 2022, surgiu outro aresto do Tribunal da Cidadania, que lev</w:t>
      </w:r>
      <w:r w:rsidR="00D04F1C">
        <w:rPr>
          <w:rFonts w:ascii="Times New Roman" w:hAnsi="Times New Roman" w:cs="Times New Roman"/>
          <w:sz w:val="24"/>
          <w:szCs w:val="24"/>
        </w:rPr>
        <w:t>ou</w:t>
      </w:r>
      <w:r w:rsidRPr="002D75F5">
        <w:rPr>
          <w:rFonts w:ascii="Times New Roman" w:hAnsi="Times New Roman" w:cs="Times New Roman"/>
          <w:sz w:val="24"/>
          <w:szCs w:val="24"/>
        </w:rPr>
        <w:t xml:space="preserve"> em conta as regras do Estatuto do Idoso para o cancelamento da restrição, trazendo, ainda, critérios que devem ser considerados pelo julgador</w:t>
      </w:r>
      <w:r w:rsidR="00D04F1C">
        <w:rPr>
          <w:rFonts w:ascii="Times New Roman" w:hAnsi="Times New Roman" w:cs="Times New Roman"/>
          <w:sz w:val="24"/>
          <w:szCs w:val="24"/>
        </w:rPr>
        <w:t>. Vejamos o seu trecho principal</w:t>
      </w:r>
      <w:r w:rsidRPr="002D75F5">
        <w:rPr>
          <w:rFonts w:ascii="Times New Roman" w:hAnsi="Times New Roman" w:cs="Times New Roman"/>
          <w:sz w:val="24"/>
          <w:szCs w:val="24"/>
        </w:rPr>
        <w:t xml:space="preserve">: </w:t>
      </w:r>
    </w:p>
    <w:p w14:paraId="4D980451" w14:textId="77777777" w:rsidR="002D75F5" w:rsidRPr="00D04F1C" w:rsidRDefault="002D75F5" w:rsidP="00D04F1C">
      <w:pPr>
        <w:pStyle w:val="t"/>
        <w:spacing w:before="120" w:after="120" w:line="360" w:lineRule="auto"/>
        <w:ind w:left="567" w:firstLine="0"/>
        <w:rPr>
          <w:rFonts w:ascii="Times New Roman" w:hAnsi="Times New Roman" w:cs="Times New Roman"/>
          <w:sz w:val="22"/>
          <w:szCs w:val="22"/>
        </w:rPr>
      </w:pPr>
      <w:r w:rsidRPr="00D04F1C">
        <w:rPr>
          <w:rFonts w:ascii="Times New Roman" w:hAnsi="Times New Roman" w:cs="Times New Roman"/>
          <w:sz w:val="22"/>
          <w:szCs w:val="22"/>
        </w:rPr>
        <w:t>“</w:t>
      </w:r>
      <w:r w:rsidR="00D04F1C" w:rsidRPr="00D04F1C">
        <w:rPr>
          <w:rFonts w:ascii="Times New Roman" w:hAnsi="Times New Roman" w:cs="Times New Roman"/>
          <w:sz w:val="22"/>
          <w:szCs w:val="22"/>
        </w:rPr>
        <w:t xml:space="preserve">(...). </w:t>
      </w:r>
      <w:r w:rsidRPr="00D04F1C">
        <w:rPr>
          <w:rFonts w:ascii="Times New Roman" w:hAnsi="Times New Roman" w:cs="Times New Roman"/>
          <w:sz w:val="22"/>
          <w:szCs w:val="22"/>
        </w:rPr>
        <w:t xml:space="preserve">Cinge-se a controvérsia a definir se o cancelamento das cláusulas de inalienabilidade e impenhorabilidade melhor promoveria os direitos fundamentais dos recorrentes, pessoas idosas, e se existente ou não justa causa para o levantamento dos gravames no imóvel rural dos recorrentes. No caso, a alegação de afronta aos arts. 2.º, 3.º e 37 do Estatuto da Pessoa Idosa deve ser analisada em conjunto com a arguição de violação do art. 1.848 do CC/2002, por meio de interpretação sistemática e teleológica. A possibilidade de cancelamento das cláusulas de inalienabilidade e impenhorabilidade instituída pelos doadores depende da observação de critérios jurisprudenciais: (i) inexistência de risco evidente de diminuição patrimonial dos proprietários ou de seus herdeiros (em especial, risco de prodigalidade ou de dilapidação do patrimônio); (ii) manutenção do patrimônio gravado que, por causa das circunstâncias, tenha se tornado origem de um ônus financeiro maior do que os benefícios trazidos; (iii) existência de real interesse das pessoas cuja própria cláusula visa a proteger, trazendo-lhes melhor aproveitamento de seu patrimônio e, consequentemente, um mais alto nível de bem-estar, como é de se presumir que os instituidores das cláusulas teriam querido nessas </w:t>
      </w:r>
      <w:r w:rsidRPr="00D04F1C">
        <w:rPr>
          <w:rFonts w:ascii="Times New Roman" w:hAnsi="Times New Roman" w:cs="Times New Roman"/>
          <w:sz w:val="22"/>
          <w:szCs w:val="22"/>
        </w:rPr>
        <w:t xml:space="preserve">circunstâncias; (iv) ocorrência de longa passagem de tempo; e, por fim, nos casos de doação, (v) se já sejam falecidos os doadores. Na hipótese, todos os critérios jurisprudenciais estão presentes” (STJ, REsp 2.022.860/MG, 3.ª Turma, Rel. Min. Ricardo Villas Bôas Cueva, j. 27.09.2022, </w:t>
      </w:r>
      <w:r w:rsidRPr="00F27A97">
        <w:rPr>
          <w:rFonts w:ascii="Times New Roman" w:hAnsi="Times New Roman" w:cs="Times New Roman"/>
          <w:i/>
          <w:iCs/>
          <w:sz w:val="22"/>
          <w:szCs w:val="22"/>
        </w:rPr>
        <w:t xml:space="preserve">DJe </w:t>
      </w:r>
      <w:r w:rsidRPr="00D04F1C">
        <w:rPr>
          <w:rFonts w:ascii="Times New Roman" w:hAnsi="Times New Roman" w:cs="Times New Roman"/>
          <w:sz w:val="22"/>
          <w:szCs w:val="22"/>
        </w:rPr>
        <w:t xml:space="preserve">30.09.2022). </w:t>
      </w:r>
    </w:p>
    <w:p w14:paraId="5BEA6B58" w14:textId="287DA154" w:rsidR="002D75F5" w:rsidRPr="002D75F5" w:rsidRDefault="002D75F5" w:rsidP="002D75F5">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Essa tem sido a forma de julgar o tema na Corte</w:t>
      </w:r>
      <w:r w:rsidR="0091232E">
        <w:rPr>
          <w:rFonts w:ascii="Times New Roman" w:hAnsi="Times New Roman" w:cs="Times New Roman"/>
          <w:sz w:val="24"/>
          <w:szCs w:val="24"/>
        </w:rPr>
        <w:t xml:space="preserve"> Superior</w:t>
      </w:r>
      <w:r w:rsidRPr="002D75F5">
        <w:rPr>
          <w:rFonts w:ascii="Times New Roman" w:hAnsi="Times New Roman" w:cs="Times New Roman"/>
          <w:sz w:val="24"/>
          <w:szCs w:val="24"/>
        </w:rPr>
        <w:t>, sobretudo na sua Terceira Turma, sendo relevante o</w:t>
      </w:r>
      <w:r w:rsidR="00BF00AE">
        <w:rPr>
          <w:rFonts w:ascii="Times New Roman" w:hAnsi="Times New Roman" w:cs="Times New Roman"/>
          <w:sz w:val="24"/>
          <w:szCs w:val="24"/>
        </w:rPr>
        <w:t xml:space="preserve"> último</w:t>
      </w:r>
      <w:r w:rsidRPr="002D75F5">
        <w:rPr>
          <w:rFonts w:ascii="Times New Roman" w:hAnsi="Times New Roman" w:cs="Times New Roman"/>
          <w:sz w:val="24"/>
          <w:szCs w:val="24"/>
        </w:rPr>
        <w:t xml:space="preserve"> julgado</w:t>
      </w:r>
      <w:r w:rsidR="00BF00AE">
        <w:rPr>
          <w:rFonts w:ascii="Times New Roman" w:hAnsi="Times New Roman" w:cs="Times New Roman"/>
          <w:sz w:val="24"/>
          <w:szCs w:val="24"/>
        </w:rPr>
        <w:t xml:space="preserve">, </w:t>
      </w:r>
      <w:r w:rsidRPr="002D75F5">
        <w:rPr>
          <w:rFonts w:ascii="Times New Roman" w:hAnsi="Times New Roman" w:cs="Times New Roman"/>
          <w:sz w:val="24"/>
          <w:szCs w:val="24"/>
        </w:rPr>
        <w:t xml:space="preserve">pela menção aos critérios para o cancelamento das cláusulas restritivas. </w:t>
      </w:r>
    </w:p>
    <w:p w14:paraId="4B24F997" w14:textId="307601FD" w:rsidR="00D04F1C" w:rsidRDefault="00D04F1C" w:rsidP="002D75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Seguindo-se </w:t>
      </w:r>
      <w:r w:rsidR="00BB1251">
        <w:rPr>
          <w:rFonts w:ascii="Times New Roman" w:hAnsi="Times New Roman" w:cs="Times New Roman"/>
          <w:sz w:val="24"/>
          <w:szCs w:val="24"/>
        </w:rPr>
        <w:t>essa</w:t>
      </w:r>
      <w:r>
        <w:rPr>
          <w:rFonts w:ascii="Times New Roman" w:hAnsi="Times New Roman" w:cs="Times New Roman"/>
          <w:sz w:val="24"/>
          <w:szCs w:val="24"/>
        </w:rPr>
        <w:t xml:space="preserve"> posição hoje majoritária, </w:t>
      </w:r>
      <w:r w:rsidR="00BB1251">
        <w:rPr>
          <w:rFonts w:ascii="Times New Roman" w:hAnsi="Times New Roman" w:cs="Times New Roman"/>
          <w:sz w:val="24"/>
          <w:szCs w:val="24"/>
        </w:rPr>
        <w:t xml:space="preserve">que tem o meu total apoio doutrinário, </w:t>
      </w:r>
      <w:r>
        <w:rPr>
          <w:rFonts w:ascii="Times New Roman" w:hAnsi="Times New Roman" w:cs="Times New Roman"/>
          <w:sz w:val="24"/>
          <w:szCs w:val="24"/>
        </w:rPr>
        <w:t>mais uma vez</w:t>
      </w:r>
      <w:r w:rsidR="002D75F5" w:rsidRPr="002D75F5">
        <w:rPr>
          <w:rFonts w:ascii="Times New Roman" w:hAnsi="Times New Roman" w:cs="Times New Roman"/>
          <w:sz w:val="24"/>
          <w:szCs w:val="24"/>
        </w:rPr>
        <w:t xml:space="preserve"> </w:t>
      </w:r>
      <w:r w:rsidR="00BB1251">
        <w:rPr>
          <w:rFonts w:ascii="Times New Roman" w:hAnsi="Times New Roman" w:cs="Times New Roman"/>
          <w:sz w:val="24"/>
          <w:szCs w:val="24"/>
        </w:rPr>
        <w:t xml:space="preserve">no </w:t>
      </w:r>
      <w:r w:rsidR="002D75F5" w:rsidRPr="002D75F5">
        <w:rPr>
          <w:rFonts w:ascii="Times New Roman" w:hAnsi="Times New Roman" w:cs="Times New Roman"/>
          <w:sz w:val="24"/>
          <w:szCs w:val="24"/>
        </w:rPr>
        <w:t xml:space="preserve">Projeto de Reforma do Código Civil pretende-se </w:t>
      </w:r>
      <w:r w:rsidRPr="00D04F1C">
        <w:rPr>
          <w:rFonts w:ascii="Times New Roman" w:hAnsi="Times New Roman" w:cs="Times New Roman"/>
          <w:i/>
          <w:sz w:val="24"/>
          <w:szCs w:val="24"/>
        </w:rPr>
        <w:t xml:space="preserve">destravar </w:t>
      </w:r>
      <w:r>
        <w:rPr>
          <w:rFonts w:ascii="Times New Roman" w:hAnsi="Times New Roman" w:cs="Times New Roman"/>
          <w:sz w:val="24"/>
          <w:szCs w:val="24"/>
        </w:rPr>
        <w:t xml:space="preserve">o testamento, </w:t>
      </w:r>
      <w:r w:rsidR="002D75F5" w:rsidRPr="002D75F5">
        <w:rPr>
          <w:rFonts w:ascii="Times New Roman" w:hAnsi="Times New Roman" w:cs="Times New Roman"/>
          <w:sz w:val="24"/>
          <w:szCs w:val="24"/>
        </w:rPr>
        <w:t>facilita</w:t>
      </w:r>
      <w:r>
        <w:rPr>
          <w:rFonts w:ascii="Times New Roman" w:hAnsi="Times New Roman" w:cs="Times New Roman"/>
          <w:sz w:val="24"/>
          <w:szCs w:val="24"/>
        </w:rPr>
        <w:t>ndo</w:t>
      </w:r>
      <w:r w:rsidR="002D75F5" w:rsidRPr="002D75F5">
        <w:rPr>
          <w:rFonts w:ascii="Times New Roman" w:hAnsi="Times New Roman" w:cs="Times New Roman"/>
          <w:sz w:val="24"/>
          <w:szCs w:val="24"/>
        </w:rPr>
        <w:t xml:space="preserve"> o le</w:t>
      </w:r>
      <w:r>
        <w:rPr>
          <w:rFonts w:ascii="Times New Roman" w:hAnsi="Times New Roman" w:cs="Times New Roman"/>
          <w:sz w:val="24"/>
          <w:szCs w:val="24"/>
        </w:rPr>
        <w:t>v</w:t>
      </w:r>
      <w:r w:rsidR="002D75F5" w:rsidRPr="002D75F5">
        <w:rPr>
          <w:rFonts w:ascii="Times New Roman" w:hAnsi="Times New Roman" w:cs="Times New Roman"/>
          <w:sz w:val="24"/>
          <w:szCs w:val="24"/>
        </w:rPr>
        <w:t xml:space="preserve">antamento dos gravames </w:t>
      </w:r>
      <w:r>
        <w:rPr>
          <w:rFonts w:ascii="Times New Roman" w:hAnsi="Times New Roman" w:cs="Times New Roman"/>
          <w:sz w:val="24"/>
          <w:szCs w:val="24"/>
        </w:rPr>
        <w:t xml:space="preserve">que foram nele inseridos, </w:t>
      </w:r>
      <w:r w:rsidR="002D75F5" w:rsidRPr="002D75F5">
        <w:rPr>
          <w:rFonts w:ascii="Times New Roman" w:hAnsi="Times New Roman" w:cs="Times New Roman"/>
          <w:sz w:val="24"/>
          <w:szCs w:val="24"/>
        </w:rPr>
        <w:t>e a alienação dos bens, o que segue a linha d</w:t>
      </w:r>
      <w:r w:rsidR="00F27A97">
        <w:rPr>
          <w:rFonts w:ascii="Times New Roman" w:hAnsi="Times New Roman" w:cs="Times New Roman"/>
          <w:sz w:val="24"/>
          <w:szCs w:val="24"/>
        </w:rPr>
        <w:t xml:space="preserve">e outras </w:t>
      </w:r>
      <w:r>
        <w:rPr>
          <w:rFonts w:ascii="Times New Roman" w:hAnsi="Times New Roman" w:cs="Times New Roman"/>
          <w:sz w:val="24"/>
          <w:szCs w:val="24"/>
        </w:rPr>
        <w:t xml:space="preserve">proposições </w:t>
      </w:r>
      <w:r w:rsidR="002D75F5" w:rsidRPr="002D75F5">
        <w:rPr>
          <w:rFonts w:ascii="Times New Roman" w:hAnsi="Times New Roman" w:cs="Times New Roman"/>
          <w:sz w:val="24"/>
          <w:szCs w:val="24"/>
        </w:rPr>
        <w:t>adotada</w:t>
      </w:r>
      <w:r>
        <w:rPr>
          <w:rFonts w:ascii="Times New Roman" w:hAnsi="Times New Roman" w:cs="Times New Roman"/>
          <w:sz w:val="24"/>
          <w:szCs w:val="24"/>
        </w:rPr>
        <w:t>s</w:t>
      </w:r>
      <w:r w:rsidR="002D75F5" w:rsidRPr="002D75F5">
        <w:rPr>
          <w:rFonts w:ascii="Times New Roman" w:hAnsi="Times New Roman" w:cs="Times New Roman"/>
          <w:sz w:val="24"/>
          <w:szCs w:val="24"/>
        </w:rPr>
        <w:t xml:space="preserve"> pela Comissão de Juristas nomeada no Senado Federal. </w:t>
      </w:r>
      <w:r>
        <w:rPr>
          <w:rFonts w:ascii="Times New Roman" w:hAnsi="Times New Roman" w:cs="Times New Roman"/>
          <w:sz w:val="24"/>
          <w:szCs w:val="24"/>
        </w:rPr>
        <w:t xml:space="preserve">Nesse contexto, </w:t>
      </w:r>
      <w:r w:rsidR="002D75F5" w:rsidRPr="002D75F5">
        <w:rPr>
          <w:rFonts w:ascii="Times New Roman" w:hAnsi="Times New Roman" w:cs="Times New Roman"/>
          <w:sz w:val="24"/>
          <w:szCs w:val="24"/>
        </w:rPr>
        <w:t>o § 1.º do art. 1.848</w:t>
      </w:r>
      <w:r>
        <w:rPr>
          <w:rFonts w:ascii="Times New Roman" w:hAnsi="Times New Roman" w:cs="Times New Roman"/>
          <w:sz w:val="24"/>
          <w:szCs w:val="24"/>
        </w:rPr>
        <w:t xml:space="preserve"> do Código Civil</w:t>
      </w:r>
      <w:r w:rsidR="002D75F5" w:rsidRPr="002D75F5">
        <w:rPr>
          <w:rFonts w:ascii="Times New Roman" w:hAnsi="Times New Roman" w:cs="Times New Roman"/>
          <w:sz w:val="24"/>
          <w:szCs w:val="24"/>
        </w:rPr>
        <w:t xml:space="preserve">, com menor rigidez, passará a prever que, “com autorização judicial e havendo justa causa, podem ser alienados os bens gravados, mediante sub-rogação, ou levantados os gravames”. </w:t>
      </w:r>
    </w:p>
    <w:p w14:paraId="648801E6" w14:textId="6C1D279B" w:rsidR="00DF7B7C" w:rsidRDefault="002D75F5" w:rsidP="002D75F5">
      <w:pPr>
        <w:pStyle w:val="t"/>
        <w:spacing w:before="120" w:after="120" w:line="360" w:lineRule="auto"/>
        <w:ind w:firstLine="1701"/>
        <w:rPr>
          <w:rFonts w:ascii="Times New Roman" w:hAnsi="Times New Roman" w:cs="Times New Roman"/>
          <w:sz w:val="24"/>
          <w:szCs w:val="24"/>
        </w:rPr>
      </w:pPr>
      <w:r w:rsidRPr="002D75F5">
        <w:rPr>
          <w:rFonts w:ascii="Times New Roman" w:hAnsi="Times New Roman" w:cs="Times New Roman"/>
          <w:sz w:val="24"/>
          <w:szCs w:val="24"/>
        </w:rPr>
        <w:t xml:space="preserve">Como se nota, não haverá mais menção à sub-rogação </w:t>
      </w:r>
      <w:r w:rsidR="00B80F6E">
        <w:rPr>
          <w:rFonts w:ascii="Times New Roman" w:hAnsi="Times New Roman" w:cs="Times New Roman"/>
          <w:sz w:val="24"/>
          <w:szCs w:val="24"/>
        </w:rPr>
        <w:t xml:space="preserve">real </w:t>
      </w:r>
      <w:r w:rsidRPr="002D75F5">
        <w:rPr>
          <w:rFonts w:ascii="Times New Roman" w:hAnsi="Times New Roman" w:cs="Times New Roman"/>
          <w:sz w:val="24"/>
          <w:szCs w:val="24"/>
        </w:rPr>
        <w:t xml:space="preserve">das cláusulas em outros bens, o que representa </w:t>
      </w:r>
      <w:r w:rsidR="00D04F1C">
        <w:rPr>
          <w:rFonts w:ascii="Times New Roman" w:hAnsi="Times New Roman" w:cs="Times New Roman"/>
          <w:sz w:val="24"/>
          <w:szCs w:val="24"/>
        </w:rPr>
        <w:t xml:space="preserve">hoje </w:t>
      </w:r>
      <w:r w:rsidRPr="002D75F5">
        <w:rPr>
          <w:rFonts w:ascii="Times New Roman" w:hAnsi="Times New Roman" w:cs="Times New Roman"/>
          <w:sz w:val="24"/>
          <w:szCs w:val="24"/>
        </w:rPr>
        <w:t>indesejada intervenção na propriedade</w:t>
      </w:r>
      <w:r w:rsidR="00BB1251">
        <w:rPr>
          <w:rFonts w:ascii="Times New Roman" w:hAnsi="Times New Roman" w:cs="Times New Roman"/>
          <w:sz w:val="24"/>
          <w:szCs w:val="24"/>
        </w:rPr>
        <w:t>, esperando</w:t>
      </w:r>
      <w:r w:rsidR="00F27A97">
        <w:rPr>
          <w:rFonts w:ascii="Times New Roman" w:hAnsi="Times New Roman" w:cs="Times New Roman"/>
          <w:sz w:val="24"/>
          <w:szCs w:val="24"/>
        </w:rPr>
        <w:t>-se</w:t>
      </w:r>
      <w:r w:rsidR="00BB1251">
        <w:rPr>
          <w:rFonts w:ascii="Times New Roman" w:hAnsi="Times New Roman" w:cs="Times New Roman"/>
          <w:sz w:val="24"/>
          <w:szCs w:val="24"/>
        </w:rPr>
        <w:t xml:space="preserve"> a aprovação de</w:t>
      </w:r>
      <w:r w:rsidR="00F27A97">
        <w:rPr>
          <w:rFonts w:ascii="Times New Roman" w:hAnsi="Times New Roman" w:cs="Times New Roman"/>
          <w:sz w:val="24"/>
          <w:szCs w:val="24"/>
        </w:rPr>
        <w:t xml:space="preserve"> todas e</w:t>
      </w:r>
      <w:r w:rsidR="00BB1251">
        <w:rPr>
          <w:rFonts w:ascii="Times New Roman" w:hAnsi="Times New Roman" w:cs="Times New Roman"/>
          <w:sz w:val="24"/>
          <w:szCs w:val="24"/>
        </w:rPr>
        <w:t>ssas proposições pelo Congresso Nacional</w:t>
      </w:r>
      <w:r w:rsidR="00F27A97">
        <w:rPr>
          <w:rFonts w:ascii="Times New Roman" w:hAnsi="Times New Roman" w:cs="Times New Roman"/>
          <w:sz w:val="24"/>
          <w:szCs w:val="24"/>
        </w:rPr>
        <w:t>, em prol de uma maior simplificação do Direito Civil Brasileiro</w:t>
      </w:r>
      <w:r w:rsidR="00BB1251">
        <w:rPr>
          <w:rFonts w:ascii="Times New Roman" w:hAnsi="Times New Roman" w:cs="Times New Roman"/>
          <w:sz w:val="24"/>
          <w:szCs w:val="24"/>
        </w:rPr>
        <w:t xml:space="preserve">. </w:t>
      </w:r>
    </w:p>
    <w:sectPr w:rsidR="00DF7B7C"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815D6" w14:textId="77777777" w:rsidR="0037094A" w:rsidRDefault="0037094A" w:rsidP="00B15AD0">
      <w:pPr>
        <w:spacing w:after="0" w:line="240" w:lineRule="auto"/>
      </w:pPr>
      <w:r>
        <w:separator/>
      </w:r>
    </w:p>
  </w:endnote>
  <w:endnote w:type="continuationSeparator" w:id="0">
    <w:p w14:paraId="2C5D3CE3" w14:textId="77777777" w:rsidR="0037094A" w:rsidRDefault="0037094A"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mbria Math"/>
    <w:panose1 w:val="00000000000000000000"/>
    <w:charset w:val="00"/>
    <w:family w:val="auto"/>
    <w:notTrueType/>
    <w:pitch w:val="default"/>
    <w:sig w:usb0="00000003" w:usb1="00000000"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 w:name="MyriadPro-Regular">
    <w:altName w:val="Malgun Gothic"/>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66580D56" w14:textId="77777777" w:rsidR="00E25C3F" w:rsidRDefault="00B80F6E">
        <w:pPr>
          <w:pStyle w:val="Rodap"/>
          <w:jc w:val="right"/>
        </w:pPr>
        <w:r>
          <w:fldChar w:fldCharType="begin"/>
        </w:r>
        <w:r>
          <w:instrText xml:space="preserve"> PAGE   \* MERGEFORMAT </w:instrText>
        </w:r>
        <w:r>
          <w:fldChar w:fldCharType="separate"/>
        </w:r>
        <w:r>
          <w:rPr>
            <w:noProof/>
          </w:rPr>
          <w:t>1</w:t>
        </w:r>
        <w:r>
          <w:rPr>
            <w:noProof/>
          </w:rPr>
          <w:fldChar w:fldCharType="end"/>
        </w:r>
      </w:p>
    </w:sdtContent>
  </w:sdt>
  <w:p w14:paraId="5B047E2C" w14:textId="77777777" w:rsidR="00E25C3F" w:rsidRDefault="00E25C3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1951A" w14:textId="77777777" w:rsidR="0037094A" w:rsidRDefault="0037094A" w:rsidP="00B15AD0">
      <w:pPr>
        <w:spacing w:after="0" w:line="240" w:lineRule="auto"/>
      </w:pPr>
      <w:r>
        <w:separator/>
      </w:r>
    </w:p>
  </w:footnote>
  <w:footnote w:type="continuationSeparator" w:id="0">
    <w:p w14:paraId="2C682A6A" w14:textId="77777777" w:rsidR="0037094A" w:rsidRDefault="0037094A" w:rsidP="00B15AD0">
      <w:pPr>
        <w:spacing w:after="0" w:line="240" w:lineRule="auto"/>
      </w:pPr>
      <w:r>
        <w:continuationSeparator/>
      </w:r>
    </w:p>
  </w:footnote>
  <w:footnote w:id="1">
    <w:p w14:paraId="4D04C7E9" w14:textId="77777777" w:rsidR="00E25C3F" w:rsidRPr="00197971" w:rsidRDefault="00E25C3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161697793">
    <w:abstractNumId w:val="1"/>
  </w:num>
  <w:num w:numId="2" w16cid:durableId="15889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648E"/>
    <w:rsid w:val="001C0BF5"/>
    <w:rsid w:val="001C20B6"/>
    <w:rsid w:val="001C3F9C"/>
    <w:rsid w:val="001D10F0"/>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0AAC"/>
    <w:rsid w:val="00275DC5"/>
    <w:rsid w:val="0027678B"/>
    <w:rsid w:val="0027700F"/>
    <w:rsid w:val="002809A2"/>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A51"/>
    <w:rsid w:val="002E174E"/>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3FDF"/>
    <w:rsid w:val="00354174"/>
    <w:rsid w:val="00356BC1"/>
    <w:rsid w:val="00357109"/>
    <w:rsid w:val="0037094A"/>
    <w:rsid w:val="0038223F"/>
    <w:rsid w:val="003869F0"/>
    <w:rsid w:val="00394C9F"/>
    <w:rsid w:val="003964F7"/>
    <w:rsid w:val="003A2D67"/>
    <w:rsid w:val="003B0F36"/>
    <w:rsid w:val="003C0ADC"/>
    <w:rsid w:val="003D1130"/>
    <w:rsid w:val="003D758C"/>
    <w:rsid w:val="003E6BFA"/>
    <w:rsid w:val="00416565"/>
    <w:rsid w:val="00416BAE"/>
    <w:rsid w:val="00420F7D"/>
    <w:rsid w:val="00421AAD"/>
    <w:rsid w:val="004231D8"/>
    <w:rsid w:val="004263CC"/>
    <w:rsid w:val="00440E97"/>
    <w:rsid w:val="0044129B"/>
    <w:rsid w:val="00451CC8"/>
    <w:rsid w:val="00461BBB"/>
    <w:rsid w:val="00463CAE"/>
    <w:rsid w:val="0046464F"/>
    <w:rsid w:val="00465B35"/>
    <w:rsid w:val="004702C9"/>
    <w:rsid w:val="00473561"/>
    <w:rsid w:val="00475A7F"/>
    <w:rsid w:val="004B0CC8"/>
    <w:rsid w:val="004B1ABA"/>
    <w:rsid w:val="004C28CC"/>
    <w:rsid w:val="004C2B01"/>
    <w:rsid w:val="004C6CAD"/>
    <w:rsid w:val="004D192A"/>
    <w:rsid w:val="004D3C8B"/>
    <w:rsid w:val="004E68BF"/>
    <w:rsid w:val="004F108D"/>
    <w:rsid w:val="004F5A0C"/>
    <w:rsid w:val="00505C0B"/>
    <w:rsid w:val="00505F81"/>
    <w:rsid w:val="00510D5E"/>
    <w:rsid w:val="0051186F"/>
    <w:rsid w:val="00513172"/>
    <w:rsid w:val="00520F3F"/>
    <w:rsid w:val="00521AD5"/>
    <w:rsid w:val="00525923"/>
    <w:rsid w:val="005264F9"/>
    <w:rsid w:val="00540A1C"/>
    <w:rsid w:val="00550067"/>
    <w:rsid w:val="00551126"/>
    <w:rsid w:val="00552DBC"/>
    <w:rsid w:val="00554A9A"/>
    <w:rsid w:val="00555174"/>
    <w:rsid w:val="00560AB1"/>
    <w:rsid w:val="00565371"/>
    <w:rsid w:val="00572FB3"/>
    <w:rsid w:val="005803EC"/>
    <w:rsid w:val="00581D80"/>
    <w:rsid w:val="00582E0D"/>
    <w:rsid w:val="0058340B"/>
    <w:rsid w:val="005937B9"/>
    <w:rsid w:val="005A0224"/>
    <w:rsid w:val="005A1CA7"/>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4049"/>
    <w:rsid w:val="00684EAE"/>
    <w:rsid w:val="00687D4D"/>
    <w:rsid w:val="00687F6F"/>
    <w:rsid w:val="00692442"/>
    <w:rsid w:val="006931D3"/>
    <w:rsid w:val="00693231"/>
    <w:rsid w:val="0069517F"/>
    <w:rsid w:val="00696537"/>
    <w:rsid w:val="006A1DE3"/>
    <w:rsid w:val="006A24C2"/>
    <w:rsid w:val="006A3397"/>
    <w:rsid w:val="006A4626"/>
    <w:rsid w:val="006A67A7"/>
    <w:rsid w:val="006B0194"/>
    <w:rsid w:val="006B4DC9"/>
    <w:rsid w:val="006B64C9"/>
    <w:rsid w:val="006D2259"/>
    <w:rsid w:val="006D389F"/>
    <w:rsid w:val="006E0C8C"/>
    <w:rsid w:val="006E1F16"/>
    <w:rsid w:val="006E434B"/>
    <w:rsid w:val="006F666B"/>
    <w:rsid w:val="006F7018"/>
    <w:rsid w:val="007018A3"/>
    <w:rsid w:val="0070682D"/>
    <w:rsid w:val="00711BF6"/>
    <w:rsid w:val="0071408C"/>
    <w:rsid w:val="007154AD"/>
    <w:rsid w:val="007161E4"/>
    <w:rsid w:val="007318C7"/>
    <w:rsid w:val="00741F35"/>
    <w:rsid w:val="00747200"/>
    <w:rsid w:val="0075158E"/>
    <w:rsid w:val="007522CF"/>
    <w:rsid w:val="00752FEE"/>
    <w:rsid w:val="00771074"/>
    <w:rsid w:val="007745E9"/>
    <w:rsid w:val="00777567"/>
    <w:rsid w:val="00777A2F"/>
    <w:rsid w:val="0078277B"/>
    <w:rsid w:val="00783334"/>
    <w:rsid w:val="00786CE4"/>
    <w:rsid w:val="007914E9"/>
    <w:rsid w:val="0079684D"/>
    <w:rsid w:val="007A0FB1"/>
    <w:rsid w:val="007A1060"/>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0B27"/>
    <w:rsid w:val="00885120"/>
    <w:rsid w:val="00895E9B"/>
    <w:rsid w:val="008A46FF"/>
    <w:rsid w:val="008B65F8"/>
    <w:rsid w:val="008C19E7"/>
    <w:rsid w:val="008D1456"/>
    <w:rsid w:val="008D1E6F"/>
    <w:rsid w:val="008E513D"/>
    <w:rsid w:val="008F63CA"/>
    <w:rsid w:val="0090223A"/>
    <w:rsid w:val="00902BB5"/>
    <w:rsid w:val="00907993"/>
    <w:rsid w:val="0091232E"/>
    <w:rsid w:val="00920A9B"/>
    <w:rsid w:val="00920C6E"/>
    <w:rsid w:val="0092561C"/>
    <w:rsid w:val="00925730"/>
    <w:rsid w:val="00932490"/>
    <w:rsid w:val="009368C3"/>
    <w:rsid w:val="009464A7"/>
    <w:rsid w:val="00946888"/>
    <w:rsid w:val="00953982"/>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12E8"/>
    <w:rsid w:val="009D17EF"/>
    <w:rsid w:val="009D6C03"/>
    <w:rsid w:val="009E1D79"/>
    <w:rsid w:val="009E65DC"/>
    <w:rsid w:val="009F594A"/>
    <w:rsid w:val="009F6476"/>
    <w:rsid w:val="00A01D37"/>
    <w:rsid w:val="00A02347"/>
    <w:rsid w:val="00A07A6F"/>
    <w:rsid w:val="00A1091B"/>
    <w:rsid w:val="00A109C6"/>
    <w:rsid w:val="00A10A11"/>
    <w:rsid w:val="00A15C1C"/>
    <w:rsid w:val="00A17286"/>
    <w:rsid w:val="00A20C07"/>
    <w:rsid w:val="00A21CE5"/>
    <w:rsid w:val="00A2489D"/>
    <w:rsid w:val="00A327F6"/>
    <w:rsid w:val="00A43AFD"/>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D42"/>
    <w:rsid w:val="00B975F2"/>
    <w:rsid w:val="00BA5F05"/>
    <w:rsid w:val="00BB1251"/>
    <w:rsid w:val="00BB144D"/>
    <w:rsid w:val="00BB541E"/>
    <w:rsid w:val="00BB60D6"/>
    <w:rsid w:val="00BC1801"/>
    <w:rsid w:val="00BC23E3"/>
    <w:rsid w:val="00BC3E67"/>
    <w:rsid w:val="00BD35D8"/>
    <w:rsid w:val="00BD40C8"/>
    <w:rsid w:val="00BD437B"/>
    <w:rsid w:val="00BE1CB2"/>
    <w:rsid w:val="00BE49BF"/>
    <w:rsid w:val="00BE77F7"/>
    <w:rsid w:val="00BE7A99"/>
    <w:rsid w:val="00BF00AE"/>
    <w:rsid w:val="00BF18DC"/>
    <w:rsid w:val="00BF7D04"/>
    <w:rsid w:val="00C002DB"/>
    <w:rsid w:val="00C11874"/>
    <w:rsid w:val="00C31189"/>
    <w:rsid w:val="00C404EB"/>
    <w:rsid w:val="00C45AC9"/>
    <w:rsid w:val="00C53FB9"/>
    <w:rsid w:val="00C55C23"/>
    <w:rsid w:val="00C55F21"/>
    <w:rsid w:val="00C5797D"/>
    <w:rsid w:val="00C650C5"/>
    <w:rsid w:val="00C73DE8"/>
    <w:rsid w:val="00C75E3D"/>
    <w:rsid w:val="00C81C6B"/>
    <w:rsid w:val="00C81D18"/>
    <w:rsid w:val="00C82083"/>
    <w:rsid w:val="00C92E87"/>
    <w:rsid w:val="00CA24B4"/>
    <w:rsid w:val="00CA27DC"/>
    <w:rsid w:val="00CA41F7"/>
    <w:rsid w:val="00CA5D25"/>
    <w:rsid w:val="00CA6F54"/>
    <w:rsid w:val="00CA7E3B"/>
    <w:rsid w:val="00CB34BC"/>
    <w:rsid w:val="00CC320E"/>
    <w:rsid w:val="00CC5417"/>
    <w:rsid w:val="00CD2BEF"/>
    <w:rsid w:val="00CD50B1"/>
    <w:rsid w:val="00CE43E1"/>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73E2"/>
    <w:rsid w:val="00D4240B"/>
    <w:rsid w:val="00D44E5A"/>
    <w:rsid w:val="00D57E74"/>
    <w:rsid w:val="00D57F00"/>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11002"/>
    <w:rsid w:val="00F17013"/>
    <w:rsid w:val="00F215A0"/>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20A8"/>
    <w:rsid w:val="00FE3106"/>
    <w:rsid w:val="00FE55D2"/>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DB0FB"/>
  <w15:docId w15:val="{7DBDE63F-6112-4EBD-AE54-78E5DEB27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5129C-C190-4A56-AB30-D7CC41B20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1589</Words>
  <Characters>8646</Characters>
  <Application>Microsoft Office Word</Application>
  <DocSecurity>0</DocSecurity>
  <Lines>139</Lines>
  <Paragraphs>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3</cp:revision>
  <dcterms:created xsi:type="dcterms:W3CDTF">2025-10-27T12:41:00Z</dcterms:created>
  <dcterms:modified xsi:type="dcterms:W3CDTF">2025-10-27T12:42:00Z</dcterms:modified>
</cp:coreProperties>
</file>