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285B44" w14:textId="52B1BEB3" w:rsidR="00D75992" w:rsidRDefault="00D63892" w:rsidP="001F0B30">
      <w:pPr>
        <w:spacing w:before="120" w:after="120" w:line="360" w:lineRule="auto"/>
        <w:jc w:val="center"/>
        <w:rPr>
          <w:rFonts w:ascii="Times New Roman" w:hAnsi="Times New Roman" w:cs="Times New Roman"/>
          <w:b/>
          <w:bCs/>
          <w:sz w:val="24"/>
          <w:szCs w:val="24"/>
        </w:rPr>
      </w:pPr>
      <w:r>
        <w:rPr>
          <w:rFonts w:ascii="Times New Roman" w:hAnsi="Times New Roman" w:cs="Times New Roman"/>
          <w:b/>
          <w:bCs/>
          <w:sz w:val="24"/>
          <w:szCs w:val="24"/>
        </w:rPr>
        <w:t>A REFORMA DO CÓDIGO CIVIL</w:t>
      </w:r>
      <w:r w:rsidR="00925730">
        <w:rPr>
          <w:rFonts w:ascii="Times New Roman" w:hAnsi="Times New Roman" w:cs="Times New Roman"/>
          <w:b/>
          <w:bCs/>
          <w:sz w:val="24"/>
          <w:szCs w:val="24"/>
        </w:rPr>
        <w:t xml:space="preserve"> E</w:t>
      </w:r>
      <w:r w:rsidR="00831927">
        <w:rPr>
          <w:rFonts w:ascii="Times New Roman" w:hAnsi="Times New Roman" w:cs="Times New Roman"/>
          <w:b/>
          <w:bCs/>
          <w:sz w:val="24"/>
          <w:szCs w:val="24"/>
        </w:rPr>
        <w:t xml:space="preserve"> </w:t>
      </w:r>
      <w:r w:rsidR="00CD2BEF">
        <w:rPr>
          <w:rFonts w:ascii="Times New Roman" w:hAnsi="Times New Roman" w:cs="Times New Roman"/>
          <w:b/>
          <w:bCs/>
          <w:sz w:val="24"/>
          <w:szCs w:val="24"/>
        </w:rPr>
        <w:t xml:space="preserve">AS PROPOSTAS PARA A TOMADA DE DECISÃO APOIADA </w:t>
      </w:r>
    </w:p>
    <w:p w14:paraId="5541F102" w14:textId="77777777" w:rsidR="00B62174" w:rsidRDefault="00B62174" w:rsidP="00B15AD0">
      <w:pPr>
        <w:spacing w:before="120" w:after="120" w:line="360" w:lineRule="auto"/>
        <w:jc w:val="right"/>
        <w:rPr>
          <w:rFonts w:ascii="Times New Roman" w:hAnsi="Times New Roman" w:cs="Times New Roman"/>
          <w:bCs/>
          <w:sz w:val="24"/>
          <w:szCs w:val="24"/>
        </w:rPr>
      </w:pPr>
    </w:p>
    <w:p w14:paraId="5DC7ACA1" w14:textId="77777777" w:rsidR="00B15AD0" w:rsidRPr="0027030E" w:rsidRDefault="00B15AD0" w:rsidP="00B15AD0">
      <w:pPr>
        <w:spacing w:before="120" w:after="120" w:line="360" w:lineRule="auto"/>
        <w:jc w:val="right"/>
        <w:rPr>
          <w:rFonts w:ascii="Times New Roman" w:hAnsi="Times New Roman" w:cs="Times New Roman"/>
          <w:bCs/>
          <w:sz w:val="24"/>
          <w:szCs w:val="24"/>
        </w:rPr>
      </w:pPr>
      <w:r w:rsidRPr="0027030E">
        <w:rPr>
          <w:rFonts w:ascii="Times New Roman" w:hAnsi="Times New Roman" w:cs="Times New Roman"/>
          <w:bCs/>
          <w:sz w:val="24"/>
          <w:szCs w:val="24"/>
        </w:rPr>
        <w:t>Flávio Tartuce</w:t>
      </w:r>
      <w:r w:rsidRPr="0027030E">
        <w:rPr>
          <w:rFonts w:ascii="Times New Roman" w:hAnsi="Times New Roman" w:cs="Times New Roman"/>
          <w:bCs/>
          <w:sz w:val="24"/>
          <w:szCs w:val="24"/>
          <w:vertAlign w:val="superscript"/>
        </w:rPr>
        <w:footnoteReference w:id="1"/>
      </w:r>
    </w:p>
    <w:p w14:paraId="50368157" w14:textId="77777777" w:rsidR="00B26B79" w:rsidRDefault="00B26B79" w:rsidP="00B26B79">
      <w:pPr>
        <w:pStyle w:val="t"/>
        <w:spacing w:before="120" w:after="120" w:line="360" w:lineRule="auto"/>
        <w:ind w:firstLine="1701"/>
        <w:rPr>
          <w:rFonts w:ascii="Times New Roman" w:hAnsi="Times New Roman" w:cs="Times New Roman"/>
          <w:sz w:val="24"/>
          <w:szCs w:val="24"/>
        </w:rPr>
      </w:pPr>
    </w:p>
    <w:p w14:paraId="560CD32D" w14:textId="4A57D52C" w:rsidR="00CD2BEF" w:rsidRPr="00CD2BEF" w:rsidRDefault="00BA5F05" w:rsidP="00CD2BEF">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Como é notório, o</w:t>
      </w:r>
      <w:r w:rsidR="00831927">
        <w:rPr>
          <w:rFonts w:ascii="Times New Roman" w:hAnsi="Times New Roman" w:cs="Times New Roman"/>
          <w:sz w:val="24"/>
          <w:szCs w:val="24"/>
        </w:rPr>
        <w:t xml:space="preserve"> </w:t>
      </w:r>
      <w:r w:rsidR="00CD2BEF" w:rsidRPr="00CD2BEF">
        <w:rPr>
          <w:rFonts w:ascii="Times New Roman" w:hAnsi="Times New Roman" w:cs="Times New Roman"/>
          <w:sz w:val="24"/>
          <w:szCs w:val="24"/>
        </w:rPr>
        <w:t xml:space="preserve">art. 115 do Estatuto da Pessoa com Deficiência </w:t>
      </w:r>
      <w:r w:rsidR="000F397F">
        <w:rPr>
          <w:rFonts w:ascii="Times New Roman" w:hAnsi="Times New Roman" w:cs="Times New Roman"/>
          <w:sz w:val="24"/>
          <w:szCs w:val="24"/>
        </w:rPr>
        <w:t>(</w:t>
      </w:r>
      <w:r w:rsidR="00CC5417">
        <w:rPr>
          <w:rFonts w:ascii="Times New Roman" w:hAnsi="Times New Roman" w:cs="Times New Roman"/>
          <w:sz w:val="24"/>
          <w:szCs w:val="24"/>
        </w:rPr>
        <w:t xml:space="preserve">EPD, </w:t>
      </w:r>
      <w:r w:rsidR="000F397F">
        <w:rPr>
          <w:rFonts w:ascii="Times New Roman" w:hAnsi="Times New Roman" w:cs="Times New Roman"/>
          <w:sz w:val="24"/>
          <w:szCs w:val="24"/>
        </w:rPr>
        <w:t>Lei n. 13.</w:t>
      </w:r>
      <w:r w:rsidR="00D70256">
        <w:rPr>
          <w:rFonts w:ascii="Times New Roman" w:hAnsi="Times New Roman" w:cs="Times New Roman"/>
          <w:sz w:val="24"/>
          <w:szCs w:val="24"/>
        </w:rPr>
        <w:t>146</w:t>
      </w:r>
      <w:r w:rsidR="000F397F">
        <w:rPr>
          <w:rFonts w:ascii="Times New Roman" w:hAnsi="Times New Roman" w:cs="Times New Roman"/>
          <w:sz w:val="24"/>
          <w:szCs w:val="24"/>
        </w:rPr>
        <w:t xml:space="preserve">/2015) </w:t>
      </w:r>
      <w:r w:rsidR="00CD2BEF" w:rsidRPr="00CD2BEF">
        <w:rPr>
          <w:rFonts w:ascii="Times New Roman" w:hAnsi="Times New Roman" w:cs="Times New Roman"/>
          <w:sz w:val="24"/>
          <w:szCs w:val="24"/>
        </w:rPr>
        <w:t xml:space="preserve">determinou que o Título IV do Livro IV da Parte Especial do Código Civil </w:t>
      </w:r>
      <w:r>
        <w:rPr>
          <w:rFonts w:ascii="Times New Roman" w:hAnsi="Times New Roman" w:cs="Times New Roman"/>
          <w:sz w:val="24"/>
          <w:szCs w:val="24"/>
        </w:rPr>
        <w:t>passasse</w:t>
      </w:r>
      <w:r w:rsidR="00CD2BEF" w:rsidRPr="00CD2BEF">
        <w:rPr>
          <w:rFonts w:ascii="Times New Roman" w:hAnsi="Times New Roman" w:cs="Times New Roman"/>
          <w:sz w:val="24"/>
          <w:szCs w:val="24"/>
        </w:rPr>
        <w:t xml:space="preserve"> a vigorar com a seguinte redação: “Da Tutela, da Curatela e da Tomada de Decisão Apoiada”. Com isso, foi acrescentado um art. 1.783-A </w:t>
      </w:r>
      <w:r w:rsidR="00D70256">
        <w:rPr>
          <w:rFonts w:ascii="Times New Roman" w:hAnsi="Times New Roman" w:cs="Times New Roman"/>
          <w:sz w:val="24"/>
          <w:szCs w:val="24"/>
        </w:rPr>
        <w:t>a</w:t>
      </w:r>
      <w:r w:rsidR="00D70256" w:rsidRPr="00CD2BEF">
        <w:rPr>
          <w:rFonts w:ascii="Times New Roman" w:hAnsi="Times New Roman" w:cs="Times New Roman"/>
          <w:sz w:val="24"/>
          <w:szCs w:val="24"/>
        </w:rPr>
        <w:t xml:space="preserve">o </w:t>
      </w:r>
      <w:r w:rsidR="00CD2BEF" w:rsidRPr="00CD2BEF">
        <w:rPr>
          <w:rFonts w:ascii="Times New Roman" w:hAnsi="Times New Roman" w:cs="Times New Roman"/>
          <w:sz w:val="24"/>
          <w:szCs w:val="24"/>
        </w:rPr>
        <w:t xml:space="preserve">Código Civil, tratando dos procedimentos relativos a essa tomada de decisão apoiada. A categoria visa ao auxílio da pessoa com deficiência para a celebração de atos mais complexos, caso dos contratos. Foi ela inspirada na </w:t>
      </w:r>
      <w:r w:rsidR="00CD2BEF" w:rsidRPr="00CD2BEF">
        <w:rPr>
          <w:rFonts w:ascii="Times New Roman" w:hAnsi="Times New Roman" w:cs="Times New Roman"/>
          <w:i/>
          <w:sz w:val="24"/>
          <w:szCs w:val="24"/>
        </w:rPr>
        <w:t>amministratore di sostegno</w:t>
      </w:r>
      <w:r w:rsidR="00CD2BEF" w:rsidRPr="00CD2BEF">
        <w:rPr>
          <w:rFonts w:ascii="Times New Roman" w:hAnsi="Times New Roman" w:cs="Times New Roman"/>
          <w:sz w:val="24"/>
          <w:szCs w:val="24"/>
        </w:rPr>
        <w:t xml:space="preserve">, da Itália, e na </w:t>
      </w:r>
      <w:r w:rsidR="00CD2BEF" w:rsidRPr="00CD2BEF">
        <w:rPr>
          <w:rFonts w:ascii="Times New Roman" w:hAnsi="Times New Roman" w:cs="Times New Roman"/>
          <w:i/>
          <w:sz w:val="24"/>
          <w:szCs w:val="24"/>
        </w:rPr>
        <w:t>Betreuung</w:t>
      </w:r>
      <w:r w:rsidR="00CD2BEF" w:rsidRPr="00CD2BEF">
        <w:rPr>
          <w:rFonts w:ascii="Times New Roman" w:hAnsi="Times New Roman" w:cs="Times New Roman"/>
          <w:sz w:val="24"/>
          <w:szCs w:val="24"/>
        </w:rPr>
        <w:t>, da Alemanha.</w:t>
      </w:r>
    </w:p>
    <w:p w14:paraId="450E46C1" w14:textId="77777777" w:rsidR="00CD2BEF" w:rsidRPr="00CD2BEF" w:rsidRDefault="00CD2BEF" w:rsidP="00CD2BEF">
      <w:pPr>
        <w:pStyle w:val="t"/>
        <w:spacing w:before="120" w:after="120" w:line="360" w:lineRule="auto"/>
        <w:ind w:firstLine="1701"/>
        <w:rPr>
          <w:rFonts w:ascii="Times New Roman" w:hAnsi="Times New Roman" w:cs="Times New Roman"/>
          <w:sz w:val="24"/>
          <w:szCs w:val="24"/>
        </w:rPr>
      </w:pPr>
      <w:r w:rsidRPr="00CD2BEF">
        <w:rPr>
          <w:rFonts w:ascii="Times New Roman" w:hAnsi="Times New Roman" w:cs="Times New Roman"/>
          <w:sz w:val="24"/>
          <w:szCs w:val="24"/>
        </w:rPr>
        <w:t xml:space="preserve">De início, conforme o </w:t>
      </w:r>
      <w:r w:rsidRPr="00CD2BEF">
        <w:rPr>
          <w:rFonts w:ascii="Times New Roman" w:hAnsi="Times New Roman" w:cs="Times New Roman"/>
          <w:i/>
          <w:sz w:val="24"/>
          <w:szCs w:val="24"/>
        </w:rPr>
        <w:t xml:space="preserve">caput </w:t>
      </w:r>
      <w:r w:rsidRPr="00CD2BEF">
        <w:rPr>
          <w:rFonts w:ascii="Times New Roman" w:hAnsi="Times New Roman" w:cs="Times New Roman"/>
          <w:sz w:val="24"/>
          <w:szCs w:val="24"/>
        </w:rPr>
        <w:t>da norma</w:t>
      </w:r>
      <w:r>
        <w:rPr>
          <w:rFonts w:ascii="Times New Roman" w:hAnsi="Times New Roman" w:cs="Times New Roman"/>
          <w:sz w:val="24"/>
          <w:szCs w:val="24"/>
        </w:rPr>
        <w:t xml:space="preserve"> hoje em vigor</w:t>
      </w:r>
      <w:r w:rsidRPr="00CD2BEF">
        <w:rPr>
          <w:rFonts w:ascii="Times New Roman" w:hAnsi="Times New Roman" w:cs="Times New Roman"/>
          <w:sz w:val="24"/>
          <w:szCs w:val="24"/>
        </w:rPr>
        <w:t xml:space="preserve">, a tomada de decisão apoiada é o </w:t>
      </w:r>
      <w:r w:rsidRPr="00CD2BEF">
        <w:rPr>
          <w:rFonts w:ascii="Times New Roman" w:hAnsi="Times New Roman" w:cs="Times New Roman"/>
          <w:i/>
          <w:sz w:val="24"/>
          <w:szCs w:val="24"/>
        </w:rPr>
        <w:t>processo judicial</w:t>
      </w:r>
      <w:r w:rsidRPr="00CD2BEF">
        <w:rPr>
          <w:rFonts w:ascii="Times New Roman" w:hAnsi="Times New Roman" w:cs="Times New Roman"/>
          <w:sz w:val="24"/>
          <w:szCs w:val="24"/>
        </w:rPr>
        <w:t xml:space="preserve"> pelo qual a pessoa com deficiência elege pelo menos duas pessoas idôneas, com as quais mantenha vínculos e que gozem de sua confiança, para prestar-lhe apoio na tomada de decisão sobre atos da vida civil, fornecendo-lhes os elementos e informações necessários para que possa exercer sua capacidade. </w:t>
      </w:r>
      <w:r>
        <w:rPr>
          <w:rFonts w:ascii="Times New Roman" w:hAnsi="Times New Roman" w:cs="Times New Roman"/>
          <w:sz w:val="24"/>
          <w:szCs w:val="24"/>
        </w:rPr>
        <w:t>O instituto</w:t>
      </w:r>
      <w:r w:rsidRPr="00CD2BEF">
        <w:rPr>
          <w:rFonts w:ascii="Times New Roman" w:hAnsi="Times New Roman" w:cs="Times New Roman"/>
          <w:sz w:val="24"/>
          <w:szCs w:val="24"/>
        </w:rPr>
        <w:t xml:space="preserve"> tem a função de trazer acréscimos ao antigo regime de incapacidades dos maiores, </w:t>
      </w:r>
      <w:r w:rsidR="00CC5417">
        <w:rPr>
          <w:rFonts w:ascii="Times New Roman" w:hAnsi="Times New Roman" w:cs="Times New Roman"/>
          <w:sz w:val="24"/>
          <w:szCs w:val="24"/>
        </w:rPr>
        <w:t xml:space="preserve">anterior ao surgimento do EPD, </w:t>
      </w:r>
      <w:r w:rsidRPr="00CD2BEF">
        <w:rPr>
          <w:rFonts w:ascii="Times New Roman" w:hAnsi="Times New Roman" w:cs="Times New Roman"/>
          <w:sz w:val="24"/>
          <w:szCs w:val="24"/>
        </w:rPr>
        <w:t>sustentado pela representação, pela assistência e pela curatela.</w:t>
      </w:r>
    </w:p>
    <w:p w14:paraId="4FBD390C" w14:textId="7502E489" w:rsidR="00CD2BEF" w:rsidRPr="00CD2BEF" w:rsidRDefault="00CD2BEF" w:rsidP="00CD2BEF">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Pontue-se</w:t>
      </w:r>
      <w:r w:rsidRPr="00CD2BEF">
        <w:rPr>
          <w:rFonts w:ascii="Times New Roman" w:hAnsi="Times New Roman" w:cs="Times New Roman"/>
          <w:sz w:val="24"/>
          <w:szCs w:val="24"/>
        </w:rPr>
        <w:t xml:space="preserve"> que</w:t>
      </w:r>
      <w:r w:rsidR="00D70256">
        <w:rPr>
          <w:rFonts w:ascii="Times New Roman" w:hAnsi="Times New Roman" w:cs="Times New Roman"/>
          <w:sz w:val="24"/>
          <w:szCs w:val="24"/>
        </w:rPr>
        <w:t>,</w:t>
      </w:r>
      <w:r w:rsidRPr="00CD2BEF">
        <w:rPr>
          <w:rFonts w:ascii="Times New Roman" w:hAnsi="Times New Roman" w:cs="Times New Roman"/>
          <w:sz w:val="24"/>
          <w:szCs w:val="24"/>
        </w:rPr>
        <w:t xml:space="preserve"> </w:t>
      </w:r>
      <w:r>
        <w:rPr>
          <w:rFonts w:ascii="Times New Roman" w:hAnsi="Times New Roman" w:cs="Times New Roman"/>
          <w:sz w:val="24"/>
          <w:szCs w:val="24"/>
        </w:rPr>
        <w:t xml:space="preserve">em </w:t>
      </w:r>
      <w:r w:rsidRPr="00CD2BEF">
        <w:rPr>
          <w:rFonts w:ascii="Times New Roman" w:hAnsi="Times New Roman" w:cs="Times New Roman"/>
          <w:sz w:val="24"/>
          <w:szCs w:val="24"/>
        </w:rPr>
        <w:t xml:space="preserve">havendo falta de discernimento da pessoa, não é possível a opção pela tomada da decisão apoiada. Nesse sentido, </w:t>
      </w:r>
      <w:r>
        <w:rPr>
          <w:rFonts w:ascii="Times New Roman" w:hAnsi="Times New Roman" w:cs="Times New Roman"/>
          <w:sz w:val="24"/>
          <w:szCs w:val="24"/>
        </w:rPr>
        <w:t>por todos os julgados estaduais que assim concluem, merece destaque</w:t>
      </w:r>
      <w:r w:rsidRPr="00CD2BEF">
        <w:rPr>
          <w:rFonts w:ascii="Times New Roman" w:hAnsi="Times New Roman" w:cs="Times New Roman"/>
          <w:sz w:val="24"/>
          <w:szCs w:val="24"/>
        </w:rPr>
        <w:t xml:space="preserve"> </w:t>
      </w:r>
      <w:r>
        <w:rPr>
          <w:rFonts w:ascii="Times New Roman" w:hAnsi="Times New Roman" w:cs="Times New Roman"/>
          <w:sz w:val="24"/>
          <w:szCs w:val="24"/>
        </w:rPr>
        <w:t xml:space="preserve">acórdão </w:t>
      </w:r>
      <w:r w:rsidRPr="00CD2BEF">
        <w:rPr>
          <w:rFonts w:ascii="Times New Roman" w:hAnsi="Times New Roman" w:cs="Times New Roman"/>
          <w:sz w:val="24"/>
          <w:szCs w:val="24"/>
        </w:rPr>
        <w:t>do Tribunal do Paraná que afastou a sua possibilidade fática. Como const</w:t>
      </w:r>
      <w:r>
        <w:rPr>
          <w:rFonts w:ascii="Times New Roman" w:hAnsi="Times New Roman" w:cs="Times New Roman"/>
          <w:sz w:val="24"/>
          <w:szCs w:val="24"/>
        </w:rPr>
        <w:t>ou</w:t>
      </w:r>
      <w:r w:rsidRPr="00CD2BEF">
        <w:rPr>
          <w:rFonts w:ascii="Times New Roman" w:hAnsi="Times New Roman" w:cs="Times New Roman"/>
          <w:sz w:val="24"/>
          <w:szCs w:val="24"/>
        </w:rPr>
        <w:t xml:space="preserve"> de sua ementa, “tomada de decisão apoiada que só pode ser requerida por pessoa com plena capacidade e discernimento, porém vulnerável por alguma circunstância pessoal, física, psíquica ou intelectual. Agravada que sofre do mal de Alzheimer e não comprovou, ao menos neste momento, </w:t>
      </w:r>
      <w:r w:rsidRPr="00CD2BEF">
        <w:rPr>
          <w:rFonts w:ascii="Times New Roman" w:hAnsi="Times New Roman" w:cs="Times New Roman"/>
          <w:sz w:val="24"/>
          <w:szCs w:val="24"/>
        </w:rPr>
        <w:lastRenderedPageBreak/>
        <w:t xml:space="preserve">que a doença não afetou seu discernimento. Necessidade de investigação mais aprofundada pela equipe multidisciplinar e por médicos psiquiatras. Decisão nomeando dois apoiadores revogada” (TJPR, Agravo de Instrumento 1688539-5, 11.ª Câmara Cível, Curitiba, Rel. Des. Sigurd Roberto Bengtsson, j. 28.02.2018, </w:t>
      </w:r>
      <w:r w:rsidRPr="00BC6687">
        <w:rPr>
          <w:rFonts w:ascii="Times New Roman" w:hAnsi="Times New Roman" w:cs="Times New Roman"/>
          <w:i/>
          <w:iCs/>
          <w:sz w:val="24"/>
          <w:szCs w:val="24"/>
        </w:rPr>
        <w:t>DJPR</w:t>
      </w:r>
      <w:r w:rsidRPr="00CD2BEF">
        <w:rPr>
          <w:rFonts w:ascii="Times New Roman" w:hAnsi="Times New Roman" w:cs="Times New Roman"/>
          <w:sz w:val="24"/>
          <w:szCs w:val="24"/>
        </w:rPr>
        <w:t xml:space="preserve"> 15.03.2018, p. 118). </w:t>
      </w:r>
    </w:p>
    <w:p w14:paraId="29426085" w14:textId="795316A1" w:rsidR="00CD2BEF" w:rsidRDefault="00CD2BEF" w:rsidP="00CD2BEF">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Na mesma linha, merece ser citada ementa do Superior Tribunal de Justiça, de 2024, segundo a qual</w:t>
      </w:r>
      <w:r w:rsidR="00D70256">
        <w:rPr>
          <w:rFonts w:ascii="Times New Roman" w:hAnsi="Times New Roman" w:cs="Times New Roman"/>
          <w:sz w:val="24"/>
          <w:szCs w:val="24"/>
        </w:rPr>
        <w:t>,</w:t>
      </w:r>
      <w:r>
        <w:rPr>
          <w:rFonts w:ascii="Times New Roman" w:hAnsi="Times New Roman" w:cs="Times New Roman"/>
          <w:sz w:val="24"/>
          <w:szCs w:val="24"/>
        </w:rPr>
        <w:t xml:space="preserve"> </w:t>
      </w:r>
      <w:r w:rsidR="00D70256">
        <w:rPr>
          <w:rFonts w:ascii="Times New Roman" w:hAnsi="Times New Roman" w:cs="Times New Roman"/>
          <w:sz w:val="24"/>
          <w:szCs w:val="24"/>
        </w:rPr>
        <w:t>“</w:t>
      </w:r>
      <w:r>
        <w:rPr>
          <w:rFonts w:ascii="Times New Roman" w:hAnsi="Times New Roman" w:cs="Times New Roman"/>
          <w:sz w:val="24"/>
          <w:szCs w:val="24"/>
        </w:rPr>
        <w:t>c</w:t>
      </w:r>
      <w:r w:rsidRPr="00CD2BEF">
        <w:rPr>
          <w:rFonts w:ascii="Times New Roman" w:hAnsi="Times New Roman" w:cs="Times New Roman"/>
          <w:sz w:val="24"/>
          <w:szCs w:val="24"/>
        </w:rPr>
        <w:t>onquanto o acidente cardiovascular seja referido pela doutrina como uma possível situação em que a tomada de decisão apoiada seria preferível em relação à interdição, a medida poderá ser desaconselhável quando a debilidade da pessoa não for apenas motora, mas também mental, como na hipótese sob julgamento.</w:t>
      </w:r>
      <w:r>
        <w:rPr>
          <w:rFonts w:ascii="Times New Roman" w:hAnsi="Times New Roman" w:cs="Times New Roman"/>
          <w:sz w:val="24"/>
          <w:szCs w:val="24"/>
        </w:rPr>
        <w:t xml:space="preserve"> </w:t>
      </w:r>
      <w:r w:rsidRPr="00CD2BEF">
        <w:rPr>
          <w:rFonts w:ascii="Times New Roman" w:hAnsi="Times New Roman" w:cs="Times New Roman"/>
          <w:sz w:val="24"/>
          <w:szCs w:val="24"/>
        </w:rPr>
        <w:t>Inexistindo conduta desabonadora da curadora, não há razão para que seja ela substituída ou removida</w:t>
      </w:r>
      <w:r w:rsidR="00D70256">
        <w:rPr>
          <w:rFonts w:ascii="Times New Roman" w:hAnsi="Times New Roman" w:cs="Times New Roman"/>
          <w:sz w:val="24"/>
          <w:szCs w:val="24"/>
        </w:rPr>
        <w:t>”</w:t>
      </w:r>
      <w:r>
        <w:rPr>
          <w:rFonts w:ascii="Times New Roman" w:hAnsi="Times New Roman" w:cs="Times New Roman"/>
          <w:sz w:val="24"/>
          <w:szCs w:val="24"/>
        </w:rPr>
        <w:t xml:space="preserve"> </w:t>
      </w:r>
      <w:r w:rsidRPr="00CD2BEF">
        <w:rPr>
          <w:rFonts w:ascii="Times New Roman" w:hAnsi="Times New Roman" w:cs="Times New Roman"/>
          <w:sz w:val="24"/>
          <w:szCs w:val="24"/>
        </w:rPr>
        <w:t>(</w:t>
      </w:r>
      <w:r>
        <w:rPr>
          <w:rFonts w:ascii="Times New Roman" w:hAnsi="Times New Roman" w:cs="Times New Roman"/>
          <w:sz w:val="24"/>
          <w:szCs w:val="24"/>
        </w:rPr>
        <w:t xml:space="preserve">STJ, </w:t>
      </w:r>
      <w:r w:rsidRPr="00CD2BEF">
        <w:rPr>
          <w:rFonts w:ascii="Times New Roman" w:hAnsi="Times New Roman" w:cs="Times New Roman"/>
          <w:sz w:val="24"/>
          <w:szCs w:val="24"/>
        </w:rPr>
        <w:t xml:space="preserve">REsp 2.107.075/SP, relatora Ministra Nancy Andrighi, Terceira Turma, julgado em 27/8/2024, </w:t>
      </w:r>
      <w:r w:rsidRPr="00BC6687">
        <w:rPr>
          <w:rFonts w:ascii="Times New Roman" w:hAnsi="Times New Roman" w:cs="Times New Roman"/>
          <w:i/>
          <w:iCs/>
          <w:sz w:val="24"/>
          <w:szCs w:val="24"/>
        </w:rPr>
        <w:t>DJe</w:t>
      </w:r>
      <w:r w:rsidRPr="00CD2BEF">
        <w:rPr>
          <w:rFonts w:ascii="Times New Roman" w:hAnsi="Times New Roman" w:cs="Times New Roman"/>
          <w:sz w:val="24"/>
          <w:szCs w:val="24"/>
        </w:rPr>
        <w:t xml:space="preserve"> de 29/8/2024)</w:t>
      </w:r>
      <w:r w:rsidR="00D70256">
        <w:rPr>
          <w:rFonts w:ascii="Times New Roman" w:hAnsi="Times New Roman" w:cs="Times New Roman"/>
          <w:sz w:val="24"/>
          <w:szCs w:val="24"/>
        </w:rPr>
        <w:t>.</w:t>
      </w:r>
    </w:p>
    <w:p w14:paraId="727D9C04" w14:textId="77777777" w:rsidR="00CD2BEF" w:rsidRPr="00CD2BEF" w:rsidRDefault="00CD2BEF" w:rsidP="00CD2BEF">
      <w:pPr>
        <w:pStyle w:val="t"/>
        <w:spacing w:before="120" w:after="120" w:line="360" w:lineRule="auto"/>
        <w:ind w:firstLine="1701"/>
        <w:rPr>
          <w:rFonts w:ascii="Times New Roman" w:hAnsi="Times New Roman" w:cs="Times New Roman"/>
          <w:sz w:val="24"/>
          <w:szCs w:val="24"/>
        </w:rPr>
      </w:pPr>
      <w:r w:rsidRPr="00CD2BEF">
        <w:rPr>
          <w:rFonts w:ascii="Times New Roman" w:hAnsi="Times New Roman" w:cs="Times New Roman"/>
          <w:sz w:val="24"/>
          <w:szCs w:val="24"/>
        </w:rPr>
        <w:t>Na mesma linha</w:t>
      </w:r>
      <w:r w:rsidR="00CC5417">
        <w:rPr>
          <w:rFonts w:ascii="Times New Roman" w:hAnsi="Times New Roman" w:cs="Times New Roman"/>
          <w:sz w:val="24"/>
          <w:szCs w:val="24"/>
        </w:rPr>
        <w:t xml:space="preserve"> desses entendimentos jurisprudenciais, </w:t>
      </w:r>
      <w:r>
        <w:rPr>
          <w:rFonts w:ascii="Times New Roman" w:hAnsi="Times New Roman" w:cs="Times New Roman"/>
          <w:sz w:val="24"/>
          <w:szCs w:val="24"/>
        </w:rPr>
        <w:t xml:space="preserve">no âmbito da doutrina, cite-se o </w:t>
      </w:r>
      <w:r w:rsidRPr="00CD2BEF">
        <w:rPr>
          <w:rFonts w:ascii="Times New Roman" w:hAnsi="Times New Roman" w:cs="Times New Roman"/>
          <w:sz w:val="24"/>
          <w:szCs w:val="24"/>
        </w:rPr>
        <w:t xml:space="preserve">Enunciado n. 640, aprovado na </w:t>
      </w:r>
      <w:r w:rsidRPr="00CD2BEF">
        <w:rPr>
          <w:rFonts w:ascii="Times New Roman" w:hAnsi="Times New Roman" w:cs="Times New Roman"/>
          <w:i/>
          <w:sz w:val="24"/>
          <w:szCs w:val="24"/>
        </w:rPr>
        <w:t>VIII Jornada de Direito Civil,</w:t>
      </w:r>
      <w:r w:rsidRPr="00CD2BEF">
        <w:rPr>
          <w:rFonts w:ascii="Times New Roman" w:hAnsi="Times New Roman" w:cs="Times New Roman"/>
          <w:sz w:val="24"/>
          <w:szCs w:val="24"/>
        </w:rPr>
        <w:t xml:space="preserve"> de 2018: “a tomada de decisão apoiada não é cabível, se a condição da pessoa exigir aplicação da curatela”. A ementa doutrinária também traz em si a conclusão pela inviabilidade de cumulação da tomada de decisão apoiada e da curatela.</w:t>
      </w:r>
    </w:p>
    <w:p w14:paraId="57D72D27" w14:textId="77777777" w:rsidR="00CD2BEF" w:rsidRPr="00CD2BEF" w:rsidRDefault="00CD2BEF" w:rsidP="00CD2BEF">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Ainda no que diz respeito ao sistema hoje em vigor, n</w:t>
      </w:r>
      <w:r w:rsidRPr="00CD2BEF">
        <w:rPr>
          <w:rFonts w:ascii="Times New Roman" w:hAnsi="Times New Roman" w:cs="Times New Roman"/>
          <w:sz w:val="24"/>
          <w:szCs w:val="24"/>
        </w:rPr>
        <w:t>os termos do § 1.º do novo art. 1.783-A da codificação material, para formular pedido de tomada de decisão apoiada, a pessoa com deficiência e os apoiadores devem apresentar termo em que constem os limites do apoio a ser oferecido e os compromissos dos apoiadores. Desse termo devem constar, ainda, o prazo de vigência do acordo e o respeito à vontade, aos direitos e aos interesses da pessoa que devem apoiar.</w:t>
      </w:r>
    </w:p>
    <w:p w14:paraId="74EC19FD" w14:textId="7A12A9C2" w:rsidR="00CD2BEF" w:rsidRPr="00CD2BEF" w:rsidRDefault="00CD2BEF" w:rsidP="00CD2BEF">
      <w:pPr>
        <w:pStyle w:val="t"/>
        <w:spacing w:before="120" w:after="120" w:line="360" w:lineRule="auto"/>
        <w:ind w:firstLine="1701"/>
        <w:rPr>
          <w:rFonts w:ascii="Times New Roman" w:hAnsi="Times New Roman" w:cs="Times New Roman"/>
          <w:sz w:val="24"/>
          <w:szCs w:val="24"/>
        </w:rPr>
      </w:pPr>
      <w:r w:rsidRPr="00CD2BEF">
        <w:rPr>
          <w:rFonts w:ascii="Times New Roman" w:hAnsi="Times New Roman" w:cs="Times New Roman"/>
          <w:sz w:val="24"/>
          <w:szCs w:val="24"/>
        </w:rPr>
        <w:t>O pedido de tomada de decisão apoiada será requerido pela pessoa a ser apoiada, com indicação expressa das pessoas aptas a prest</w:t>
      </w:r>
      <w:r w:rsidR="00D70256">
        <w:rPr>
          <w:rFonts w:ascii="Times New Roman" w:hAnsi="Times New Roman" w:cs="Times New Roman"/>
          <w:sz w:val="24"/>
          <w:szCs w:val="24"/>
        </w:rPr>
        <w:t>á-lo</w:t>
      </w:r>
      <w:r w:rsidRPr="00CD2BEF">
        <w:rPr>
          <w:rFonts w:ascii="Times New Roman" w:hAnsi="Times New Roman" w:cs="Times New Roman"/>
          <w:sz w:val="24"/>
          <w:szCs w:val="24"/>
        </w:rPr>
        <w:t xml:space="preserve"> (art. 1.783-A, § 2.º, do CC/2002). Essa iniciativa não pode ser atribuída a outrem, havendo legitimidade exclusiva apenas da própria pessoa com deficiência, conforme consta do Enunciado n. 639, também da </w:t>
      </w:r>
      <w:r w:rsidRPr="00CD2BEF">
        <w:rPr>
          <w:rFonts w:ascii="Times New Roman" w:hAnsi="Times New Roman" w:cs="Times New Roman"/>
          <w:i/>
          <w:sz w:val="24"/>
          <w:szCs w:val="24"/>
        </w:rPr>
        <w:t>VIII Jornada de Direito Civil</w:t>
      </w:r>
      <w:r w:rsidRPr="00CD2BEF">
        <w:rPr>
          <w:rFonts w:ascii="Times New Roman" w:hAnsi="Times New Roman" w:cs="Times New Roman"/>
          <w:sz w:val="24"/>
          <w:szCs w:val="24"/>
        </w:rPr>
        <w:t>. Nos seus exatos termos, “a opção pela tomada de decisão apoiada é de legitimidade exclusiva da pessoa com deficiência”. A ementa</w:t>
      </w:r>
      <w:r>
        <w:rPr>
          <w:rFonts w:ascii="Times New Roman" w:hAnsi="Times New Roman" w:cs="Times New Roman"/>
          <w:sz w:val="24"/>
          <w:szCs w:val="24"/>
        </w:rPr>
        <w:t xml:space="preserve"> doutrinária</w:t>
      </w:r>
      <w:r w:rsidRPr="00CD2BEF">
        <w:rPr>
          <w:rFonts w:ascii="Times New Roman" w:hAnsi="Times New Roman" w:cs="Times New Roman"/>
          <w:sz w:val="24"/>
          <w:szCs w:val="24"/>
        </w:rPr>
        <w:t xml:space="preserve"> também admite que a pessoa que requer o apoio manifeste antecipadamente a sua vontade de que um ou ambos os apoiadores se tornem, em caso de curatela, seus curadores.</w:t>
      </w:r>
    </w:p>
    <w:p w14:paraId="20AE0389" w14:textId="5A593D59" w:rsidR="00CC5417" w:rsidRDefault="00CD2BEF" w:rsidP="00CD2BEF">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Como já ficou claro, há </w:t>
      </w:r>
      <w:r w:rsidRPr="00CD2BEF">
        <w:rPr>
          <w:rFonts w:ascii="Times New Roman" w:hAnsi="Times New Roman" w:cs="Times New Roman"/>
          <w:sz w:val="24"/>
          <w:szCs w:val="24"/>
        </w:rPr>
        <w:t xml:space="preserve">um procedimento judicial para tanto, </w:t>
      </w:r>
      <w:r w:rsidR="00CC5417">
        <w:rPr>
          <w:rFonts w:ascii="Times New Roman" w:hAnsi="Times New Roman" w:cs="Times New Roman"/>
          <w:sz w:val="24"/>
          <w:szCs w:val="24"/>
        </w:rPr>
        <w:t xml:space="preserve">sendo certo que </w:t>
      </w:r>
      <w:r w:rsidRPr="00CD2BEF">
        <w:rPr>
          <w:rFonts w:ascii="Times New Roman" w:hAnsi="Times New Roman" w:cs="Times New Roman"/>
          <w:sz w:val="24"/>
          <w:szCs w:val="24"/>
        </w:rPr>
        <w:t>o preceito seguinte determina que</w:t>
      </w:r>
      <w:r w:rsidR="00D70256">
        <w:rPr>
          <w:rFonts w:ascii="Times New Roman" w:hAnsi="Times New Roman" w:cs="Times New Roman"/>
          <w:sz w:val="24"/>
          <w:szCs w:val="24"/>
        </w:rPr>
        <w:t>,</w:t>
      </w:r>
      <w:r w:rsidRPr="00CD2BEF">
        <w:rPr>
          <w:rFonts w:ascii="Times New Roman" w:hAnsi="Times New Roman" w:cs="Times New Roman"/>
          <w:sz w:val="24"/>
          <w:szCs w:val="24"/>
        </w:rPr>
        <w:t xml:space="preserve"> antes de se pronunciar sobre o pedido de tomada de decisão apoiada, o juiz, assistido por equipe multidisciplinar e após oitiva do Ministério Público, ouvirá pessoalmente o requerente e as pessoas que lhe prestarão apoio (art. 1.783-A, § 3.º, do CC/2002). A decisão tomada por pessoa apoiada terá validade e efeitos sobre terceiros, sem restrições, desde que esteja inserida nos limites do apoio acordado (art. 1.783-A, § 4.º, do CC/2002). </w:t>
      </w:r>
    </w:p>
    <w:p w14:paraId="4ECA65BA" w14:textId="6B87A269" w:rsidR="00CD2BEF" w:rsidRPr="00CD2BEF" w:rsidRDefault="00CD2BEF" w:rsidP="00CD2BEF">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Nesse contexto, </w:t>
      </w:r>
      <w:r w:rsidRPr="00CD2BEF">
        <w:rPr>
          <w:rFonts w:ascii="Times New Roman" w:hAnsi="Times New Roman" w:cs="Times New Roman"/>
          <w:sz w:val="24"/>
          <w:szCs w:val="24"/>
        </w:rPr>
        <w:t xml:space="preserve">presente a categoria, </w:t>
      </w:r>
      <w:r>
        <w:rPr>
          <w:rFonts w:ascii="Times New Roman" w:hAnsi="Times New Roman" w:cs="Times New Roman"/>
          <w:sz w:val="24"/>
          <w:szCs w:val="24"/>
        </w:rPr>
        <w:t xml:space="preserve">não haverá qualquer debate </w:t>
      </w:r>
      <w:r w:rsidRPr="00CD2BEF">
        <w:rPr>
          <w:rFonts w:ascii="Times New Roman" w:hAnsi="Times New Roman" w:cs="Times New Roman"/>
          <w:sz w:val="24"/>
          <w:szCs w:val="24"/>
        </w:rPr>
        <w:t>a respeito da validade e eficácia dos atos praticados por incapazes, como vendas de imóveis, frente a terceiros de boa-fé.</w:t>
      </w:r>
      <w:r>
        <w:rPr>
          <w:rFonts w:ascii="Times New Roman" w:hAnsi="Times New Roman" w:cs="Times New Roman"/>
          <w:sz w:val="24"/>
          <w:szCs w:val="24"/>
        </w:rPr>
        <w:t xml:space="preserve"> Presente </w:t>
      </w:r>
      <w:r w:rsidRPr="00CD2BEF">
        <w:rPr>
          <w:rFonts w:ascii="Times New Roman" w:hAnsi="Times New Roman" w:cs="Times New Roman"/>
          <w:sz w:val="24"/>
          <w:szCs w:val="24"/>
        </w:rPr>
        <w:t>uma tomada de decisão apoiada, não se cogita</w:t>
      </w:r>
      <w:r>
        <w:rPr>
          <w:rFonts w:ascii="Times New Roman" w:hAnsi="Times New Roman" w:cs="Times New Roman"/>
          <w:sz w:val="24"/>
          <w:szCs w:val="24"/>
        </w:rPr>
        <w:t xml:space="preserve"> a</w:t>
      </w:r>
      <w:r w:rsidRPr="00CD2BEF">
        <w:rPr>
          <w:rFonts w:ascii="Times New Roman" w:hAnsi="Times New Roman" w:cs="Times New Roman"/>
          <w:sz w:val="24"/>
          <w:szCs w:val="24"/>
        </w:rPr>
        <w:t xml:space="preserve"> sua nulidade absoluta, nulidade relativa ou ineficácia, o que </w:t>
      </w:r>
      <w:r w:rsidR="00AB0E85">
        <w:rPr>
          <w:rFonts w:ascii="Times New Roman" w:hAnsi="Times New Roman" w:cs="Times New Roman"/>
          <w:sz w:val="24"/>
          <w:szCs w:val="24"/>
        </w:rPr>
        <w:t xml:space="preserve">veio </w:t>
      </w:r>
      <w:r w:rsidRPr="00CD2BEF">
        <w:rPr>
          <w:rFonts w:ascii="Times New Roman" w:hAnsi="Times New Roman" w:cs="Times New Roman"/>
          <w:sz w:val="24"/>
          <w:szCs w:val="24"/>
        </w:rPr>
        <w:t xml:space="preserve">em boa hora, </w:t>
      </w:r>
      <w:r w:rsidR="00AB0E85">
        <w:rPr>
          <w:rFonts w:ascii="Times New Roman" w:hAnsi="Times New Roman" w:cs="Times New Roman"/>
          <w:sz w:val="24"/>
          <w:szCs w:val="24"/>
        </w:rPr>
        <w:t>em prol da segurança jurídica.</w:t>
      </w:r>
      <w:r w:rsidR="00831927">
        <w:rPr>
          <w:rFonts w:ascii="Times New Roman" w:hAnsi="Times New Roman" w:cs="Times New Roman"/>
          <w:sz w:val="24"/>
          <w:szCs w:val="24"/>
        </w:rPr>
        <w:t xml:space="preserve"> </w:t>
      </w:r>
    </w:p>
    <w:p w14:paraId="45AD6AEF" w14:textId="77777777" w:rsidR="00CD2BEF" w:rsidRPr="00CD2BEF" w:rsidRDefault="00CD2BEF" w:rsidP="00CD2BEF">
      <w:pPr>
        <w:pStyle w:val="t"/>
        <w:spacing w:before="120" w:after="120" w:line="360" w:lineRule="auto"/>
        <w:ind w:firstLine="1701"/>
        <w:rPr>
          <w:rFonts w:ascii="Times New Roman" w:hAnsi="Times New Roman" w:cs="Times New Roman"/>
          <w:sz w:val="24"/>
          <w:szCs w:val="24"/>
        </w:rPr>
      </w:pPr>
      <w:r w:rsidRPr="00CD2BEF">
        <w:rPr>
          <w:rFonts w:ascii="Times New Roman" w:hAnsi="Times New Roman" w:cs="Times New Roman"/>
          <w:sz w:val="24"/>
          <w:szCs w:val="24"/>
        </w:rPr>
        <w:t>Em complemento, o terceiro com quem a pessoa apoiada mantenha rela</w:t>
      </w:r>
      <w:r w:rsidR="000F397F">
        <w:rPr>
          <w:rFonts w:ascii="Times New Roman" w:hAnsi="Times New Roman" w:cs="Times New Roman"/>
          <w:sz w:val="24"/>
          <w:szCs w:val="24"/>
        </w:rPr>
        <w:t>ç</w:t>
      </w:r>
      <w:r w:rsidRPr="00CD2BEF">
        <w:rPr>
          <w:rFonts w:ascii="Times New Roman" w:hAnsi="Times New Roman" w:cs="Times New Roman"/>
          <w:sz w:val="24"/>
          <w:szCs w:val="24"/>
        </w:rPr>
        <w:t>ão negocial pode solicitar que os apoiadores contra-assinem o contrato ou a</w:t>
      </w:r>
      <w:r w:rsidR="000F397F">
        <w:rPr>
          <w:rFonts w:ascii="Times New Roman" w:hAnsi="Times New Roman" w:cs="Times New Roman"/>
          <w:sz w:val="24"/>
          <w:szCs w:val="24"/>
        </w:rPr>
        <w:t>c</w:t>
      </w:r>
      <w:r w:rsidRPr="00CD2BEF">
        <w:rPr>
          <w:rFonts w:ascii="Times New Roman" w:hAnsi="Times New Roman" w:cs="Times New Roman"/>
          <w:sz w:val="24"/>
          <w:szCs w:val="24"/>
        </w:rPr>
        <w:t>ordo, especificando, por escrito, sua função em relação ao apoiado (art. 1.783-A, § 5.º, do CC/2002). Isso para que não pairem dúvidas sobre a idoneidade jurídica do ato praticado, o que tem relação direta com o princípio da boa-fé objetiva.</w:t>
      </w:r>
    </w:p>
    <w:p w14:paraId="28EC2EEA" w14:textId="77777777" w:rsidR="00CD2BEF" w:rsidRPr="00CD2BEF" w:rsidRDefault="00CD2BEF" w:rsidP="00CD2BEF">
      <w:pPr>
        <w:pStyle w:val="t"/>
        <w:spacing w:before="120" w:after="120" w:line="360" w:lineRule="auto"/>
        <w:ind w:firstLine="1701"/>
        <w:rPr>
          <w:rFonts w:ascii="Times New Roman" w:hAnsi="Times New Roman" w:cs="Times New Roman"/>
          <w:sz w:val="24"/>
          <w:szCs w:val="24"/>
        </w:rPr>
      </w:pPr>
      <w:r w:rsidRPr="00CD2BEF">
        <w:rPr>
          <w:rFonts w:ascii="Times New Roman" w:hAnsi="Times New Roman" w:cs="Times New Roman"/>
          <w:sz w:val="24"/>
          <w:szCs w:val="24"/>
        </w:rPr>
        <w:t>Entretanto, em caso de negócio jurídico que possa trazer risco ou prejuízo relevante a qualquer uma das partes, havendo divergência de opiniões entre a pessoa apoiada e um dos apoiadores, deverá o juiz, ouvido o Ministério Público, decidir sobre a questão (art. 1.783-A, § 6.º, do CC/2002). Eventualmente, poderá ele suprir a vontade de uma parte discordante.</w:t>
      </w:r>
    </w:p>
    <w:p w14:paraId="07D0838E" w14:textId="77777777" w:rsidR="00CD2BEF" w:rsidRPr="00CD2BEF" w:rsidRDefault="00CD2BEF" w:rsidP="00CD2BEF">
      <w:pPr>
        <w:pStyle w:val="t"/>
        <w:spacing w:before="120" w:after="120" w:line="360" w:lineRule="auto"/>
        <w:ind w:firstLine="1701"/>
        <w:rPr>
          <w:rFonts w:ascii="Times New Roman" w:hAnsi="Times New Roman" w:cs="Times New Roman"/>
          <w:sz w:val="24"/>
          <w:szCs w:val="24"/>
        </w:rPr>
      </w:pPr>
      <w:r w:rsidRPr="00CD2BEF">
        <w:rPr>
          <w:rFonts w:ascii="Times New Roman" w:hAnsi="Times New Roman" w:cs="Times New Roman"/>
          <w:sz w:val="24"/>
          <w:szCs w:val="24"/>
        </w:rPr>
        <w:t>Além disso, se o apoiador agir com negligência, exercer pressão indevida ou não adimplir as obrigações assumidas, poderá a pessoa apoiada ou qualquer pessoa apresentar denúncia ao Ministério Público ou ao juiz, especialmente com o intuito de evitar a prática de algum negócio jurídico que possa lhe trazer prejuízo (art. 1.783-A, § 7.º, do CC/2002). Se o ato for praticado, é possível cogitar a sua invalidade.</w:t>
      </w:r>
    </w:p>
    <w:p w14:paraId="65538911" w14:textId="77777777" w:rsidR="00CD2BEF" w:rsidRPr="00CD2BEF" w:rsidRDefault="00CD2BEF" w:rsidP="00CD2BEF">
      <w:pPr>
        <w:pStyle w:val="t"/>
        <w:spacing w:before="120" w:after="120" w:line="360" w:lineRule="auto"/>
        <w:ind w:firstLine="1701"/>
        <w:rPr>
          <w:rFonts w:ascii="Times New Roman" w:hAnsi="Times New Roman" w:cs="Times New Roman"/>
          <w:sz w:val="24"/>
          <w:szCs w:val="24"/>
        </w:rPr>
      </w:pPr>
      <w:r w:rsidRPr="00CD2BEF">
        <w:rPr>
          <w:rFonts w:ascii="Times New Roman" w:hAnsi="Times New Roman" w:cs="Times New Roman"/>
          <w:sz w:val="24"/>
          <w:szCs w:val="24"/>
        </w:rPr>
        <w:t xml:space="preserve">Se procedente a denúncia, o juiz destituirá o apoiador e nomeará, ouvida a pessoa apoiada e, se for de seu interesse, outra pessoa para prestação de apoio (art. 1.783-A, § 8.º, do CC/2002). A pessoa apoiada pode, a qualquer </w:t>
      </w:r>
      <w:r w:rsidRPr="00CD2BEF">
        <w:rPr>
          <w:rFonts w:ascii="Times New Roman" w:hAnsi="Times New Roman" w:cs="Times New Roman"/>
          <w:sz w:val="24"/>
          <w:szCs w:val="24"/>
        </w:rPr>
        <w:t>tempo, solicitar o término de acordo firmado em processo de tomada de decisão apoiada, inclusive para os fins de tomada de novas decisões, de acordo com a sua autonomia privada (art. 1.783-A, § 9.º, do CC/2002).</w:t>
      </w:r>
    </w:p>
    <w:p w14:paraId="50BE5101" w14:textId="77777777" w:rsidR="00CD2BEF" w:rsidRPr="00CD2BEF" w:rsidRDefault="00CD2BEF" w:rsidP="00CD2BEF">
      <w:pPr>
        <w:pStyle w:val="t"/>
        <w:spacing w:before="120" w:after="120" w:line="360" w:lineRule="auto"/>
        <w:ind w:firstLine="1701"/>
        <w:rPr>
          <w:rFonts w:ascii="Times New Roman" w:hAnsi="Times New Roman" w:cs="Times New Roman"/>
          <w:sz w:val="24"/>
          <w:szCs w:val="24"/>
        </w:rPr>
      </w:pPr>
      <w:r w:rsidRPr="00CD2BEF">
        <w:rPr>
          <w:rFonts w:ascii="Times New Roman" w:hAnsi="Times New Roman" w:cs="Times New Roman"/>
          <w:sz w:val="24"/>
          <w:szCs w:val="24"/>
        </w:rPr>
        <w:t>O apoiador pode solicitar ao juiz</w:t>
      </w:r>
      <w:r w:rsidR="00AB0E85">
        <w:rPr>
          <w:rFonts w:ascii="Times New Roman" w:hAnsi="Times New Roman" w:cs="Times New Roman"/>
          <w:sz w:val="24"/>
          <w:szCs w:val="24"/>
        </w:rPr>
        <w:t xml:space="preserve">, ainda, </w:t>
      </w:r>
      <w:r w:rsidRPr="00CD2BEF">
        <w:rPr>
          <w:rFonts w:ascii="Times New Roman" w:hAnsi="Times New Roman" w:cs="Times New Roman"/>
          <w:sz w:val="24"/>
          <w:szCs w:val="24"/>
        </w:rPr>
        <w:t xml:space="preserve">a exclusão de sua participação do processo de tomada de decisão apoiada, sendo seu desligamento condicionado à manifestação do juiz sobre a matéria (art. 1.783-A, § 10, do CC/2002). Por derradeiro, está previsto </w:t>
      </w:r>
      <w:r w:rsidR="00AB0E85">
        <w:rPr>
          <w:rFonts w:ascii="Times New Roman" w:hAnsi="Times New Roman" w:cs="Times New Roman"/>
          <w:sz w:val="24"/>
          <w:szCs w:val="24"/>
        </w:rPr>
        <w:t xml:space="preserve">na norma vigente </w:t>
      </w:r>
      <w:r w:rsidRPr="00CD2BEF">
        <w:rPr>
          <w:rFonts w:ascii="Times New Roman" w:hAnsi="Times New Roman" w:cs="Times New Roman"/>
          <w:sz w:val="24"/>
          <w:szCs w:val="24"/>
        </w:rPr>
        <w:t>que se aplicam à tomada de decisão apoiada, no que couber, as disposições referentes à prestação de contas na curatela (art. 1.783-A, § 11, do CC/2002).</w:t>
      </w:r>
    </w:p>
    <w:p w14:paraId="3036688F" w14:textId="77777777" w:rsidR="00CD2BEF" w:rsidRPr="00CD2BEF" w:rsidRDefault="000F397F" w:rsidP="00CD2BEF">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Como se </w:t>
      </w:r>
      <w:r w:rsidR="00CC5417">
        <w:rPr>
          <w:rFonts w:ascii="Times New Roman" w:hAnsi="Times New Roman" w:cs="Times New Roman"/>
          <w:sz w:val="24"/>
          <w:szCs w:val="24"/>
        </w:rPr>
        <w:t>observa</w:t>
      </w:r>
      <w:r>
        <w:rPr>
          <w:rFonts w:ascii="Times New Roman" w:hAnsi="Times New Roman" w:cs="Times New Roman"/>
          <w:sz w:val="24"/>
          <w:szCs w:val="24"/>
        </w:rPr>
        <w:t>, a</w:t>
      </w:r>
      <w:r w:rsidR="00CD2BEF" w:rsidRPr="00CD2BEF">
        <w:rPr>
          <w:rFonts w:ascii="Times New Roman" w:hAnsi="Times New Roman" w:cs="Times New Roman"/>
          <w:sz w:val="24"/>
          <w:szCs w:val="24"/>
        </w:rPr>
        <w:t xml:space="preserve"> norma</w:t>
      </w:r>
      <w:r>
        <w:rPr>
          <w:rFonts w:ascii="Times New Roman" w:hAnsi="Times New Roman" w:cs="Times New Roman"/>
          <w:sz w:val="24"/>
          <w:szCs w:val="24"/>
        </w:rPr>
        <w:t>tização vigente</w:t>
      </w:r>
      <w:r w:rsidR="00CD2BEF" w:rsidRPr="00CD2BEF">
        <w:rPr>
          <w:rFonts w:ascii="Times New Roman" w:hAnsi="Times New Roman" w:cs="Times New Roman"/>
          <w:sz w:val="24"/>
          <w:szCs w:val="24"/>
        </w:rPr>
        <w:t xml:space="preserve"> é cheia de detalhes e desperta muitas dúvidas práticas nos aplicadores do Direito, notadamente quanto à sua efetividade. Como há um processo judicial de nomeação de apoiadores, com burocracias e entraves, fica em xeque a possibilidade fática de uma pessoa com deficiência percorrer tal caminho, havendo outros disponíveis, como uma procuração firmada em Cartório ou mesmo por instrumento particular. Assim, até o presente momento, a categoria parece ser de pouca </w:t>
      </w:r>
      <w:r>
        <w:rPr>
          <w:rFonts w:ascii="Times New Roman" w:hAnsi="Times New Roman" w:cs="Times New Roman"/>
          <w:sz w:val="24"/>
          <w:szCs w:val="24"/>
        </w:rPr>
        <w:t xml:space="preserve">ou reduzida </w:t>
      </w:r>
      <w:r w:rsidR="00CD2BEF" w:rsidRPr="00CD2BEF">
        <w:rPr>
          <w:rFonts w:ascii="Times New Roman" w:hAnsi="Times New Roman" w:cs="Times New Roman"/>
          <w:sz w:val="24"/>
          <w:szCs w:val="24"/>
        </w:rPr>
        <w:t>utilidade prática</w:t>
      </w:r>
      <w:r>
        <w:rPr>
          <w:rFonts w:ascii="Times New Roman" w:hAnsi="Times New Roman" w:cs="Times New Roman"/>
          <w:sz w:val="24"/>
          <w:szCs w:val="24"/>
        </w:rPr>
        <w:t>, pelo menos do que se esperava</w:t>
      </w:r>
      <w:r w:rsidR="00CD2BEF" w:rsidRPr="00CD2BEF">
        <w:rPr>
          <w:rFonts w:ascii="Times New Roman" w:hAnsi="Times New Roman" w:cs="Times New Roman"/>
          <w:sz w:val="24"/>
          <w:szCs w:val="24"/>
        </w:rPr>
        <w:t>.</w:t>
      </w:r>
      <w:r>
        <w:rPr>
          <w:rFonts w:ascii="Times New Roman" w:hAnsi="Times New Roman" w:cs="Times New Roman"/>
          <w:sz w:val="24"/>
          <w:szCs w:val="24"/>
        </w:rPr>
        <w:t xml:space="preserve"> </w:t>
      </w:r>
      <w:r w:rsidR="00CD2BEF" w:rsidRPr="00CD2BEF">
        <w:rPr>
          <w:rFonts w:ascii="Times New Roman" w:hAnsi="Times New Roman" w:cs="Times New Roman"/>
          <w:sz w:val="24"/>
          <w:szCs w:val="24"/>
        </w:rPr>
        <w:t xml:space="preserve">Justamente por isso, a Comissão de Juristas encarregada da Reforma do Código Civil sugere reparos no instituto, </w:t>
      </w:r>
      <w:r w:rsidR="00CC5417">
        <w:rPr>
          <w:rFonts w:ascii="Times New Roman" w:hAnsi="Times New Roman" w:cs="Times New Roman"/>
          <w:sz w:val="24"/>
          <w:szCs w:val="24"/>
        </w:rPr>
        <w:t xml:space="preserve">sendo a principal proposição a sua </w:t>
      </w:r>
      <w:r w:rsidR="00CD2BEF" w:rsidRPr="000F397F">
        <w:rPr>
          <w:rFonts w:ascii="Times New Roman" w:hAnsi="Times New Roman" w:cs="Times New Roman"/>
          <w:i/>
          <w:sz w:val="24"/>
          <w:szCs w:val="24"/>
        </w:rPr>
        <w:t>desjudiciali</w:t>
      </w:r>
      <w:r w:rsidR="00CC5417">
        <w:rPr>
          <w:rFonts w:ascii="Times New Roman" w:hAnsi="Times New Roman" w:cs="Times New Roman"/>
          <w:i/>
          <w:sz w:val="24"/>
          <w:szCs w:val="24"/>
        </w:rPr>
        <w:t>zação.</w:t>
      </w:r>
      <w:r w:rsidR="00CD2BEF" w:rsidRPr="00CD2BEF">
        <w:rPr>
          <w:rFonts w:ascii="Times New Roman" w:hAnsi="Times New Roman" w:cs="Times New Roman"/>
          <w:sz w:val="24"/>
          <w:szCs w:val="24"/>
        </w:rPr>
        <w:t xml:space="preserve"> </w:t>
      </w:r>
    </w:p>
    <w:p w14:paraId="3255FD95" w14:textId="4D6E89AF" w:rsidR="000F397F" w:rsidRDefault="00CD2BEF" w:rsidP="00CD2BEF">
      <w:pPr>
        <w:pStyle w:val="t"/>
        <w:spacing w:before="120" w:after="120" w:line="360" w:lineRule="auto"/>
        <w:ind w:firstLine="1701"/>
        <w:rPr>
          <w:rFonts w:ascii="Times New Roman" w:hAnsi="Times New Roman" w:cs="Times New Roman"/>
          <w:sz w:val="24"/>
          <w:szCs w:val="24"/>
        </w:rPr>
      </w:pPr>
      <w:r w:rsidRPr="00CD2BEF">
        <w:rPr>
          <w:rFonts w:ascii="Times New Roman" w:hAnsi="Times New Roman" w:cs="Times New Roman"/>
          <w:sz w:val="24"/>
          <w:szCs w:val="24"/>
        </w:rPr>
        <w:t xml:space="preserve">Nos debates ocorridos </w:t>
      </w:r>
      <w:r w:rsidR="000F397F">
        <w:rPr>
          <w:rFonts w:ascii="Times New Roman" w:hAnsi="Times New Roman" w:cs="Times New Roman"/>
          <w:sz w:val="24"/>
          <w:szCs w:val="24"/>
        </w:rPr>
        <w:t>no âmbito</w:t>
      </w:r>
      <w:r w:rsidRPr="00CD2BEF">
        <w:rPr>
          <w:rFonts w:ascii="Times New Roman" w:hAnsi="Times New Roman" w:cs="Times New Roman"/>
          <w:sz w:val="24"/>
          <w:szCs w:val="24"/>
        </w:rPr>
        <w:t xml:space="preserve"> </w:t>
      </w:r>
      <w:r w:rsidR="00C45AC9">
        <w:rPr>
          <w:rFonts w:ascii="Times New Roman" w:hAnsi="Times New Roman" w:cs="Times New Roman"/>
          <w:sz w:val="24"/>
          <w:szCs w:val="24"/>
        </w:rPr>
        <w:t xml:space="preserve">da </w:t>
      </w:r>
      <w:r w:rsidRPr="00CD2BEF">
        <w:rPr>
          <w:rFonts w:ascii="Times New Roman" w:hAnsi="Times New Roman" w:cs="Times New Roman"/>
          <w:sz w:val="24"/>
          <w:szCs w:val="24"/>
        </w:rPr>
        <w:t>citada Comissão, sempre se afirmou a necessidade de</w:t>
      </w:r>
      <w:r w:rsidR="00CC5417">
        <w:rPr>
          <w:rFonts w:ascii="Times New Roman" w:hAnsi="Times New Roman" w:cs="Times New Roman"/>
          <w:sz w:val="24"/>
          <w:szCs w:val="24"/>
        </w:rPr>
        <w:t>ssa</w:t>
      </w:r>
      <w:r w:rsidRPr="00CD2BEF">
        <w:rPr>
          <w:rFonts w:ascii="Times New Roman" w:hAnsi="Times New Roman" w:cs="Times New Roman"/>
          <w:sz w:val="24"/>
          <w:szCs w:val="24"/>
        </w:rPr>
        <w:t xml:space="preserve"> extrajudicialização, para que passe a ser requerida também perante o oficial do Cartório de Registro Civil das Pessoas Naturais, que receberá mais uma atribuição. </w:t>
      </w:r>
      <w:r w:rsidR="000F397F">
        <w:rPr>
          <w:rFonts w:ascii="Times New Roman" w:hAnsi="Times New Roman" w:cs="Times New Roman"/>
          <w:sz w:val="24"/>
          <w:szCs w:val="24"/>
        </w:rPr>
        <w:t>Vejamos, nesse contexto, as</w:t>
      </w:r>
      <w:r w:rsidRPr="00CD2BEF">
        <w:rPr>
          <w:rFonts w:ascii="Times New Roman" w:hAnsi="Times New Roman" w:cs="Times New Roman"/>
          <w:sz w:val="24"/>
          <w:szCs w:val="24"/>
        </w:rPr>
        <w:t xml:space="preserve"> justificativas </w:t>
      </w:r>
      <w:r w:rsidR="000F397F">
        <w:rPr>
          <w:rFonts w:ascii="Times New Roman" w:hAnsi="Times New Roman" w:cs="Times New Roman"/>
          <w:sz w:val="24"/>
          <w:szCs w:val="24"/>
        </w:rPr>
        <w:t xml:space="preserve">apresentadas pela </w:t>
      </w:r>
      <w:r w:rsidRPr="00CD2BEF">
        <w:rPr>
          <w:rFonts w:ascii="Times New Roman" w:hAnsi="Times New Roman" w:cs="Times New Roman"/>
          <w:sz w:val="24"/>
          <w:szCs w:val="24"/>
        </w:rPr>
        <w:t>Subcomissão de Direito de Família</w:t>
      </w:r>
      <w:r w:rsidR="000F397F">
        <w:rPr>
          <w:rFonts w:ascii="Times New Roman" w:hAnsi="Times New Roman" w:cs="Times New Roman"/>
          <w:sz w:val="24"/>
          <w:szCs w:val="24"/>
        </w:rPr>
        <w:t xml:space="preserve"> </w:t>
      </w:r>
      <w:r w:rsidR="00C45AC9">
        <w:rPr>
          <w:rFonts w:ascii="Times New Roman" w:hAnsi="Times New Roman" w:cs="Times New Roman"/>
          <w:sz w:val="24"/>
          <w:szCs w:val="24"/>
        </w:rPr>
        <w:t xml:space="preserve">– </w:t>
      </w:r>
      <w:r w:rsidR="000F397F">
        <w:rPr>
          <w:rFonts w:ascii="Times New Roman" w:hAnsi="Times New Roman" w:cs="Times New Roman"/>
          <w:sz w:val="24"/>
          <w:szCs w:val="24"/>
        </w:rPr>
        <w:t>formada pelos Professores Pablo Stolze Gagliano e Rolf Madaleno, pela Desembargadora Maria Berenice Dias e pelo Ministro do STJ Marco Buzzi</w:t>
      </w:r>
      <w:r w:rsidR="00CC5417">
        <w:rPr>
          <w:rFonts w:ascii="Times New Roman" w:hAnsi="Times New Roman" w:cs="Times New Roman"/>
          <w:sz w:val="24"/>
          <w:szCs w:val="24"/>
        </w:rPr>
        <w:t xml:space="preserve">: </w:t>
      </w:r>
    </w:p>
    <w:p w14:paraId="27EE097C" w14:textId="77777777" w:rsidR="000F397F" w:rsidRPr="000F397F" w:rsidRDefault="00CD2BEF" w:rsidP="000F397F">
      <w:pPr>
        <w:pStyle w:val="t"/>
        <w:spacing w:before="120" w:after="120" w:line="360" w:lineRule="auto"/>
        <w:ind w:left="567" w:firstLine="0"/>
        <w:rPr>
          <w:rFonts w:ascii="Times New Roman" w:hAnsi="Times New Roman" w:cs="Times New Roman"/>
          <w:sz w:val="22"/>
          <w:szCs w:val="22"/>
        </w:rPr>
      </w:pPr>
      <w:r w:rsidRPr="000F397F">
        <w:rPr>
          <w:rFonts w:ascii="Times New Roman" w:hAnsi="Times New Roman" w:cs="Times New Roman"/>
          <w:sz w:val="22"/>
          <w:szCs w:val="22"/>
        </w:rPr>
        <w:t>“</w:t>
      </w:r>
      <w:r w:rsidR="000F397F" w:rsidRPr="000F397F">
        <w:rPr>
          <w:rFonts w:ascii="Times New Roman" w:hAnsi="Times New Roman" w:cs="Times New Roman"/>
          <w:sz w:val="22"/>
          <w:szCs w:val="22"/>
        </w:rPr>
        <w:t>E</w:t>
      </w:r>
      <w:r w:rsidRPr="000F397F">
        <w:rPr>
          <w:rFonts w:ascii="Times New Roman" w:hAnsi="Times New Roman" w:cs="Times New Roman"/>
          <w:sz w:val="22"/>
          <w:szCs w:val="22"/>
        </w:rPr>
        <w:t xml:space="preserve">mbora se cuide de um procedimento de jurisdição voluntária, observe-se que há forte burocracia para sua homologação, pois está prevista a participação do Ministério Público, de equipe interdisciplinar, oitiva do interessado e dos apoiadores por ele indicados etc. Bem por esse motivo, não se tem verificado maior repercussão prática do instituto, que, nos moldes vigentes, tem sido muito pouco utilizado, gerando críticas e sugestões da doutrina especializada e de parte da sociedade. Entre estas sugestões, recebida inclusive pela Comissão de Reforma do Código Civil, está a possibilidade de o ato de tomada de decisão apoiada ser realizado na via extrajudicial, mediante registro direto no Registro Civil. </w:t>
      </w:r>
    </w:p>
    <w:p w14:paraId="71EE910B" w14:textId="77777777" w:rsidR="00CC5417" w:rsidRDefault="00CC5417" w:rsidP="000F397F">
      <w:pPr>
        <w:pStyle w:val="t"/>
        <w:spacing w:before="120" w:after="120" w:line="360" w:lineRule="auto"/>
        <w:ind w:left="567" w:firstLine="0"/>
        <w:rPr>
          <w:rFonts w:ascii="Times New Roman" w:hAnsi="Times New Roman" w:cs="Times New Roman"/>
          <w:sz w:val="22"/>
          <w:szCs w:val="22"/>
        </w:rPr>
      </w:pPr>
      <w:r>
        <w:rPr>
          <w:rFonts w:ascii="Times New Roman" w:hAnsi="Times New Roman" w:cs="Times New Roman"/>
          <w:sz w:val="22"/>
          <w:szCs w:val="22"/>
        </w:rPr>
        <w:t xml:space="preserve">(...). </w:t>
      </w:r>
    </w:p>
    <w:p w14:paraId="683F3945" w14:textId="77777777" w:rsidR="00CD2BEF" w:rsidRPr="000F397F" w:rsidRDefault="000F397F" w:rsidP="000F397F">
      <w:pPr>
        <w:pStyle w:val="t"/>
        <w:spacing w:before="120" w:after="120" w:line="360" w:lineRule="auto"/>
        <w:ind w:left="567" w:firstLine="0"/>
        <w:rPr>
          <w:rFonts w:ascii="Times New Roman" w:hAnsi="Times New Roman" w:cs="Times New Roman"/>
          <w:sz w:val="22"/>
          <w:szCs w:val="22"/>
        </w:rPr>
      </w:pPr>
      <w:r w:rsidRPr="000F397F">
        <w:rPr>
          <w:rFonts w:ascii="Times New Roman" w:hAnsi="Times New Roman" w:cs="Times New Roman"/>
          <w:sz w:val="22"/>
          <w:szCs w:val="22"/>
        </w:rPr>
        <w:t>A</w:t>
      </w:r>
      <w:r w:rsidR="00CD2BEF" w:rsidRPr="000F397F">
        <w:rPr>
          <w:rFonts w:ascii="Times New Roman" w:hAnsi="Times New Roman" w:cs="Times New Roman"/>
          <w:sz w:val="22"/>
          <w:szCs w:val="22"/>
        </w:rPr>
        <w:t xml:space="preserve"> boa-fé deve ser presumida, daí por que não se pode ter o preconceito de que os apoiadores terão sempre a predisposição de aproveitar-se da pessoa com deficiência, o que justificaria a impreterível intervenção judicial para homologação do ato de apoiamento. Por outro lado, como dito, há tendência de desjudicialização de vários institutos jurídicos, notadamente no Direito de Família, razão pela qual a consagração da tomada de decisão apoiada, no campo extrajudicial, atende à necessidade da sociedade moderna de garantir maior liberalidade aos sujeitos de direito e de simplificar os atos e negócios jurídicos”. </w:t>
      </w:r>
    </w:p>
    <w:p w14:paraId="5C850A05" w14:textId="34984541" w:rsidR="00CD2BEF" w:rsidRPr="00CD2BEF" w:rsidRDefault="00CD2BEF" w:rsidP="00CD2BEF">
      <w:pPr>
        <w:pStyle w:val="t"/>
        <w:spacing w:before="120" w:after="120" w:line="360" w:lineRule="auto"/>
        <w:ind w:firstLine="1701"/>
        <w:rPr>
          <w:rFonts w:ascii="Times New Roman" w:hAnsi="Times New Roman" w:cs="Times New Roman"/>
          <w:sz w:val="24"/>
          <w:szCs w:val="24"/>
        </w:rPr>
      </w:pPr>
      <w:r w:rsidRPr="00CD2BEF">
        <w:rPr>
          <w:rFonts w:ascii="Times New Roman" w:hAnsi="Times New Roman" w:cs="Times New Roman"/>
          <w:sz w:val="24"/>
          <w:szCs w:val="24"/>
        </w:rPr>
        <w:t xml:space="preserve">Ainda segundo eles, a tomada de decisão </w:t>
      </w:r>
      <w:r w:rsidR="00BC6687">
        <w:rPr>
          <w:rFonts w:ascii="Times New Roman" w:hAnsi="Times New Roman" w:cs="Times New Roman"/>
          <w:sz w:val="24"/>
          <w:szCs w:val="24"/>
        </w:rPr>
        <w:t xml:space="preserve">apoiada </w:t>
      </w:r>
      <w:r w:rsidRPr="00CD2BEF">
        <w:rPr>
          <w:rFonts w:ascii="Times New Roman" w:hAnsi="Times New Roman" w:cs="Times New Roman"/>
          <w:sz w:val="24"/>
          <w:szCs w:val="24"/>
        </w:rPr>
        <w:t xml:space="preserve">extrajudicial teria os seguintes moldes, conforme as suas propostas iniciais: “a) registro do ato de apoiamento perante o Cartório de Registro Civil – uma vez que diz com o estado da pessoa, após parecer favorável do Ministério Público; b) manutenção da possibilidade de a TDA ocorrer no âmbito judicial, a critério do interessado em obter o ato de apoiamento; ou, ainda, nos casos em que o Registrador se deparar com dúvida quanto à livre vontade do apoiado ou não houver aprovação do Ministério Público, hipótese na qual remeterá o pedido ao juízo competente para análise”. Também foi sugerida a possibilidade de indicação de um ou mais apoiadores, “e, por fim, facilita-se o meio de encerramento da TDA, autorizando que, tanto o apoiado como o apoiador ou apoiadores promovam-na mediante simples requerimento ao Cartório de Registro Civil de Pessoas Naturais, preservados, claro, os efeitos jurídicos já produzidos”. </w:t>
      </w:r>
    </w:p>
    <w:p w14:paraId="76DE489D" w14:textId="5C0A1F54" w:rsidR="00CD2BEF" w:rsidRPr="00CD2BEF" w:rsidRDefault="00CD2BEF" w:rsidP="00CD2BEF">
      <w:pPr>
        <w:pStyle w:val="t"/>
        <w:spacing w:before="120" w:after="120" w:line="360" w:lineRule="auto"/>
        <w:ind w:firstLine="1701"/>
        <w:rPr>
          <w:rFonts w:ascii="Times New Roman" w:hAnsi="Times New Roman" w:cs="Times New Roman"/>
          <w:sz w:val="24"/>
          <w:szCs w:val="24"/>
        </w:rPr>
      </w:pPr>
      <w:r w:rsidRPr="00CD2BEF">
        <w:rPr>
          <w:rFonts w:ascii="Times New Roman" w:hAnsi="Times New Roman" w:cs="Times New Roman"/>
          <w:sz w:val="24"/>
          <w:szCs w:val="24"/>
        </w:rPr>
        <w:t xml:space="preserve">Todas essas proposições foram debatidas </w:t>
      </w:r>
      <w:r w:rsidR="00CC5417">
        <w:rPr>
          <w:rFonts w:ascii="Times New Roman" w:hAnsi="Times New Roman" w:cs="Times New Roman"/>
          <w:sz w:val="24"/>
          <w:szCs w:val="24"/>
        </w:rPr>
        <w:t>profundamente</w:t>
      </w:r>
      <w:r w:rsidRPr="00CD2BEF">
        <w:rPr>
          <w:rFonts w:ascii="Times New Roman" w:hAnsi="Times New Roman" w:cs="Times New Roman"/>
          <w:sz w:val="24"/>
          <w:szCs w:val="24"/>
        </w:rPr>
        <w:t xml:space="preserve"> com os Relatores-Gerais </w:t>
      </w:r>
      <w:r w:rsidR="000F397F">
        <w:rPr>
          <w:rFonts w:ascii="Times New Roman" w:hAnsi="Times New Roman" w:cs="Times New Roman"/>
          <w:sz w:val="24"/>
          <w:szCs w:val="24"/>
        </w:rPr>
        <w:t>e os demais membros da Comissão de Juristas</w:t>
      </w:r>
      <w:r w:rsidR="00C45AC9">
        <w:rPr>
          <w:rFonts w:ascii="Times New Roman" w:hAnsi="Times New Roman" w:cs="Times New Roman"/>
          <w:sz w:val="24"/>
          <w:szCs w:val="24"/>
        </w:rPr>
        <w:t>,</w:t>
      </w:r>
      <w:r w:rsidR="00CC5417">
        <w:rPr>
          <w:rFonts w:ascii="Times New Roman" w:hAnsi="Times New Roman" w:cs="Times New Roman"/>
          <w:sz w:val="24"/>
          <w:szCs w:val="24"/>
        </w:rPr>
        <w:t xml:space="preserve"> e</w:t>
      </w:r>
      <w:r w:rsidRPr="00CD2BEF">
        <w:rPr>
          <w:rFonts w:ascii="Times New Roman" w:hAnsi="Times New Roman" w:cs="Times New Roman"/>
          <w:sz w:val="24"/>
          <w:szCs w:val="24"/>
        </w:rPr>
        <w:t>, após aprimoramentos e mudanças nos textos, sugere</w:t>
      </w:r>
      <w:r w:rsidR="000F397F">
        <w:rPr>
          <w:rFonts w:ascii="Times New Roman" w:hAnsi="Times New Roman" w:cs="Times New Roman"/>
          <w:sz w:val="24"/>
          <w:szCs w:val="24"/>
        </w:rPr>
        <w:t>-se</w:t>
      </w:r>
      <w:r w:rsidRPr="00CD2BEF">
        <w:rPr>
          <w:rFonts w:ascii="Times New Roman" w:hAnsi="Times New Roman" w:cs="Times New Roman"/>
          <w:sz w:val="24"/>
          <w:szCs w:val="24"/>
        </w:rPr>
        <w:t xml:space="preserve"> que a tomada de decisão apoiada, judicial ou extrajudicial, passe a ser tratada em cinco comandos, de forma mais clara, objetiva e didática. </w:t>
      </w:r>
    </w:p>
    <w:p w14:paraId="4894B754" w14:textId="396D87AC" w:rsidR="00CD2BEF" w:rsidRPr="00CD2BEF" w:rsidRDefault="00CD2BEF" w:rsidP="00CD2BEF">
      <w:pPr>
        <w:pStyle w:val="t"/>
        <w:spacing w:before="120" w:after="120" w:line="360" w:lineRule="auto"/>
        <w:ind w:firstLine="1701"/>
        <w:rPr>
          <w:rFonts w:ascii="Times New Roman" w:hAnsi="Times New Roman" w:cs="Times New Roman"/>
          <w:sz w:val="24"/>
          <w:szCs w:val="24"/>
        </w:rPr>
      </w:pPr>
      <w:r w:rsidRPr="00CD2BEF">
        <w:rPr>
          <w:rFonts w:ascii="Times New Roman" w:hAnsi="Times New Roman" w:cs="Times New Roman"/>
          <w:sz w:val="24"/>
          <w:szCs w:val="24"/>
        </w:rPr>
        <w:t>Nesse sentido, em termos gerais, o novo art. 1.783-A</w:t>
      </w:r>
      <w:r w:rsidR="00CC5417">
        <w:rPr>
          <w:rFonts w:ascii="Times New Roman" w:hAnsi="Times New Roman" w:cs="Times New Roman"/>
          <w:sz w:val="24"/>
          <w:szCs w:val="24"/>
        </w:rPr>
        <w:t xml:space="preserve"> do Código Civil</w:t>
      </w:r>
      <w:r w:rsidRPr="00CD2BEF">
        <w:rPr>
          <w:rFonts w:ascii="Times New Roman" w:hAnsi="Times New Roman" w:cs="Times New Roman"/>
          <w:sz w:val="24"/>
          <w:szCs w:val="24"/>
        </w:rPr>
        <w:t xml:space="preserve"> enunciará em seu </w:t>
      </w:r>
      <w:r w:rsidRPr="000F397F">
        <w:rPr>
          <w:rFonts w:ascii="Times New Roman" w:hAnsi="Times New Roman" w:cs="Times New Roman"/>
          <w:i/>
          <w:sz w:val="24"/>
          <w:szCs w:val="24"/>
        </w:rPr>
        <w:t>caput</w:t>
      </w:r>
      <w:r w:rsidRPr="00CD2BEF">
        <w:rPr>
          <w:rFonts w:ascii="Times New Roman" w:hAnsi="Times New Roman" w:cs="Times New Roman"/>
          <w:sz w:val="24"/>
          <w:szCs w:val="24"/>
        </w:rPr>
        <w:t xml:space="preserve"> que “a tomada de decisão apoiada é o procedimento, judicial ou extrajudicial, pelo qual a pessoa capaz, mas deficiente ou com alguma limitação física, sensorial ou psíquica, bem como as declaradas relativamente incapazes, na forma do inc. II do art. 4.º, que tenham dificuldades para a prática pessoal de atos da vida civil, elegem uma ou mais pessoas idôneas com as quais mantenham vínculos e que gozem de sua confiança para prestar-lhes apoio na tomada de decisões sobre atos da vida civil”. Vale lembrar que pelo </w:t>
      </w:r>
      <w:r w:rsidR="00CC5417">
        <w:rPr>
          <w:rFonts w:ascii="Times New Roman" w:hAnsi="Times New Roman" w:cs="Times New Roman"/>
          <w:sz w:val="24"/>
          <w:szCs w:val="24"/>
        </w:rPr>
        <w:t>projeto</w:t>
      </w:r>
      <w:r w:rsidRPr="00CD2BEF">
        <w:rPr>
          <w:rFonts w:ascii="Times New Roman" w:hAnsi="Times New Roman" w:cs="Times New Roman"/>
          <w:sz w:val="24"/>
          <w:szCs w:val="24"/>
        </w:rPr>
        <w:t>, como relativamente incapazes, o art. 4</w:t>
      </w:r>
      <w:r w:rsidRPr="00CD2BEF">
        <w:rPr>
          <w:rFonts w:ascii="Times New Roman" w:hAnsi="Times New Roman" w:cs="Times New Roman"/>
          <w:sz w:val="24"/>
          <w:szCs w:val="24"/>
        </w:rPr>
        <w:t>.º, inc. II</w:t>
      </w:r>
      <w:r w:rsidR="00C45AC9">
        <w:rPr>
          <w:rFonts w:ascii="Times New Roman" w:hAnsi="Times New Roman" w:cs="Times New Roman"/>
          <w:sz w:val="24"/>
          <w:szCs w:val="24"/>
        </w:rPr>
        <w:t>,</w:t>
      </w:r>
      <w:r w:rsidR="000F397F">
        <w:rPr>
          <w:rFonts w:ascii="Times New Roman" w:hAnsi="Times New Roman" w:cs="Times New Roman"/>
          <w:sz w:val="24"/>
          <w:szCs w:val="24"/>
        </w:rPr>
        <w:t xml:space="preserve"> da Lei Civil</w:t>
      </w:r>
      <w:r w:rsidRPr="00CD2BEF">
        <w:rPr>
          <w:rFonts w:ascii="Times New Roman" w:hAnsi="Times New Roman" w:cs="Times New Roman"/>
          <w:sz w:val="24"/>
          <w:szCs w:val="24"/>
        </w:rPr>
        <w:t xml:space="preserve">, elencará “aqueles cuja autonomia estiver prejudicada por redução de discernimento, que não constitua deficiência, enquanto perdurar esse estado”. </w:t>
      </w:r>
    </w:p>
    <w:p w14:paraId="0C49FAF1" w14:textId="77777777" w:rsidR="00CD2BEF" w:rsidRPr="00CD2BEF" w:rsidRDefault="00CD2BEF" w:rsidP="00CD2BEF">
      <w:pPr>
        <w:pStyle w:val="t"/>
        <w:spacing w:before="120" w:after="120" w:line="360" w:lineRule="auto"/>
        <w:ind w:firstLine="1701"/>
        <w:rPr>
          <w:rFonts w:ascii="Times New Roman" w:hAnsi="Times New Roman" w:cs="Times New Roman"/>
          <w:sz w:val="24"/>
          <w:szCs w:val="24"/>
        </w:rPr>
      </w:pPr>
      <w:r w:rsidRPr="00CD2BEF">
        <w:rPr>
          <w:rFonts w:ascii="Times New Roman" w:hAnsi="Times New Roman" w:cs="Times New Roman"/>
          <w:sz w:val="24"/>
          <w:szCs w:val="24"/>
        </w:rPr>
        <w:t xml:space="preserve">Para a formalização do ato, o solicitante e os apoiadores devem apresentar requerimento em que constem os limites do apoio a ser oferecido e os compromissos dos apoiadores, inclusive o prazo de vigência do acordo e o respeito à vontade, aos direitos e interesses da pessoa que devam apoiar (proposta de § 1.º do art. 1.783-A). A decisão tomada por pessoa apoiada terá validade e efeitos quanto a terceiros, sem restrições, desde que esteja inserida nos limites do apoio acordado, premissa que traz a presunção de boa-fé, como propôs a </w:t>
      </w:r>
      <w:r w:rsidR="000F397F">
        <w:rPr>
          <w:rFonts w:ascii="Times New Roman" w:hAnsi="Times New Roman" w:cs="Times New Roman"/>
          <w:sz w:val="24"/>
          <w:szCs w:val="24"/>
        </w:rPr>
        <w:t>S</w:t>
      </w:r>
      <w:r w:rsidRPr="00CD2BEF">
        <w:rPr>
          <w:rFonts w:ascii="Times New Roman" w:hAnsi="Times New Roman" w:cs="Times New Roman"/>
          <w:sz w:val="24"/>
          <w:szCs w:val="24"/>
        </w:rPr>
        <w:t xml:space="preserve">ubcomissão </w:t>
      </w:r>
      <w:r w:rsidR="000F397F">
        <w:rPr>
          <w:rFonts w:ascii="Times New Roman" w:hAnsi="Times New Roman" w:cs="Times New Roman"/>
          <w:sz w:val="24"/>
          <w:szCs w:val="24"/>
        </w:rPr>
        <w:t xml:space="preserve">de Direito de Família, em boa hora e de modo a favorecer o </w:t>
      </w:r>
      <w:r w:rsidR="000F397F" w:rsidRPr="000F397F">
        <w:rPr>
          <w:rFonts w:ascii="Times New Roman" w:hAnsi="Times New Roman" w:cs="Times New Roman"/>
          <w:i/>
          <w:sz w:val="24"/>
          <w:szCs w:val="24"/>
        </w:rPr>
        <w:t>tráfego jurídico</w:t>
      </w:r>
      <w:r w:rsidR="000F397F">
        <w:rPr>
          <w:rFonts w:ascii="Times New Roman" w:hAnsi="Times New Roman" w:cs="Times New Roman"/>
          <w:sz w:val="24"/>
          <w:szCs w:val="24"/>
        </w:rPr>
        <w:t xml:space="preserve"> </w:t>
      </w:r>
      <w:r w:rsidRPr="00CD2BEF">
        <w:rPr>
          <w:rFonts w:ascii="Times New Roman" w:hAnsi="Times New Roman" w:cs="Times New Roman"/>
          <w:sz w:val="24"/>
          <w:szCs w:val="24"/>
        </w:rPr>
        <w:t xml:space="preserve">(§ 2.º). No mesmo sentido de se proteger o tráfego negocial, o novo § 3.º do art. 1.783-A enunciará que “terceiros com quem a pessoa apoiada mantenha relação negocial ou pessoal podem solicitar que os apoiadores contra-assinem contratos ou acordos especificando, por escrito, sua função com relação ao apoiado”. </w:t>
      </w:r>
    </w:p>
    <w:p w14:paraId="0D2CB8D6" w14:textId="77777777" w:rsidR="00CD2BEF" w:rsidRPr="00CD2BEF" w:rsidRDefault="00CD2BEF" w:rsidP="00CD2BEF">
      <w:pPr>
        <w:pStyle w:val="t"/>
        <w:spacing w:before="120" w:after="120" w:line="360" w:lineRule="auto"/>
        <w:ind w:firstLine="1701"/>
        <w:rPr>
          <w:rFonts w:ascii="Times New Roman" w:hAnsi="Times New Roman" w:cs="Times New Roman"/>
          <w:sz w:val="24"/>
          <w:szCs w:val="24"/>
        </w:rPr>
      </w:pPr>
      <w:r w:rsidRPr="00CD2BEF">
        <w:rPr>
          <w:rFonts w:ascii="Times New Roman" w:hAnsi="Times New Roman" w:cs="Times New Roman"/>
          <w:sz w:val="24"/>
          <w:szCs w:val="24"/>
        </w:rPr>
        <w:t xml:space="preserve">De forma sucessiva, são revogados expressamente os §§ 4.º a 11 do atual art. 1.783, para que, reitere-se, o tratamento do instituto fique mais claro, didático e objetivo, prevendo-se parte de seu conteúdo, mas com melhoramentos e acréscimos necessários, nos dispositivos seguintes. </w:t>
      </w:r>
    </w:p>
    <w:p w14:paraId="07BB8F96" w14:textId="77777777" w:rsidR="000F397F" w:rsidRDefault="00CD2BEF" w:rsidP="00CD2BEF">
      <w:pPr>
        <w:pStyle w:val="t"/>
        <w:spacing w:before="120" w:after="120" w:line="360" w:lineRule="auto"/>
        <w:ind w:firstLine="1701"/>
        <w:rPr>
          <w:rFonts w:ascii="Times New Roman" w:hAnsi="Times New Roman" w:cs="Times New Roman"/>
          <w:sz w:val="24"/>
          <w:szCs w:val="24"/>
        </w:rPr>
      </w:pPr>
      <w:r w:rsidRPr="00CD2BEF">
        <w:rPr>
          <w:rFonts w:ascii="Times New Roman" w:hAnsi="Times New Roman" w:cs="Times New Roman"/>
          <w:sz w:val="24"/>
          <w:szCs w:val="24"/>
        </w:rPr>
        <w:t xml:space="preserve">No que diz respeito à </w:t>
      </w:r>
      <w:r w:rsidRPr="00CC5417">
        <w:rPr>
          <w:rFonts w:ascii="Times New Roman" w:hAnsi="Times New Roman" w:cs="Times New Roman"/>
          <w:i/>
          <w:sz w:val="24"/>
          <w:szCs w:val="24"/>
        </w:rPr>
        <w:t>tomada de decisão apoiada extrajudicial</w:t>
      </w:r>
      <w:r w:rsidRPr="00CD2BEF">
        <w:rPr>
          <w:rFonts w:ascii="Times New Roman" w:hAnsi="Times New Roman" w:cs="Times New Roman"/>
          <w:sz w:val="24"/>
          <w:szCs w:val="24"/>
        </w:rPr>
        <w:t xml:space="preserve">, ela passará a ser tratada expressamente no novo art. 1.783-B, ao lado da </w:t>
      </w:r>
      <w:r w:rsidR="000F397F">
        <w:rPr>
          <w:rFonts w:ascii="Times New Roman" w:hAnsi="Times New Roman" w:cs="Times New Roman"/>
          <w:sz w:val="24"/>
          <w:szCs w:val="24"/>
        </w:rPr>
        <w:t xml:space="preserve">modalidade </w:t>
      </w:r>
      <w:r w:rsidRPr="00CD2BEF">
        <w:rPr>
          <w:rFonts w:ascii="Times New Roman" w:hAnsi="Times New Roman" w:cs="Times New Roman"/>
          <w:sz w:val="24"/>
          <w:szCs w:val="24"/>
        </w:rPr>
        <w:t>judicial, em seus quatro parágrafos. Nesse contexto, “a tomada de decisão apoiada poderá ser requerida diretamente no Cartório de Registro Civil das Pessoas Naturais ou judicialmente” (</w:t>
      </w:r>
      <w:r w:rsidRPr="000F397F">
        <w:rPr>
          <w:rFonts w:ascii="Times New Roman" w:hAnsi="Times New Roman" w:cs="Times New Roman"/>
          <w:i/>
          <w:sz w:val="24"/>
          <w:szCs w:val="24"/>
        </w:rPr>
        <w:t>caput</w:t>
      </w:r>
      <w:r w:rsidRPr="00CD2BEF">
        <w:rPr>
          <w:rFonts w:ascii="Times New Roman" w:hAnsi="Times New Roman" w:cs="Times New Roman"/>
          <w:sz w:val="24"/>
          <w:szCs w:val="24"/>
        </w:rPr>
        <w:t xml:space="preserve">). A via extrajudicial é, portanto, facultativa, e não obrigatória. Será ela pedida pela pessoa a ser apoiada, judicial ou extrajudicialmente, com a indicação expressa das pessoas aptas a prestarem o apoio (§ 1.º). </w:t>
      </w:r>
    </w:p>
    <w:p w14:paraId="4180168E" w14:textId="6A3E4836" w:rsidR="00CD2BEF" w:rsidRPr="00CD2BEF" w:rsidRDefault="00CD2BEF" w:rsidP="00CD2BEF">
      <w:pPr>
        <w:pStyle w:val="t"/>
        <w:spacing w:before="120" w:after="120" w:line="360" w:lineRule="auto"/>
        <w:ind w:firstLine="1701"/>
        <w:rPr>
          <w:rFonts w:ascii="Times New Roman" w:hAnsi="Times New Roman" w:cs="Times New Roman"/>
          <w:sz w:val="24"/>
          <w:szCs w:val="24"/>
        </w:rPr>
      </w:pPr>
      <w:r w:rsidRPr="00CD2BEF">
        <w:rPr>
          <w:rFonts w:ascii="Times New Roman" w:hAnsi="Times New Roman" w:cs="Times New Roman"/>
          <w:sz w:val="24"/>
          <w:szCs w:val="24"/>
        </w:rPr>
        <w:t xml:space="preserve">Do procedimento extrajudicial ou judicial de tomada de decisão apoiada participará o Ministério Público, que verificará a adequação do pedido aos requisitos legais (§ 2.º). Antes de se pronunciar sobre o pedido de </w:t>
      </w:r>
      <w:r w:rsidRPr="00CD2BEF">
        <w:rPr>
          <w:rFonts w:ascii="Times New Roman" w:hAnsi="Times New Roman" w:cs="Times New Roman"/>
          <w:sz w:val="24"/>
          <w:szCs w:val="24"/>
        </w:rPr>
        <w:t>tomada de decisão apoiada, o juiz ou o registrador civil, assistido por equipe multidisciplinar e após oitiva do Ministério Público, ouvirá pessoalmente o requerente e as pessoas que lhe prestarão apoio (§ 3.º</w:t>
      </w:r>
      <w:r w:rsidR="000F397F">
        <w:rPr>
          <w:rFonts w:ascii="Times New Roman" w:hAnsi="Times New Roman" w:cs="Times New Roman"/>
          <w:sz w:val="24"/>
          <w:szCs w:val="24"/>
        </w:rPr>
        <w:t xml:space="preserve"> do novo art. 1.783-B do CC</w:t>
      </w:r>
      <w:r w:rsidRPr="00CD2BEF">
        <w:rPr>
          <w:rFonts w:ascii="Times New Roman" w:hAnsi="Times New Roman" w:cs="Times New Roman"/>
          <w:sz w:val="24"/>
          <w:szCs w:val="24"/>
        </w:rPr>
        <w:t xml:space="preserve">). </w:t>
      </w:r>
    </w:p>
    <w:p w14:paraId="69EE0DBD" w14:textId="5A35CC12" w:rsidR="00CD2BEF" w:rsidRPr="00CD2BEF" w:rsidRDefault="000F397F" w:rsidP="00CD2BEF">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Como já destacado </w:t>
      </w:r>
      <w:r w:rsidR="00CC5417">
        <w:rPr>
          <w:rFonts w:ascii="Times New Roman" w:hAnsi="Times New Roman" w:cs="Times New Roman"/>
          <w:sz w:val="24"/>
          <w:szCs w:val="24"/>
        </w:rPr>
        <w:t xml:space="preserve">por mim </w:t>
      </w:r>
      <w:r>
        <w:rPr>
          <w:rFonts w:ascii="Times New Roman" w:hAnsi="Times New Roman" w:cs="Times New Roman"/>
          <w:sz w:val="24"/>
          <w:szCs w:val="24"/>
        </w:rPr>
        <w:t xml:space="preserve">em outros textos, </w:t>
      </w:r>
      <w:r w:rsidR="00CD2BEF" w:rsidRPr="00CD2BEF">
        <w:rPr>
          <w:rFonts w:ascii="Times New Roman" w:hAnsi="Times New Roman" w:cs="Times New Roman"/>
          <w:sz w:val="24"/>
          <w:szCs w:val="24"/>
        </w:rPr>
        <w:t xml:space="preserve">o </w:t>
      </w:r>
      <w:r>
        <w:rPr>
          <w:rFonts w:ascii="Times New Roman" w:hAnsi="Times New Roman" w:cs="Times New Roman"/>
          <w:sz w:val="24"/>
          <w:szCs w:val="24"/>
        </w:rPr>
        <w:t>P</w:t>
      </w:r>
      <w:r w:rsidR="00CD2BEF" w:rsidRPr="00CD2BEF">
        <w:rPr>
          <w:rFonts w:ascii="Times New Roman" w:hAnsi="Times New Roman" w:cs="Times New Roman"/>
          <w:sz w:val="24"/>
          <w:szCs w:val="24"/>
        </w:rPr>
        <w:t>rojeto</w:t>
      </w:r>
      <w:r>
        <w:rPr>
          <w:rFonts w:ascii="Times New Roman" w:hAnsi="Times New Roman" w:cs="Times New Roman"/>
          <w:sz w:val="24"/>
          <w:szCs w:val="24"/>
        </w:rPr>
        <w:t xml:space="preserve"> de Reforma do Código Civil</w:t>
      </w:r>
      <w:r w:rsidR="00CD2BEF" w:rsidRPr="00CD2BEF">
        <w:rPr>
          <w:rFonts w:ascii="Times New Roman" w:hAnsi="Times New Roman" w:cs="Times New Roman"/>
          <w:sz w:val="24"/>
          <w:szCs w:val="24"/>
        </w:rPr>
        <w:t xml:space="preserve">, em várias de suas propostas, traz a atuação do Ministério Público nos Cartórios, assim como se dá em outros </w:t>
      </w:r>
      <w:r w:rsidR="00C45AC9">
        <w:rPr>
          <w:rFonts w:ascii="Times New Roman" w:hAnsi="Times New Roman" w:cs="Times New Roman"/>
          <w:sz w:val="24"/>
          <w:szCs w:val="24"/>
        </w:rPr>
        <w:t>p</w:t>
      </w:r>
      <w:r w:rsidR="00C45AC9" w:rsidRPr="00CD2BEF">
        <w:rPr>
          <w:rFonts w:ascii="Times New Roman" w:hAnsi="Times New Roman" w:cs="Times New Roman"/>
          <w:sz w:val="24"/>
          <w:szCs w:val="24"/>
        </w:rPr>
        <w:t>aíses</w:t>
      </w:r>
      <w:r w:rsidR="00CC5417">
        <w:rPr>
          <w:rFonts w:ascii="Times New Roman" w:hAnsi="Times New Roman" w:cs="Times New Roman"/>
          <w:sz w:val="24"/>
          <w:szCs w:val="24"/>
        </w:rPr>
        <w:t>,</w:t>
      </w:r>
      <w:r w:rsidR="00CD2BEF" w:rsidRPr="00CD2BEF">
        <w:rPr>
          <w:rFonts w:ascii="Times New Roman" w:hAnsi="Times New Roman" w:cs="Times New Roman"/>
          <w:sz w:val="24"/>
          <w:szCs w:val="24"/>
        </w:rPr>
        <w:t xml:space="preserve"> como Portugal. Em caso de dúvidas sobre a viabilidade da tomada de decisão apoiada, o oficial do Cartório de Registro Civil poderá negar seguir com o procedimento extrajudicial, remetendo as partes para o âmbito judicial (§ 4.º do art. 1.783-B). </w:t>
      </w:r>
    </w:p>
    <w:p w14:paraId="6C9208CA" w14:textId="77777777" w:rsidR="00CD2BEF" w:rsidRPr="00CD2BEF" w:rsidRDefault="00CD2BEF" w:rsidP="00CD2BEF">
      <w:pPr>
        <w:pStyle w:val="t"/>
        <w:spacing w:before="120" w:after="120" w:line="360" w:lineRule="auto"/>
        <w:ind w:firstLine="1701"/>
        <w:rPr>
          <w:rFonts w:ascii="Times New Roman" w:hAnsi="Times New Roman" w:cs="Times New Roman"/>
          <w:sz w:val="24"/>
          <w:szCs w:val="24"/>
        </w:rPr>
      </w:pPr>
      <w:r w:rsidRPr="00CD2BEF">
        <w:rPr>
          <w:rFonts w:ascii="Times New Roman" w:hAnsi="Times New Roman" w:cs="Times New Roman"/>
          <w:sz w:val="24"/>
          <w:szCs w:val="24"/>
        </w:rPr>
        <w:t>No que diz respeito à eventual má atuação do apoiador, nos termos do novel art. 1.783-C d</w:t>
      </w:r>
      <w:r w:rsidR="000F397F">
        <w:rPr>
          <w:rFonts w:ascii="Times New Roman" w:hAnsi="Times New Roman" w:cs="Times New Roman"/>
          <w:sz w:val="24"/>
          <w:szCs w:val="24"/>
        </w:rPr>
        <w:t xml:space="preserve">a codificação privada, </w:t>
      </w:r>
      <w:r w:rsidRPr="00CD2BEF">
        <w:rPr>
          <w:rFonts w:ascii="Times New Roman" w:hAnsi="Times New Roman" w:cs="Times New Roman"/>
          <w:sz w:val="24"/>
          <w:szCs w:val="24"/>
        </w:rPr>
        <w:t xml:space="preserve">se ele “agir com negligência, exercer pressão indevida sobre o apoiado ou não adimplir as obrigações assumidas, poderá a pessoa apoiada ou qualquer interessado levar o fato ao Ministério Público ou ao juiz”. Se comprovados os fatos narrados, o juiz destituirá o apoiador e nomeará outra pessoa para prestação de apoio, após ouvidos a pessoa apoiada e o Ministério Público (§ 1.º). Em caso de negócio jurídico que possa trazer à pessoa apoiada risco ou prejuízo relevante, havendo divergência de opiniões entre a pessoa apoiada e um dos apoiadores, deverá o juiz, ouvido o Ministério Público, decidir sobre a questão (§ 2.º). </w:t>
      </w:r>
    </w:p>
    <w:p w14:paraId="39681443" w14:textId="5CE2B677" w:rsidR="00CD2BEF" w:rsidRPr="00CD2BEF" w:rsidRDefault="00CD2BEF" w:rsidP="00CD2BEF">
      <w:pPr>
        <w:pStyle w:val="t"/>
        <w:spacing w:before="120" w:after="120" w:line="360" w:lineRule="auto"/>
        <w:ind w:firstLine="1701"/>
        <w:rPr>
          <w:rFonts w:ascii="Times New Roman" w:hAnsi="Times New Roman" w:cs="Times New Roman"/>
          <w:sz w:val="24"/>
          <w:szCs w:val="24"/>
        </w:rPr>
      </w:pPr>
      <w:r w:rsidRPr="00CD2BEF">
        <w:rPr>
          <w:rFonts w:ascii="Times New Roman" w:hAnsi="Times New Roman" w:cs="Times New Roman"/>
          <w:sz w:val="24"/>
          <w:szCs w:val="24"/>
        </w:rPr>
        <w:t xml:space="preserve">Sobre a revogação </w:t>
      </w:r>
      <w:r w:rsidR="00CC5417">
        <w:rPr>
          <w:rFonts w:ascii="Times New Roman" w:hAnsi="Times New Roman" w:cs="Times New Roman"/>
          <w:sz w:val="24"/>
          <w:szCs w:val="24"/>
        </w:rPr>
        <w:t xml:space="preserve">ou resilição unilateral </w:t>
      </w:r>
      <w:r w:rsidRPr="00CD2BEF">
        <w:rPr>
          <w:rFonts w:ascii="Times New Roman" w:hAnsi="Times New Roman" w:cs="Times New Roman"/>
          <w:sz w:val="24"/>
          <w:szCs w:val="24"/>
        </w:rPr>
        <w:t xml:space="preserve">da tomada de decisão apoiada, de forma unilateral e sem motivação, o projetado art. 1.783-D preceitua que “a pessoa com deficiência pode, a qualquer tempo, revogar a tomada de decisão apoiada, independentemente do consentimento dos seus apoiadores, mediante simples requerimento ao Cartório de Registro Civil de Pessoas Naturais ou ao juiz, preservados os efeitos jurídicos já produzidos”. Como </w:t>
      </w:r>
      <w:r w:rsidRPr="000F397F">
        <w:rPr>
          <w:rFonts w:ascii="Times New Roman" w:hAnsi="Times New Roman" w:cs="Times New Roman"/>
          <w:i/>
          <w:sz w:val="24"/>
          <w:szCs w:val="24"/>
        </w:rPr>
        <w:t>outro lado da moeda</w:t>
      </w:r>
      <w:r w:rsidRPr="00CD2BEF">
        <w:rPr>
          <w:rFonts w:ascii="Times New Roman" w:hAnsi="Times New Roman" w:cs="Times New Roman"/>
          <w:sz w:val="24"/>
          <w:szCs w:val="24"/>
        </w:rPr>
        <w:t xml:space="preserve">, o parágrafo único desse comando preverá que “os apoiadores podem também, a qualquer tempo, renunciar à incumbência para a qual foram designados”. </w:t>
      </w:r>
      <w:r w:rsidR="00CC5417">
        <w:rPr>
          <w:rFonts w:ascii="Times New Roman" w:hAnsi="Times New Roman" w:cs="Times New Roman"/>
          <w:sz w:val="24"/>
          <w:szCs w:val="24"/>
        </w:rPr>
        <w:t xml:space="preserve">Como se percebe, </w:t>
      </w:r>
      <w:r w:rsidR="000F397F">
        <w:rPr>
          <w:rFonts w:ascii="Times New Roman" w:hAnsi="Times New Roman" w:cs="Times New Roman"/>
          <w:sz w:val="24"/>
          <w:szCs w:val="24"/>
        </w:rPr>
        <w:t xml:space="preserve">um modelo contratual de resilição unilateral para o instituto, </w:t>
      </w:r>
      <w:r w:rsidR="00CC5417">
        <w:rPr>
          <w:rFonts w:ascii="Times New Roman" w:hAnsi="Times New Roman" w:cs="Times New Roman"/>
          <w:sz w:val="24"/>
          <w:szCs w:val="24"/>
        </w:rPr>
        <w:t xml:space="preserve">favorável às duas partes, </w:t>
      </w:r>
      <w:r w:rsidR="000F397F">
        <w:rPr>
          <w:rFonts w:ascii="Times New Roman" w:hAnsi="Times New Roman" w:cs="Times New Roman"/>
          <w:sz w:val="24"/>
          <w:szCs w:val="24"/>
        </w:rPr>
        <w:t>similar ao do mandato.</w:t>
      </w:r>
      <w:r w:rsidR="00831927">
        <w:rPr>
          <w:rFonts w:ascii="Times New Roman" w:hAnsi="Times New Roman" w:cs="Times New Roman"/>
          <w:sz w:val="24"/>
          <w:szCs w:val="24"/>
        </w:rPr>
        <w:t xml:space="preserve"> </w:t>
      </w:r>
    </w:p>
    <w:p w14:paraId="68DE10F3" w14:textId="007ECA9A" w:rsidR="00CD2BEF" w:rsidRPr="00CD2BEF" w:rsidRDefault="00CD2BEF" w:rsidP="00CD2BEF">
      <w:pPr>
        <w:pStyle w:val="t"/>
        <w:spacing w:before="120" w:after="120" w:line="360" w:lineRule="auto"/>
        <w:ind w:firstLine="1701"/>
        <w:rPr>
          <w:rFonts w:ascii="Times New Roman" w:hAnsi="Times New Roman" w:cs="Times New Roman"/>
          <w:sz w:val="24"/>
          <w:szCs w:val="24"/>
        </w:rPr>
      </w:pPr>
      <w:r w:rsidRPr="00CD2BEF">
        <w:rPr>
          <w:rFonts w:ascii="Times New Roman" w:hAnsi="Times New Roman" w:cs="Times New Roman"/>
          <w:sz w:val="24"/>
          <w:szCs w:val="24"/>
        </w:rPr>
        <w:t xml:space="preserve">Seguindo no estudo das proposições, assim como se dá com a curatela, inclui-se proposta segundo a qual a tomada de decisão apoiada também pode estar relacionada a atos existenciais, além dos patrimoniais. Como se retira da proposta de novo art. 1.783-E, “o procedimento de tomada de decisão apoiada pode ser utilizado pelas pessoas relativamente incapazes, referidas no inc. II do art. 4.º do Código Civil, quando ela tiver de decidir-se sobre os atos de cunho existencial de sua vida civil”. A eleição de pessoas para tomada de decisão apoiada nesses casos não prejudica a atuação do curador para os atos de cunho patrimonial da vida civil do curatelado (§ 1.º). Em suma, será possível a convivência e a concomitância dos dois institutos na mesma situação concreta: uma tomada de decisão apoiada para os atos existenciais e uma curatela – sempre com caráter excepcional – para os atos patrimoniais. Sem dúvida, trata-se de proposta que igualmente funcionaliza os institutos, em prol da proteção e da tutela da pessoa humana. </w:t>
      </w:r>
    </w:p>
    <w:p w14:paraId="2A3D267A" w14:textId="1F1A1C43" w:rsidR="00CD2BEF" w:rsidRPr="00CD2BEF" w:rsidRDefault="00CD2BEF" w:rsidP="00CD2BEF">
      <w:pPr>
        <w:pStyle w:val="t"/>
        <w:spacing w:before="120" w:after="120" w:line="360" w:lineRule="auto"/>
        <w:ind w:firstLine="1701"/>
        <w:rPr>
          <w:rFonts w:ascii="Times New Roman" w:hAnsi="Times New Roman" w:cs="Times New Roman"/>
          <w:sz w:val="24"/>
          <w:szCs w:val="24"/>
        </w:rPr>
      </w:pPr>
      <w:r w:rsidRPr="00CD2BEF">
        <w:rPr>
          <w:rFonts w:ascii="Times New Roman" w:hAnsi="Times New Roman" w:cs="Times New Roman"/>
          <w:sz w:val="24"/>
          <w:szCs w:val="24"/>
        </w:rPr>
        <w:t>Como última sugestão formulada pela Comissão de Juristas a respeito des</w:t>
      </w:r>
      <w:r w:rsidR="00D046C6">
        <w:rPr>
          <w:rFonts w:ascii="Times New Roman" w:hAnsi="Times New Roman" w:cs="Times New Roman"/>
          <w:sz w:val="24"/>
          <w:szCs w:val="24"/>
        </w:rPr>
        <w:t>s</w:t>
      </w:r>
      <w:r w:rsidRPr="00CD2BEF">
        <w:rPr>
          <w:rFonts w:ascii="Times New Roman" w:hAnsi="Times New Roman" w:cs="Times New Roman"/>
          <w:sz w:val="24"/>
          <w:szCs w:val="24"/>
        </w:rPr>
        <w:t>e instituto, o § 2.º do novo art. 1.783-E preverá, para trazer mais certeza quanto ao tema, que</w:t>
      </w:r>
      <w:r w:rsidR="001B36E1">
        <w:rPr>
          <w:rFonts w:ascii="Times New Roman" w:hAnsi="Times New Roman" w:cs="Times New Roman"/>
          <w:sz w:val="24"/>
          <w:szCs w:val="24"/>
        </w:rPr>
        <w:t>,</w:t>
      </w:r>
      <w:r w:rsidRPr="00CD2BEF">
        <w:rPr>
          <w:rFonts w:ascii="Times New Roman" w:hAnsi="Times New Roman" w:cs="Times New Roman"/>
          <w:sz w:val="24"/>
          <w:szCs w:val="24"/>
        </w:rPr>
        <w:t xml:space="preserve"> “para a celebração de casamento das pessoas mencionadas no </w:t>
      </w:r>
      <w:r w:rsidRPr="00D046C6">
        <w:rPr>
          <w:rFonts w:ascii="Times New Roman" w:hAnsi="Times New Roman" w:cs="Times New Roman"/>
          <w:i/>
          <w:sz w:val="24"/>
          <w:szCs w:val="24"/>
        </w:rPr>
        <w:t>caput</w:t>
      </w:r>
      <w:r w:rsidRPr="00CD2BEF">
        <w:rPr>
          <w:rFonts w:ascii="Times New Roman" w:hAnsi="Times New Roman" w:cs="Times New Roman"/>
          <w:sz w:val="24"/>
          <w:szCs w:val="24"/>
        </w:rPr>
        <w:t xml:space="preserve"> deste artigo, a tomada de decisão apoiada será realizada perante o Oficial de Registro Civil das Pessoas Naturais no procedimento anterior ao casamento, desde que o ato nupcial se inclua no termo em que constem os limites do apoio a ser oferecido”. </w:t>
      </w:r>
      <w:r w:rsidR="00D046C6">
        <w:rPr>
          <w:rFonts w:ascii="Times New Roman" w:hAnsi="Times New Roman" w:cs="Times New Roman"/>
          <w:sz w:val="24"/>
          <w:szCs w:val="24"/>
        </w:rPr>
        <w:t xml:space="preserve">Segue-se, portanto, a premissa de que a tomada de decisão apoiada pode ser utilizada para o ato existencial da celebração do casamento, mais </w:t>
      </w:r>
      <w:r w:rsidR="00D046C6">
        <w:rPr>
          <w:rFonts w:ascii="Times New Roman" w:hAnsi="Times New Roman" w:cs="Times New Roman"/>
          <w:sz w:val="24"/>
          <w:szCs w:val="24"/>
        </w:rPr>
        <w:t xml:space="preserve">uma vez funcionalizando o instituto, muito além do que hoje está </w:t>
      </w:r>
      <w:r w:rsidR="00CC5417">
        <w:rPr>
          <w:rFonts w:ascii="Times New Roman" w:hAnsi="Times New Roman" w:cs="Times New Roman"/>
          <w:sz w:val="24"/>
          <w:szCs w:val="24"/>
        </w:rPr>
        <w:t xml:space="preserve">expressamente </w:t>
      </w:r>
      <w:r w:rsidR="00D046C6">
        <w:rPr>
          <w:rFonts w:ascii="Times New Roman" w:hAnsi="Times New Roman" w:cs="Times New Roman"/>
          <w:sz w:val="24"/>
          <w:szCs w:val="24"/>
        </w:rPr>
        <w:t xml:space="preserve">previsto na lei. </w:t>
      </w:r>
    </w:p>
    <w:p w14:paraId="06F9D4E4" w14:textId="77777777" w:rsidR="00CD2BEF" w:rsidRPr="00CD2BEF" w:rsidRDefault="00CD2BEF" w:rsidP="00CD2BEF">
      <w:pPr>
        <w:pStyle w:val="t"/>
        <w:spacing w:before="120" w:after="120" w:line="360" w:lineRule="auto"/>
        <w:ind w:firstLine="1701"/>
        <w:rPr>
          <w:rFonts w:ascii="Times New Roman" w:hAnsi="Times New Roman" w:cs="Times New Roman"/>
          <w:sz w:val="24"/>
          <w:szCs w:val="24"/>
        </w:rPr>
      </w:pPr>
      <w:r w:rsidRPr="00CD2BEF">
        <w:rPr>
          <w:rFonts w:ascii="Times New Roman" w:hAnsi="Times New Roman" w:cs="Times New Roman"/>
          <w:sz w:val="24"/>
          <w:szCs w:val="24"/>
        </w:rPr>
        <w:t>Como se pode notar</w:t>
      </w:r>
      <w:r w:rsidR="00CC5417">
        <w:rPr>
          <w:rFonts w:ascii="Times New Roman" w:hAnsi="Times New Roman" w:cs="Times New Roman"/>
          <w:sz w:val="24"/>
          <w:szCs w:val="24"/>
        </w:rPr>
        <w:t xml:space="preserve"> por este texto</w:t>
      </w:r>
      <w:r w:rsidRPr="00CD2BEF">
        <w:rPr>
          <w:rFonts w:ascii="Times New Roman" w:hAnsi="Times New Roman" w:cs="Times New Roman"/>
          <w:sz w:val="24"/>
          <w:szCs w:val="24"/>
        </w:rPr>
        <w:t xml:space="preserve">, todas as propostas são mais do que necessárias, para afastar dúvidas hoje existentes sobre </w:t>
      </w:r>
      <w:r w:rsidR="00D046C6">
        <w:rPr>
          <w:rFonts w:ascii="Times New Roman" w:hAnsi="Times New Roman" w:cs="Times New Roman"/>
          <w:sz w:val="24"/>
          <w:szCs w:val="24"/>
        </w:rPr>
        <w:t xml:space="preserve">a categoria, </w:t>
      </w:r>
      <w:r w:rsidRPr="00CD2BEF">
        <w:rPr>
          <w:rFonts w:ascii="Times New Roman" w:hAnsi="Times New Roman" w:cs="Times New Roman"/>
          <w:sz w:val="24"/>
          <w:szCs w:val="24"/>
        </w:rPr>
        <w:t>tornand</w:t>
      </w:r>
      <w:r w:rsidR="00D046C6">
        <w:rPr>
          <w:rFonts w:ascii="Times New Roman" w:hAnsi="Times New Roman" w:cs="Times New Roman"/>
          <w:sz w:val="24"/>
          <w:szCs w:val="24"/>
        </w:rPr>
        <w:t>o-a</w:t>
      </w:r>
      <w:r w:rsidRPr="00CD2BEF">
        <w:rPr>
          <w:rFonts w:ascii="Times New Roman" w:hAnsi="Times New Roman" w:cs="Times New Roman"/>
          <w:sz w:val="24"/>
          <w:szCs w:val="24"/>
        </w:rPr>
        <w:t xml:space="preserve"> muito mais viável na prática do Direito Civil. Espera-se, portanto, a sua aprovação integral pelo Congresso Nacional.</w:t>
      </w:r>
    </w:p>
    <w:sectPr w:rsidR="00CD2BEF" w:rsidRPr="00CD2BEF" w:rsidSect="007F14FB">
      <w:footerReference w:type="default" r:id="rId8"/>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A53CAB" w14:textId="77777777" w:rsidR="00607854" w:rsidRDefault="00607854" w:rsidP="00B15AD0">
      <w:pPr>
        <w:spacing w:after="0" w:line="240" w:lineRule="auto"/>
      </w:pPr>
      <w:r>
        <w:separator/>
      </w:r>
    </w:p>
  </w:endnote>
  <w:endnote w:type="continuationSeparator" w:id="0">
    <w:p w14:paraId="64CFCA92" w14:textId="77777777" w:rsidR="00607854" w:rsidRDefault="00607854" w:rsidP="00B15A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inionPro-Regular">
    <w:altName w:val="Calibri"/>
    <w:panose1 w:val="00000000000000000000"/>
    <w:charset w:val="00"/>
    <w:family w:val="auto"/>
    <w:notTrueType/>
    <w:pitch w:val="default"/>
    <w:sig w:usb0="00000003" w:usb1="00000000" w:usb2="00000000" w:usb3="00000000" w:csb0="00000001" w:csb1="00000000"/>
  </w:font>
  <w:font w:name="Yu Mincho">
    <w:altName w:val="??–¾’©"/>
    <w:panose1 w:val="02020400000000000000"/>
    <w:charset w:val="80"/>
    <w:family w:val="roman"/>
    <w:pitch w:val="variable"/>
    <w:sig w:usb0="800002E7" w:usb1="2AC7FCFF" w:usb2="00000012" w:usb3="00000000" w:csb0="0002009F" w:csb1="00000000"/>
  </w:font>
  <w:font w:name="MyriadPro-Regular">
    <w:altName w:val="Calibri"/>
    <w:panose1 w:val="00000000000000000000"/>
    <w:charset w:val="00"/>
    <w:family w:val="auto"/>
    <w:notTrueType/>
    <w:pitch w:val="default"/>
    <w:sig w:usb0="00000003" w:usb1="00000000" w:usb2="00000000" w:usb3="00000000" w:csb0="00000001"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85280438"/>
      <w:docPartObj>
        <w:docPartGallery w:val="Page Numbers (Bottom of Page)"/>
        <w:docPartUnique/>
      </w:docPartObj>
    </w:sdtPr>
    <w:sdtContent>
      <w:p w14:paraId="2276084A" w14:textId="77777777" w:rsidR="000F397F" w:rsidRDefault="00CC5417">
        <w:pPr>
          <w:pStyle w:val="Rodap"/>
          <w:jc w:val="right"/>
        </w:pPr>
        <w:r>
          <w:fldChar w:fldCharType="begin"/>
        </w:r>
        <w:r>
          <w:instrText>PAGE   \* MERGEFORMAT</w:instrText>
        </w:r>
        <w:r>
          <w:fldChar w:fldCharType="separate"/>
        </w:r>
        <w:r>
          <w:rPr>
            <w:noProof/>
          </w:rPr>
          <w:t>1</w:t>
        </w:r>
        <w:r>
          <w:rPr>
            <w:noProof/>
          </w:rPr>
          <w:fldChar w:fldCharType="end"/>
        </w:r>
      </w:p>
    </w:sdtContent>
  </w:sdt>
  <w:p w14:paraId="2528CEAF" w14:textId="77777777" w:rsidR="000F397F" w:rsidRDefault="000F397F">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F1C36B" w14:textId="77777777" w:rsidR="00607854" w:rsidRDefault="00607854" w:rsidP="00B15AD0">
      <w:pPr>
        <w:spacing w:after="0" w:line="240" w:lineRule="auto"/>
      </w:pPr>
      <w:r>
        <w:separator/>
      </w:r>
    </w:p>
  </w:footnote>
  <w:footnote w:type="continuationSeparator" w:id="0">
    <w:p w14:paraId="7F082859" w14:textId="77777777" w:rsidR="00607854" w:rsidRDefault="00607854" w:rsidP="00B15AD0">
      <w:pPr>
        <w:spacing w:after="0" w:line="240" w:lineRule="auto"/>
      </w:pPr>
      <w:r>
        <w:continuationSeparator/>
      </w:r>
    </w:p>
  </w:footnote>
  <w:footnote w:id="1">
    <w:p w14:paraId="0BD3040C" w14:textId="77777777" w:rsidR="000F397F" w:rsidRPr="00197971" w:rsidRDefault="000F397F" w:rsidP="00B15AD0">
      <w:pPr>
        <w:pStyle w:val="Textodenotaderodap"/>
        <w:jc w:val="both"/>
      </w:pPr>
      <w:r w:rsidRPr="003B2F06">
        <w:rPr>
          <w:rStyle w:val="Refdenotaderodap"/>
        </w:rPr>
        <w:footnoteRef/>
      </w:r>
      <w:r w:rsidRPr="003B2F06">
        <w:t xml:space="preserve"> </w:t>
      </w:r>
      <w:r>
        <w:t xml:space="preserve">Pós-Doutor e </w:t>
      </w:r>
      <w:r w:rsidRPr="003B2F06">
        <w:t xml:space="preserve">Doutor em Direito Civil pela USP. Mestre em Direito Civil Comparado pela PUCSP. Professor </w:t>
      </w:r>
      <w:r>
        <w:t>T</w:t>
      </w:r>
      <w:r w:rsidRPr="003B2F06">
        <w:t xml:space="preserve">itular permanente </w:t>
      </w:r>
      <w:r>
        <w:t xml:space="preserve">e coordenador do mestrado da Escola Paulista de Direito (EPD). </w:t>
      </w:r>
      <w:r w:rsidRPr="003B2F06">
        <w:t xml:space="preserve">Professor </w:t>
      </w:r>
      <w:r>
        <w:t xml:space="preserve">e coordenador </w:t>
      </w:r>
      <w:r w:rsidRPr="003B2F06">
        <w:t xml:space="preserve">dos cursos de pós-graduação </w:t>
      </w:r>
      <w:r w:rsidRPr="00511B17">
        <w:rPr>
          <w:i/>
        </w:rPr>
        <w:t>lato sensu</w:t>
      </w:r>
      <w:r w:rsidRPr="003B2F06">
        <w:t xml:space="preserve"> </w:t>
      </w:r>
      <w:r>
        <w:t xml:space="preserve">em Direito Privado </w:t>
      </w:r>
      <w:r w:rsidRPr="003B2F06">
        <w:t>da EPD.</w:t>
      </w:r>
      <w:r>
        <w:t xml:space="preserve"> Relator do Projeto de Reforma do Código Civil. Primeiro Presidente e Fundador do Instituto Brasileiro de Direito Contratual (IBDCONT). Conselheiro Federal da OAB, pela OABSP. </w:t>
      </w:r>
      <w:r w:rsidRPr="003B2F06">
        <w:t xml:space="preserve">Advogado </w:t>
      </w:r>
      <w:r>
        <w:t xml:space="preserve">em São Paulo, parecerista, árbitro </w:t>
      </w:r>
      <w:r w:rsidRPr="003B2F06">
        <w:t>e consultor jurídico</w:t>
      </w:r>
      <w:r w:rsidRPr="00197971">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666753"/>
    <w:multiLevelType w:val="hybridMultilevel"/>
    <w:tmpl w:val="54162384"/>
    <w:lvl w:ilvl="0" w:tplc="F97CC47C">
      <w:start w:val="1"/>
      <w:numFmt w:val="decimal"/>
      <w:lvlText w:val="%1)"/>
      <w:lvlJc w:val="left"/>
      <w:pPr>
        <w:ind w:left="1020" w:hanging="360"/>
      </w:pPr>
    </w:lvl>
    <w:lvl w:ilvl="1" w:tplc="4D3C6446">
      <w:start w:val="1"/>
      <w:numFmt w:val="decimal"/>
      <w:lvlText w:val="%2)"/>
      <w:lvlJc w:val="left"/>
      <w:pPr>
        <w:ind w:left="1020" w:hanging="360"/>
      </w:pPr>
    </w:lvl>
    <w:lvl w:ilvl="2" w:tplc="579EAB1A">
      <w:start w:val="1"/>
      <w:numFmt w:val="decimal"/>
      <w:lvlText w:val="%3)"/>
      <w:lvlJc w:val="left"/>
      <w:pPr>
        <w:ind w:left="1020" w:hanging="360"/>
      </w:pPr>
    </w:lvl>
    <w:lvl w:ilvl="3" w:tplc="952E9B12">
      <w:start w:val="1"/>
      <w:numFmt w:val="decimal"/>
      <w:lvlText w:val="%4)"/>
      <w:lvlJc w:val="left"/>
      <w:pPr>
        <w:ind w:left="1020" w:hanging="360"/>
      </w:pPr>
    </w:lvl>
    <w:lvl w:ilvl="4" w:tplc="6D360AEA">
      <w:start w:val="1"/>
      <w:numFmt w:val="decimal"/>
      <w:lvlText w:val="%5)"/>
      <w:lvlJc w:val="left"/>
      <w:pPr>
        <w:ind w:left="1020" w:hanging="360"/>
      </w:pPr>
    </w:lvl>
    <w:lvl w:ilvl="5" w:tplc="2E0E23EA">
      <w:start w:val="1"/>
      <w:numFmt w:val="decimal"/>
      <w:lvlText w:val="%6)"/>
      <w:lvlJc w:val="left"/>
      <w:pPr>
        <w:ind w:left="1020" w:hanging="360"/>
      </w:pPr>
    </w:lvl>
    <w:lvl w:ilvl="6" w:tplc="4BD0F8E6">
      <w:start w:val="1"/>
      <w:numFmt w:val="decimal"/>
      <w:lvlText w:val="%7)"/>
      <w:lvlJc w:val="left"/>
      <w:pPr>
        <w:ind w:left="1020" w:hanging="360"/>
      </w:pPr>
    </w:lvl>
    <w:lvl w:ilvl="7" w:tplc="4296E6EA">
      <w:start w:val="1"/>
      <w:numFmt w:val="decimal"/>
      <w:lvlText w:val="%8)"/>
      <w:lvlJc w:val="left"/>
      <w:pPr>
        <w:ind w:left="1020" w:hanging="360"/>
      </w:pPr>
    </w:lvl>
    <w:lvl w:ilvl="8" w:tplc="3DD4651E">
      <w:start w:val="1"/>
      <w:numFmt w:val="decimal"/>
      <w:lvlText w:val="%9)"/>
      <w:lvlJc w:val="left"/>
      <w:pPr>
        <w:ind w:left="1020" w:hanging="360"/>
      </w:pPr>
    </w:lvl>
  </w:abstractNum>
  <w:abstractNum w:abstractNumId="1" w15:restartNumberingAfterBreak="0">
    <w:nsid w:val="6C6E78FF"/>
    <w:multiLevelType w:val="hybridMultilevel"/>
    <w:tmpl w:val="3A94B62E"/>
    <w:lvl w:ilvl="0" w:tplc="04160001">
      <w:start w:val="1"/>
      <w:numFmt w:val="bullet"/>
      <w:lvlText w:val=""/>
      <w:lvlJc w:val="left"/>
      <w:pPr>
        <w:ind w:left="1287" w:hanging="360"/>
      </w:pPr>
      <w:rPr>
        <w:rFonts w:ascii="Symbol" w:hAnsi="Symbol" w:hint="default"/>
      </w:rPr>
    </w:lvl>
    <w:lvl w:ilvl="1" w:tplc="04160003" w:tentative="1">
      <w:start w:val="1"/>
      <w:numFmt w:val="bullet"/>
      <w:lvlText w:val="o"/>
      <w:lvlJc w:val="left"/>
      <w:pPr>
        <w:ind w:left="2007" w:hanging="360"/>
      </w:pPr>
      <w:rPr>
        <w:rFonts w:ascii="Courier New" w:hAnsi="Courier New" w:cs="Courier New" w:hint="default"/>
      </w:rPr>
    </w:lvl>
    <w:lvl w:ilvl="2" w:tplc="04160005" w:tentative="1">
      <w:start w:val="1"/>
      <w:numFmt w:val="bullet"/>
      <w:lvlText w:val=""/>
      <w:lvlJc w:val="left"/>
      <w:pPr>
        <w:ind w:left="2727" w:hanging="360"/>
      </w:pPr>
      <w:rPr>
        <w:rFonts w:ascii="Wingdings" w:hAnsi="Wingdings" w:hint="default"/>
      </w:rPr>
    </w:lvl>
    <w:lvl w:ilvl="3" w:tplc="04160001" w:tentative="1">
      <w:start w:val="1"/>
      <w:numFmt w:val="bullet"/>
      <w:lvlText w:val=""/>
      <w:lvlJc w:val="left"/>
      <w:pPr>
        <w:ind w:left="3447" w:hanging="360"/>
      </w:pPr>
      <w:rPr>
        <w:rFonts w:ascii="Symbol" w:hAnsi="Symbol" w:hint="default"/>
      </w:rPr>
    </w:lvl>
    <w:lvl w:ilvl="4" w:tplc="04160003" w:tentative="1">
      <w:start w:val="1"/>
      <w:numFmt w:val="bullet"/>
      <w:lvlText w:val="o"/>
      <w:lvlJc w:val="left"/>
      <w:pPr>
        <w:ind w:left="4167" w:hanging="360"/>
      </w:pPr>
      <w:rPr>
        <w:rFonts w:ascii="Courier New" w:hAnsi="Courier New" w:cs="Courier New" w:hint="default"/>
      </w:rPr>
    </w:lvl>
    <w:lvl w:ilvl="5" w:tplc="04160005" w:tentative="1">
      <w:start w:val="1"/>
      <w:numFmt w:val="bullet"/>
      <w:lvlText w:val=""/>
      <w:lvlJc w:val="left"/>
      <w:pPr>
        <w:ind w:left="4887" w:hanging="360"/>
      </w:pPr>
      <w:rPr>
        <w:rFonts w:ascii="Wingdings" w:hAnsi="Wingdings" w:hint="default"/>
      </w:rPr>
    </w:lvl>
    <w:lvl w:ilvl="6" w:tplc="04160001" w:tentative="1">
      <w:start w:val="1"/>
      <w:numFmt w:val="bullet"/>
      <w:lvlText w:val=""/>
      <w:lvlJc w:val="left"/>
      <w:pPr>
        <w:ind w:left="5607" w:hanging="360"/>
      </w:pPr>
      <w:rPr>
        <w:rFonts w:ascii="Symbol" w:hAnsi="Symbol" w:hint="default"/>
      </w:rPr>
    </w:lvl>
    <w:lvl w:ilvl="7" w:tplc="04160003" w:tentative="1">
      <w:start w:val="1"/>
      <w:numFmt w:val="bullet"/>
      <w:lvlText w:val="o"/>
      <w:lvlJc w:val="left"/>
      <w:pPr>
        <w:ind w:left="6327" w:hanging="360"/>
      </w:pPr>
      <w:rPr>
        <w:rFonts w:ascii="Courier New" w:hAnsi="Courier New" w:cs="Courier New" w:hint="default"/>
      </w:rPr>
    </w:lvl>
    <w:lvl w:ilvl="8" w:tplc="04160005" w:tentative="1">
      <w:start w:val="1"/>
      <w:numFmt w:val="bullet"/>
      <w:lvlText w:val=""/>
      <w:lvlJc w:val="left"/>
      <w:pPr>
        <w:ind w:left="7047" w:hanging="360"/>
      </w:pPr>
      <w:rPr>
        <w:rFonts w:ascii="Wingdings" w:hAnsi="Wingdings" w:hint="default"/>
      </w:rPr>
    </w:lvl>
  </w:abstractNum>
  <w:num w:numId="1" w16cid:durableId="1018234176">
    <w:abstractNumId w:val="1"/>
  </w:num>
  <w:num w:numId="2" w16cid:durableId="19550175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684D"/>
    <w:rsid w:val="00002059"/>
    <w:rsid w:val="00012D24"/>
    <w:rsid w:val="00014A13"/>
    <w:rsid w:val="000163F9"/>
    <w:rsid w:val="000272D3"/>
    <w:rsid w:val="0006022B"/>
    <w:rsid w:val="000618D8"/>
    <w:rsid w:val="00061D24"/>
    <w:rsid w:val="00061D89"/>
    <w:rsid w:val="00065809"/>
    <w:rsid w:val="00081B5A"/>
    <w:rsid w:val="00084038"/>
    <w:rsid w:val="00090984"/>
    <w:rsid w:val="00092468"/>
    <w:rsid w:val="000967F8"/>
    <w:rsid w:val="000A1BE1"/>
    <w:rsid w:val="000A1DAE"/>
    <w:rsid w:val="000A6A8E"/>
    <w:rsid w:val="000B0D00"/>
    <w:rsid w:val="000B4F9A"/>
    <w:rsid w:val="000D4EB5"/>
    <w:rsid w:val="000D6AB7"/>
    <w:rsid w:val="000F397F"/>
    <w:rsid w:val="00101681"/>
    <w:rsid w:val="001115BE"/>
    <w:rsid w:val="001164E8"/>
    <w:rsid w:val="00121038"/>
    <w:rsid w:val="0013242A"/>
    <w:rsid w:val="00140F1A"/>
    <w:rsid w:val="001431C6"/>
    <w:rsid w:val="00147FD2"/>
    <w:rsid w:val="00154A54"/>
    <w:rsid w:val="001604A2"/>
    <w:rsid w:val="00162445"/>
    <w:rsid w:val="00174761"/>
    <w:rsid w:val="001A3BB7"/>
    <w:rsid w:val="001A3C52"/>
    <w:rsid w:val="001B36E1"/>
    <w:rsid w:val="001B45D7"/>
    <w:rsid w:val="001C20B6"/>
    <w:rsid w:val="001D23C5"/>
    <w:rsid w:val="001D2FCE"/>
    <w:rsid w:val="001D4C59"/>
    <w:rsid w:val="001E3A72"/>
    <w:rsid w:val="001E5FD0"/>
    <w:rsid w:val="001F0B30"/>
    <w:rsid w:val="001F7416"/>
    <w:rsid w:val="002173DE"/>
    <w:rsid w:val="00223883"/>
    <w:rsid w:val="00234405"/>
    <w:rsid w:val="00240103"/>
    <w:rsid w:val="00240B32"/>
    <w:rsid w:val="002628DD"/>
    <w:rsid w:val="0027030E"/>
    <w:rsid w:val="0027678B"/>
    <w:rsid w:val="0027700F"/>
    <w:rsid w:val="002809A2"/>
    <w:rsid w:val="00295C84"/>
    <w:rsid w:val="00297F8D"/>
    <w:rsid w:val="002A1A09"/>
    <w:rsid w:val="002A4A94"/>
    <w:rsid w:val="002A60FF"/>
    <w:rsid w:val="002B7E62"/>
    <w:rsid w:val="002C20BD"/>
    <w:rsid w:val="002D7126"/>
    <w:rsid w:val="002E0A51"/>
    <w:rsid w:val="00310780"/>
    <w:rsid w:val="00311DC8"/>
    <w:rsid w:val="003156EB"/>
    <w:rsid w:val="00316B68"/>
    <w:rsid w:val="003358E3"/>
    <w:rsid w:val="00341F09"/>
    <w:rsid w:val="00351820"/>
    <w:rsid w:val="00354174"/>
    <w:rsid w:val="00356BC1"/>
    <w:rsid w:val="0038223F"/>
    <w:rsid w:val="003869F0"/>
    <w:rsid w:val="003A2D67"/>
    <w:rsid w:val="003B0F36"/>
    <w:rsid w:val="003D1130"/>
    <w:rsid w:val="003D758C"/>
    <w:rsid w:val="003E6BFA"/>
    <w:rsid w:val="00416565"/>
    <w:rsid w:val="00420F7D"/>
    <w:rsid w:val="00421AAD"/>
    <w:rsid w:val="004231D8"/>
    <w:rsid w:val="004263CC"/>
    <w:rsid w:val="00440E97"/>
    <w:rsid w:val="0044129B"/>
    <w:rsid w:val="00451CC8"/>
    <w:rsid w:val="00463CAE"/>
    <w:rsid w:val="00465B35"/>
    <w:rsid w:val="00475A7F"/>
    <w:rsid w:val="004B0CC8"/>
    <w:rsid w:val="004B1ABA"/>
    <w:rsid w:val="004C2B01"/>
    <w:rsid w:val="004D192A"/>
    <w:rsid w:val="004D3C8B"/>
    <w:rsid w:val="004F108D"/>
    <w:rsid w:val="00505F81"/>
    <w:rsid w:val="0051186F"/>
    <w:rsid w:val="00520F3F"/>
    <w:rsid w:val="00521AD5"/>
    <w:rsid w:val="00525923"/>
    <w:rsid w:val="00540A1C"/>
    <w:rsid w:val="00551126"/>
    <w:rsid w:val="00560AB1"/>
    <w:rsid w:val="005803EC"/>
    <w:rsid w:val="00582E0D"/>
    <w:rsid w:val="0058340B"/>
    <w:rsid w:val="005B6FDC"/>
    <w:rsid w:val="005C2B81"/>
    <w:rsid w:val="005C3438"/>
    <w:rsid w:val="005C3619"/>
    <w:rsid w:val="005C4502"/>
    <w:rsid w:val="005E4456"/>
    <w:rsid w:val="005E5BC0"/>
    <w:rsid w:val="005F164A"/>
    <w:rsid w:val="005F1820"/>
    <w:rsid w:val="005F25C9"/>
    <w:rsid w:val="00606C96"/>
    <w:rsid w:val="00607854"/>
    <w:rsid w:val="00613516"/>
    <w:rsid w:val="0063474C"/>
    <w:rsid w:val="00635A77"/>
    <w:rsid w:val="0063631C"/>
    <w:rsid w:val="00637D4E"/>
    <w:rsid w:val="0064646B"/>
    <w:rsid w:val="0065126D"/>
    <w:rsid w:val="0065327B"/>
    <w:rsid w:val="0065579F"/>
    <w:rsid w:val="00664651"/>
    <w:rsid w:val="00666DBB"/>
    <w:rsid w:val="00684049"/>
    <w:rsid w:val="00692442"/>
    <w:rsid w:val="006931D3"/>
    <w:rsid w:val="00693231"/>
    <w:rsid w:val="0069517F"/>
    <w:rsid w:val="006A1DE3"/>
    <w:rsid w:val="006A24C2"/>
    <w:rsid w:val="006A3397"/>
    <w:rsid w:val="006A4626"/>
    <w:rsid w:val="006B64C9"/>
    <w:rsid w:val="006E0C8C"/>
    <w:rsid w:val="006E1F16"/>
    <w:rsid w:val="006F666B"/>
    <w:rsid w:val="0070682D"/>
    <w:rsid w:val="0071408C"/>
    <w:rsid w:val="007154AD"/>
    <w:rsid w:val="0075158E"/>
    <w:rsid w:val="00752FEE"/>
    <w:rsid w:val="007745E9"/>
    <w:rsid w:val="00783334"/>
    <w:rsid w:val="00786CE4"/>
    <w:rsid w:val="007914E9"/>
    <w:rsid w:val="0079684D"/>
    <w:rsid w:val="007A0FB1"/>
    <w:rsid w:val="007A54E4"/>
    <w:rsid w:val="007B113F"/>
    <w:rsid w:val="007B3258"/>
    <w:rsid w:val="007B5E1B"/>
    <w:rsid w:val="007C17F4"/>
    <w:rsid w:val="007C517C"/>
    <w:rsid w:val="007D0849"/>
    <w:rsid w:val="007E25B9"/>
    <w:rsid w:val="007E6471"/>
    <w:rsid w:val="007F14FB"/>
    <w:rsid w:val="00801384"/>
    <w:rsid w:val="00802F39"/>
    <w:rsid w:val="00831927"/>
    <w:rsid w:val="00832AE4"/>
    <w:rsid w:val="00851514"/>
    <w:rsid w:val="008674E3"/>
    <w:rsid w:val="00867E84"/>
    <w:rsid w:val="00880ACE"/>
    <w:rsid w:val="00885120"/>
    <w:rsid w:val="00895E9B"/>
    <w:rsid w:val="008A46FF"/>
    <w:rsid w:val="008B65F8"/>
    <w:rsid w:val="008D1E6F"/>
    <w:rsid w:val="008E513D"/>
    <w:rsid w:val="008F63CA"/>
    <w:rsid w:val="00902BB5"/>
    <w:rsid w:val="00920A9B"/>
    <w:rsid w:val="00920C6E"/>
    <w:rsid w:val="0092561C"/>
    <w:rsid w:val="00925730"/>
    <w:rsid w:val="00932490"/>
    <w:rsid w:val="009464A7"/>
    <w:rsid w:val="00946888"/>
    <w:rsid w:val="00960F98"/>
    <w:rsid w:val="00961295"/>
    <w:rsid w:val="00964A37"/>
    <w:rsid w:val="00965DB6"/>
    <w:rsid w:val="009667C7"/>
    <w:rsid w:val="00971484"/>
    <w:rsid w:val="009715B4"/>
    <w:rsid w:val="0098731E"/>
    <w:rsid w:val="009B666C"/>
    <w:rsid w:val="009B75BF"/>
    <w:rsid w:val="009C00DA"/>
    <w:rsid w:val="009C3361"/>
    <w:rsid w:val="009C5018"/>
    <w:rsid w:val="009E1D79"/>
    <w:rsid w:val="009E65DC"/>
    <w:rsid w:val="00A01D37"/>
    <w:rsid w:val="00A07A6F"/>
    <w:rsid w:val="00A1091B"/>
    <w:rsid w:val="00A109C6"/>
    <w:rsid w:val="00A10A11"/>
    <w:rsid w:val="00A15C1C"/>
    <w:rsid w:val="00A17286"/>
    <w:rsid w:val="00A21CE5"/>
    <w:rsid w:val="00A327F6"/>
    <w:rsid w:val="00A73016"/>
    <w:rsid w:val="00A76A82"/>
    <w:rsid w:val="00A76C5C"/>
    <w:rsid w:val="00A81FFC"/>
    <w:rsid w:val="00A82E3B"/>
    <w:rsid w:val="00A84FDB"/>
    <w:rsid w:val="00A86B2F"/>
    <w:rsid w:val="00A90F25"/>
    <w:rsid w:val="00A97842"/>
    <w:rsid w:val="00AA00C0"/>
    <w:rsid w:val="00AB0E85"/>
    <w:rsid w:val="00AC193D"/>
    <w:rsid w:val="00AD19E0"/>
    <w:rsid w:val="00AD4060"/>
    <w:rsid w:val="00AD4158"/>
    <w:rsid w:val="00AD4464"/>
    <w:rsid w:val="00AE43D6"/>
    <w:rsid w:val="00AE6358"/>
    <w:rsid w:val="00AF079D"/>
    <w:rsid w:val="00AF41E1"/>
    <w:rsid w:val="00AF5CA9"/>
    <w:rsid w:val="00B01459"/>
    <w:rsid w:val="00B11339"/>
    <w:rsid w:val="00B15AD0"/>
    <w:rsid w:val="00B26B79"/>
    <w:rsid w:val="00B30B9D"/>
    <w:rsid w:val="00B35B11"/>
    <w:rsid w:val="00B36E19"/>
    <w:rsid w:val="00B47D6E"/>
    <w:rsid w:val="00B62174"/>
    <w:rsid w:val="00B70904"/>
    <w:rsid w:val="00B83A19"/>
    <w:rsid w:val="00B87B12"/>
    <w:rsid w:val="00B92548"/>
    <w:rsid w:val="00B92F1F"/>
    <w:rsid w:val="00B96D42"/>
    <w:rsid w:val="00B975F2"/>
    <w:rsid w:val="00BA5F05"/>
    <w:rsid w:val="00BB60D6"/>
    <w:rsid w:val="00BC1801"/>
    <w:rsid w:val="00BC23E3"/>
    <w:rsid w:val="00BC3E67"/>
    <w:rsid w:val="00BC6687"/>
    <w:rsid w:val="00BD35D8"/>
    <w:rsid w:val="00BE1CB2"/>
    <w:rsid w:val="00BE77F7"/>
    <w:rsid w:val="00BE7A99"/>
    <w:rsid w:val="00BF7D04"/>
    <w:rsid w:val="00C11874"/>
    <w:rsid w:val="00C31189"/>
    <w:rsid w:val="00C404EB"/>
    <w:rsid w:val="00C45AC9"/>
    <w:rsid w:val="00C53FB9"/>
    <w:rsid w:val="00C55C23"/>
    <w:rsid w:val="00C55F21"/>
    <w:rsid w:val="00C81C6B"/>
    <w:rsid w:val="00C92E87"/>
    <w:rsid w:val="00CA24B4"/>
    <w:rsid w:val="00CA27DC"/>
    <w:rsid w:val="00CA41F7"/>
    <w:rsid w:val="00CA5D25"/>
    <w:rsid w:val="00CA6F54"/>
    <w:rsid w:val="00CA7E3B"/>
    <w:rsid w:val="00CC5417"/>
    <w:rsid w:val="00CD2BEF"/>
    <w:rsid w:val="00CD50B1"/>
    <w:rsid w:val="00CE63DB"/>
    <w:rsid w:val="00CE7C6D"/>
    <w:rsid w:val="00CF55C8"/>
    <w:rsid w:val="00D01AB6"/>
    <w:rsid w:val="00D0211A"/>
    <w:rsid w:val="00D046C6"/>
    <w:rsid w:val="00D13683"/>
    <w:rsid w:val="00D146BD"/>
    <w:rsid w:val="00D166F9"/>
    <w:rsid w:val="00D167BF"/>
    <w:rsid w:val="00D22AC7"/>
    <w:rsid w:val="00D31F45"/>
    <w:rsid w:val="00D373E2"/>
    <w:rsid w:val="00D4240B"/>
    <w:rsid w:val="00D44E5A"/>
    <w:rsid w:val="00D57F00"/>
    <w:rsid w:val="00D623D8"/>
    <w:rsid w:val="00D63892"/>
    <w:rsid w:val="00D70256"/>
    <w:rsid w:val="00D73535"/>
    <w:rsid w:val="00D75992"/>
    <w:rsid w:val="00D84097"/>
    <w:rsid w:val="00D85EFE"/>
    <w:rsid w:val="00D85FDA"/>
    <w:rsid w:val="00D87DAF"/>
    <w:rsid w:val="00D91A06"/>
    <w:rsid w:val="00D94656"/>
    <w:rsid w:val="00DA5F58"/>
    <w:rsid w:val="00DB1C32"/>
    <w:rsid w:val="00DC0085"/>
    <w:rsid w:val="00DC17C3"/>
    <w:rsid w:val="00DC49FD"/>
    <w:rsid w:val="00DD25AE"/>
    <w:rsid w:val="00DD4193"/>
    <w:rsid w:val="00E03BC8"/>
    <w:rsid w:val="00E10CC7"/>
    <w:rsid w:val="00E154BB"/>
    <w:rsid w:val="00E16C47"/>
    <w:rsid w:val="00E209D4"/>
    <w:rsid w:val="00E25D63"/>
    <w:rsid w:val="00E36342"/>
    <w:rsid w:val="00E405B6"/>
    <w:rsid w:val="00E4119F"/>
    <w:rsid w:val="00E41630"/>
    <w:rsid w:val="00E53BFA"/>
    <w:rsid w:val="00E5446C"/>
    <w:rsid w:val="00E611F8"/>
    <w:rsid w:val="00E621E1"/>
    <w:rsid w:val="00E62628"/>
    <w:rsid w:val="00E80E0C"/>
    <w:rsid w:val="00E821F9"/>
    <w:rsid w:val="00E97E60"/>
    <w:rsid w:val="00EB139C"/>
    <w:rsid w:val="00EC15F6"/>
    <w:rsid w:val="00EC5820"/>
    <w:rsid w:val="00EC6F29"/>
    <w:rsid w:val="00ED029D"/>
    <w:rsid w:val="00ED11CD"/>
    <w:rsid w:val="00ED7CE4"/>
    <w:rsid w:val="00EE5673"/>
    <w:rsid w:val="00EE56AE"/>
    <w:rsid w:val="00EE67EA"/>
    <w:rsid w:val="00F11002"/>
    <w:rsid w:val="00F17013"/>
    <w:rsid w:val="00F215A0"/>
    <w:rsid w:val="00F327F5"/>
    <w:rsid w:val="00F37CBA"/>
    <w:rsid w:val="00F47016"/>
    <w:rsid w:val="00F857F3"/>
    <w:rsid w:val="00F95D83"/>
    <w:rsid w:val="00FA4B9B"/>
    <w:rsid w:val="00FB52CB"/>
    <w:rsid w:val="00FC17DC"/>
    <w:rsid w:val="00FF1A0B"/>
    <w:rsid w:val="00FF2F67"/>
    <w:rsid w:val="00FF3081"/>
    <w:rsid w:val="00FF4191"/>
    <w:rsid w:val="00FF6E58"/>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26ED9E"/>
  <w15:docId w15:val="{CAC9BD62-1523-489B-95ED-44FD93DCB1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5FDA"/>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C81C6B"/>
    <w:rPr>
      <w:color w:val="0563C1" w:themeColor="hyperlink"/>
      <w:u w:val="single"/>
    </w:rPr>
  </w:style>
  <w:style w:type="character" w:customStyle="1" w:styleId="MenoPendente1">
    <w:name w:val="Menção Pendente1"/>
    <w:basedOn w:val="Fontepargpadro"/>
    <w:uiPriority w:val="99"/>
    <w:semiHidden/>
    <w:unhideWhenUsed/>
    <w:rsid w:val="00C81C6B"/>
    <w:rPr>
      <w:color w:val="605E5C"/>
      <w:shd w:val="clear" w:color="auto" w:fill="E1DFDD"/>
    </w:rPr>
  </w:style>
  <w:style w:type="paragraph" w:styleId="Textodenotaderodap">
    <w:name w:val="footnote text"/>
    <w:aliases w:val=" Char Char,Char Char, Char Char Char Char,Nota de rodapé,fn,ALTS FOOTNOTE,Footnote Text Char,footnote text char, Char3,Char3,Texto de rodapé,Char3 Char Char Char Char, Char3 Char Char Char Char, Char3 Char Char,Char3 Char Char,f"/>
    <w:basedOn w:val="Normal"/>
    <w:link w:val="TextodenotaderodapChar"/>
    <w:uiPriority w:val="99"/>
    <w:qFormat/>
    <w:rsid w:val="00B15AD0"/>
    <w:pPr>
      <w:spacing w:after="0" w:line="240" w:lineRule="auto"/>
    </w:pPr>
    <w:rPr>
      <w:rFonts w:ascii="Times New Roman" w:eastAsia="Times New Roman" w:hAnsi="Times New Roman" w:cs="Times New Roman"/>
      <w:sz w:val="20"/>
      <w:szCs w:val="20"/>
      <w:lang w:eastAsia="pt-BR"/>
    </w:rPr>
  </w:style>
  <w:style w:type="character" w:customStyle="1" w:styleId="TextodenotaderodapChar">
    <w:name w:val="Texto de nota de rodapé Char"/>
    <w:aliases w:val=" Char Char Char,Char Char Char, Char Char Char Char Char,Nota de rodapé Char,fn Char,ALTS FOOTNOTE Char,Footnote Text Char Char,footnote text char Char, Char3 Char,Char3 Char,Texto de rodapé Char, Char3 Char Char Char,f Char"/>
    <w:basedOn w:val="Fontepargpadro"/>
    <w:link w:val="Textodenotaderodap"/>
    <w:uiPriority w:val="99"/>
    <w:qFormat/>
    <w:rsid w:val="00B15AD0"/>
    <w:rPr>
      <w:rFonts w:ascii="Times New Roman" w:eastAsia="Times New Roman" w:hAnsi="Times New Roman" w:cs="Times New Roman"/>
      <w:sz w:val="20"/>
      <w:szCs w:val="20"/>
      <w:lang w:eastAsia="pt-BR"/>
    </w:rPr>
  </w:style>
  <w:style w:type="character" w:styleId="Refdenotaderodap">
    <w:name w:val="footnote reference"/>
    <w:aliases w:val="sobrescrito,Ref,de nota al pie,FC,_Footnote Reference,_Footnote text,_Footnote,_Footnote Text,_Footnote base Reference,Footnote symbol,Style 12,(NECG) Footnote Reference,Referência de rodapé,Ref. de nota de rodapé monografia.,fr,o"/>
    <w:link w:val="frCharChar1"/>
    <w:uiPriority w:val="99"/>
    <w:qFormat/>
    <w:rsid w:val="00B15AD0"/>
    <w:rPr>
      <w:vertAlign w:val="superscript"/>
    </w:rPr>
  </w:style>
  <w:style w:type="paragraph" w:styleId="Cabealho">
    <w:name w:val="header"/>
    <w:basedOn w:val="Normal"/>
    <w:link w:val="CabealhoChar"/>
    <w:uiPriority w:val="99"/>
    <w:unhideWhenUsed/>
    <w:rsid w:val="00A327F6"/>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A327F6"/>
  </w:style>
  <w:style w:type="paragraph" w:styleId="Rodap">
    <w:name w:val="footer"/>
    <w:basedOn w:val="Normal"/>
    <w:link w:val="RodapChar"/>
    <w:uiPriority w:val="99"/>
    <w:unhideWhenUsed/>
    <w:rsid w:val="00A327F6"/>
    <w:pPr>
      <w:tabs>
        <w:tab w:val="center" w:pos="4252"/>
        <w:tab w:val="right" w:pos="8504"/>
      </w:tabs>
      <w:spacing w:after="0" w:line="240" w:lineRule="auto"/>
    </w:pPr>
  </w:style>
  <w:style w:type="character" w:customStyle="1" w:styleId="RodapChar">
    <w:name w:val="Rodapé Char"/>
    <w:basedOn w:val="Fontepargpadro"/>
    <w:link w:val="Rodap"/>
    <w:uiPriority w:val="99"/>
    <w:rsid w:val="00A327F6"/>
  </w:style>
  <w:style w:type="character" w:styleId="Refdecomentrio">
    <w:name w:val="annotation reference"/>
    <w:basedOn w:val="Fontepargpadro"/>
    <w:uiPriority w:val="99"/>
    <w:semiHidden/>
    <w:unhideWhenUsed/>
    <w:rsid w:val="00D87DAF"/>
    <w:rPr>
      <w:sz w:val="16"/>
      <w:szCs w:val="16"/>
    </w:rPr>
  </w:style>
  <w:style w:type="paragraph" w:styleId="Textodecomentrio">
    <w:name w:val="annotation text"/>
    <w:basedOn w:val="Normal"/>
    <w:link w:val="TextodecomentrioChar"/>
    <w:uiPriority w:val="99"/>
    <w:unhideWhenUsed/>
    <w:rsid w:val="00D87DAF"/>
    <w:pPr>
      <w:spacing w:line="240" w:lineRule="auto"/>
    </w:pPr>
    <w:rPr>
      <w:sz w:val="20"/>
      <w:szCs w:val="20"/>
    </w:rPr>
  </w:style>
  <w:style w:type="character" w:customStyle="1" w:styleId="TextodecomentrioChar">
    <w:name w:val="Texto de comentário Char"/>
    <w:basedOn w:val="Fontepargpadro"/>
    <w:link w:val="Textodecomentrio"/>
    <w:uiPriority w:val="99"/>
    <w:rsid w:val="00D87DAF"/>
    <w:rPr>
      <w:sz w:val="20"/>
      <w:szCs w:val="20"/>
    </w:rPr>
  </w:style>
  <w:style w:type="paragraph" w:styleId="Assuntodocomentrio">
    <w:name w:val="annotation subject"/>
    <w:basedOn w:val="Textodecomentrio"/>
    <w:next w:val="Textodecomentrio"/>
    <w:link w:val="AssuntodocomentrioChar"/>
    <w:uiPriority w:val="99"/>
    <w:semiHidden/>
    <w:unhideWhenUsed/>
    <w:rsid w:val="00D87DAF"/>
    <w:rPr>
      <w:b/>
      <w:bCs/>
    </w:rPr>
  </w:style>
  <w:style w:type="character" w:customStyle="1" w:styleId="AssuntodocomentrioChar">
    <w:name w:val="Assunto do comentário Char"/>
    <w:basedOn w:val="TextodecomentrioChar"/>
    <w:link w:val="Assuntodocomentrio"/>
    <w:uiPriority w:val="99"/>
    <w:semiHidden/>
    <w:rsid w:val="00D87DAF"/>
    <w:rPr>
      <w:b/>
      <w:bCs/>
      <w:sz w:val="20"/>
      <w:szCs w:val="20"/>
    </w:rPr>
  </w:style>
  <w:style w:type="paragraph" w:styleId="Textodebalo">
    <w:name w:val="Balloon Text"/>
    <w:basedOn w:val="Normal"/>
    <w:link w:val="TextodebaloChar"/>
    <w:uiPriority w:val="99"/>
    <w:semiHidden/>
    <w:unhideWhenUsed/>
    <w:rsid w:val="002628DD"/>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2628DD"/>
    <w:rPr>
      <w:rFonts w:ascii="Segoe UI" w:hAnsi="Segoe UI" w:cs="Segoe UI"/>
      <w:sz w:val="18"/>
      <w:szCs w:val="18"/>
    </w:rPr>
  </w:style>
  <w:style w:type="paragraph" w:customStyle="1" w:styleId="recmenor">
    <w:name w:val="rec menor"/>
    <w:basedOn w:val="Normal"/>
    <w:uiPriority w:val="99"/>
    <w:rsid w:val="00C92E87"/>
    <w:pPr>
      <w:widowControl w:val="0"/>
      <w:suppressAutoHyphens/>
      <w:autoSpaceDE w:val="0"/>
      <w:autoSpaceDN w:val="0"/>
      <w:adjustRightInd w:val="0"/>
      <w:spacing w:before="170" w:after="283" w:line="220" w:lineRule="atLeast"/>
      <w:ind w:left="454" w:right="397"/>
      <w:jc w:val="both"/>
      <w:textAlignment w:val="center"/>
    </w:pPr>
    <w:rPr>
      <w:rFonts w:ascii="MinionPro-Regular" w:eastAsiaTheme="minorEastAsia" w:hAnsi="MinionPro-Regular" w:cs="MinionPro-Regular"/>
      <w:color w:val="000000"/>
      <w:w w:val="101"/>
      <w:sz w:val="20"/>
      <w:szCs w:val="20"/>
      <w:lang w:eastAsia="pt-BR"/>
    </w:rPr>
  </w:style>
  <w:style w:type="paragraph" w:customStyle="1" w:styleId="nota">
    <w:name w:val="nota"/>
    <w:basedOn w:val="Normal"/>
    <w:uiPriority w:val="99"/>
    <w:rsid w:val="00C92E87"/>
    <w:pPr>
      <w:widowControl w:val="0"/>
      <w:tabs>
        <w:tab w:val="left" w:pos="320"/>
      </w:tabs>
      <w:autoSpaceDE w:val="0"/>
      <w:autoSpaceDN w:val="0"/>
      <w:adjustRightInd w:val="0"/>
      <w:spacing w:after="57" w:line="200" w:lineRule="atLeast"/>
      <w:ind w:left="227" w:hanging="227"/>
      <w:jc w:val="both"/>
      <w:textAlignment w:val="center"/>
    </w:pPr>
    <w:rPr>
      <w:rFonts w:ascii="MyriadPro-Regular" w:eastAsiaTheme="minorEastAsia" w:hAnsi="MyriadPro-Regular" w:cs="MyriadPro-Regular"/>
      <w:color w:val="000000"/>
      <w:sz w:val="17"/>
      <w:szCs w:val="17"/>
      <w:lang w:eastAsia="pt-BR"/>
    </w:rPr>
  </w:style>
  <w:style w:type="character" w:customStyle="1" w:styleId="italico">
    <w:name w:val="italico"/>
    <w:uiPriority w:val="99"/>
    <w:rsid w:val="00C92E87"/>
    <w:rPr>
      <w:i/>
      <w:color w:val="000000"/>
    </w:rPr>
  </w:style>
  <w:style w:type="character" w:customStyle="1" w:styleId="elevado">
    <w:name w:val="elevado"/>
    <w:uiPriority w:val="99"/>
    <w:rsid w:val="00C92E87"/>
    <w:rPr>
      <w:color w:val="000000"/>
      <w:vertAlign w:val="superscript"/>
    </w:rPr>
  </w:style>
  <w:style w:type="paragraph" w:customStyle="1" w:styleId="t">
    <w:name w:val="t"/>
    <w:basedOn w:val="Normal"/>
    <w:next w:val="Normal"/>
    <w:uiPriority w:val="99"/>
    <w:rsid w:val="00D167BF"/>
    <w:pPr>
      <w:widowControl w:val="0"/>
      <w:autoSpaceDE w:val="0"/>
      <w:autoSpaceDN w:val="0"/>
      <w:adjustRightInd w:val="0"/>
      <w:spacing w:after="57" w:line="240" w:lineRule="atLeast"/>
      <w:ind w:firstLine="454"/>
      <w:jc w:val="both"/>
      <w:textAlignment w:val="center"/>
    </w:pPr>
    <w:rPr>
      <w:rFonts w:ascii="MinionPro-Regular" w:eastAsiaTheme="minorEastAsia" w:hAnsi="MinionPro-Regular" w:cs="MinionPro-Regular"/>
      <w:color w:val="000000"/>
      <w:sz w:val="21"/>
      <w:szCs w:val="21"/>
      <w:lang w:eastAsia="pt-BR"/>
    </w:rPr>
  </w:style>
  <w:style w:type="paragraph" w:styleId="PargrafodaLista">
    <w:name w:val="List Paragraph"/>
    <w:basedOn w:val="Normal"/>
    <w:uiPriority w:val="34"/>
    <w:qFormat/>
    <w:rsid w:val="00FC17DC"/>
    <w:pPr>
      <w:ind w:left="720"/>
      <w:contextualSpacing/>
    </w:pPr>
  </w:style>
  <w:style w:type="paragraph" w:styleId="Reviso">
    <w:name w:val="Revision"/>
    <w:hidden/>
    <w:uiPriority w:val="99"/>
    <w:semiHidden/>
    <w:rsid w:val="00174761"/>
    <w:pPr>
      <w:spacing w:after="0" w:line="240" w:lineRule="auto"/>
    </w:pPr>
  </w:style>
  <w:style w:type="paragraph" w:customStyle="1" w:styleId="recmenorfim">
    <w:name w:val="rec menor fim"/>
    <w:basedOn w:val="t"/>
    <w:uiPriority w:val="99"/>
    <w:rsid w:val="00A97842"/>
    <w:pPr>
      <w:suppressAutoHyphens/>
      <w:spacing w:after="283" w:line="220" w:lineRule="atLeast"/>
      <w:ind w:left="454" w:right="397" w:firstLine="0"/>
    </w:pPr>
    <w:rPr>
      <w:rFonts w:eastAsia="Times New Roman"/>
      <w:sz w:val="20"/>
      <w:szCs w:val="20"/>
    </w:rPr>
  </w:style>
  <w:style w:type="paragraph" w:customStyle="1" w:styleId="recmenorinicio">
    <w:name w:val="rec menor inicio"/>
    <w:basedOn w:val="t"/>
    <w:uiPriority w:val="99"/>
    <w:rsid w:val="00A97842"/>
    <w:pPr>
      <w:suppressAutoHyphens/>
      <w:spacing w:before="170" w:line="220" w:lineRule="atLeast"/>
      <w:ind w:left="454" w:right="397" w:firstLine="0"/>
    </w:pPr>
    <w:rPr>
      <w:rFonts w:eastAsia="Times New Roman"/>
      <w:sz w:val="20"/>
      <w:szCs w:val="20"/>
    </w:rPr>
  </w:style>
  <w:style w:type="paragraph" w:customStyle="1" w:styleId="recmenormeio">
    <w:name w:val="rec menor meio"/>
    <w:basedOn w:val="t"/>
    <w:uiPriority w:val="99"/>
    <w:rsid w:val="00A97842"/>
    <w:pPr>
      <w:suppressAutoHyphens/>
      <w:spacing w:line="220" w:lineRule="atLeast"/>
      <w:ind w:left="454" w:right="397" w:firstLine="0"/>
    </w:pPr>
    <w:rPr>
      <w:rFonts w:eastAsia="Times New Roman"/>
      <w:sz w:val="20"/>
      <w:szCs w:val="20"/>
    </w:rPr>
  </w:style>
  <w:style w:type="paragraph" w:customStyle="1" w:styleId="07-Citaolegal-CLG">
    <w:name w:val="07 - Citação legal - CLG"/>
    <w:qFormat/>
    <w:rsid w:val="00E5446C"/>
    <w:pPr>
      <w:spacing w:after="120" w:line="240" w:lineRule="auto"/>
      <w:ind w:left="1985" w:firstLine="567"/>
      <w:jc w:val="both"/>
    </w:pPr>
    <w:rPr>
      <w:rFonts w:ascii="Times New Roman" w:eastAsia="Times New Roman" w:hAnsi="Times New Roman" w:cs="Times New Roman"/>
      <w:bCs/>
      <w:sz w:val="24"/>
      <w:szCs w:val="20"/>
      <w:lang w:eastAsia="pt-BR"/>
    </w:rPr>
  </w:style>
  <w:style w:type="character" w:customStyle="1" w:styleId="MenoPendente2">
    <w:name w:val="Menção Pendente2"/>
    <w:basedOn w:val="Fontepargpadro"/>
    <w:uiPriority w:val="99"/>
    <w:semiHidden/>
    <w:unhideWhenUsed/>
    <w:rsid w:val="008B65F8"/>
    <w:rPr>
      <w:color w:val="605E5C"/>
      <w:shd w:val="clear" w:color="auto" w:fill="E1DFDD"/>
    </w:rPr>
  </w:style>
  <w:style w:type="paragraph" w:customStyle="1" w:styleId="05-PargrafodetextoPROJETO-CLG">
    <w:name w:val="05 - Parágrafo de texto PROJETO- CLG"/>
    <w:qFormat/>
    <w:rsid w:val="00B62174"/>
    <w:pPr>
      <w:spacing w:after="360" w:line="240" w:lineRule="auto"/>
      <w:ind w:firstLine="1418"/>
      <w:jc w:val="both"/>
    </w:pPr>
    <w:rPr>
      <w:rFonts w:ascii="Times New Roman" w:eastAsia="Times New Roman" w:hAnsi="Times New Roman" w:cs="Times New Roman"/>
      <w:sz w:val="28"/>
      <w:szCs w:val="20"/>
      <w:lang w:eastAsia="pt-BR"/>
    </w:rPr>
  </w:style>
  <w:style w:type="paragraph" w:customStyle="1" w:styleId="frCharChar1">
    <w:name w:val="fr Char Char1"/>
    <w:aliases w:val="fr Char Char Char, Char Char6 Char Char Char Char Char Char Char Char Char Char Char, Char6 Char Char Char Char Char Char Char Char Char Char Char Char,Char Char6 Char Char Char Char Char Char Char Char Char Char Char"/>
    <w:basedOn w:val="Normal"/>
    <w:link w:val="Refdenotaderodap"/>
    <w:uiPriority w:val="99"/>
    <w:rsid w:val="00B62174"/>
    <w:pPr>
      <w:spacing w:after="120" w:line="360" w:lineRule="auto"/>
      <w:jc w:val="center"/>
    </w:pPr>
    <w:rPr>
      <w:vertAlign w:val="superscript"/>
    </w:rPr>
  </w:style>
  <w:style w:type="paragraph" w:styleId="Textodenotadefim">
    <w:name w:val="endnote text"/>
    <w:basedOn w:val="Normal"/>
    <w:link w:val="TextodenotadefimChar"/>
    <w:uiPriority w:val="99"/>
    <w:semiHidden/>
    <w:unhideWhenUsed/>
    <w:rsid w:val="00E4119F"/>
    <w:pPr>
      <w:spacing w:after="0" w:line="240" w:lineRule="auto"/>
    </w:pPr>
    <w:rPr>
      <w:sz w:val="20"/>
      <w:szCs w:val="20"/>
    </w:rPr>
  </w:style>
  <w:style w:type="character" w:customStyle="1" w:styleId="TextodenotadefimChar">
    <w:name w:val="Texto de nota de fim Char"/>
    <w:basedOn w:val="Fontepargpadro"/>
    <w:link w:val="Textodenotadefim"/>
    <w:uiPriority w:val="99"/>
    <w:semiHidden/>
    <w:rsid w:val="00E4119F"/>
    <w:rPr>
      <w:sz w:val="20"/>
      <w:szCs w:val="20"/>
    </w:rPr>
  </w:style>
  <w:style w:type="character" w:styleId="Refdenotadefim">
    <w:name w:val="endnote reference"/>
    <w:basedOn w:val="Fontepargpadro"/>
    <w:uiPriority w:val="99"/>
    <w:semiHidden/>
    <w:unhideWhenUsed/>
    <w:rsid w:val="00E4119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094809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09BB38-0B6D-4C5E-B530-8083B9B395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8</Pages>
  <Words>2827</Words>
  <Characters>15268</Characters>
  <Application>Microsoft Office Word</Application>
  <DocSecurity>0</DocSecurity>
  <Lines>127</Lines>
  <Paragraphs>36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18059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lider</dc:creator>
  <cp:lastModifiedBy>Flávio Tartuce</cp:lastModifiedBy>
  <cp:revision>2</cp:revision>
  <dcterms:created xsi:type="dcterms:W3CDTF">2025-02-16T21:01:00Z</dcterms:created>
  <dcterms:modified xsi:type="dcterms:W3CDTF">2025-02-16T21:01:00Z</dcterms:modified>
</cp:coreProperties>
</file>