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D6122" w14:textId="53EE7C3D" w:rsidR="00D75992"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 </w:t>
      </w:r>
      <w:r w:rsidR="00CA24B4">
        <w:rPr>
          <w:rFonts w:ascii="Times New Roman" w:hAnsi="Times New Roman" w:cs="Times New Roman"/>
          <w:b/>
          <w:bCs/>
          <w:sz w:val="24"/>
          <w:szCs w:val="24"/>
        </w:rPr>
        <w:t xml:space="preserve"> A CESSÃO DE DIREITOS HEREDITÁRIOS</w:t>
      </w:r>
      <w:r w:rsidR="000272D3">
        <w:rPr>
          <w:rFonts w:ascii="Times New Roman" w:hAnsi="Times New Roman" w:cs="Times New Roman"/>
          <w:b/>
          <w:bCs/>
          <w:sz w:val="24"/>
          <w:szCs w:val="24"/>
        </w:rPr>
        <w:t xml:space="preserve"> </w:t>
      </w:r>
    </w:p>
    <w:p w14:paraId="59243BED" w14:textId="77777777" w:rsidR="00B62174" w:rsidRDefault="00B62174" w:rsidP="00B15AD0">
      <w:pPr>
        <w:spacing w:before="120" w:after="120" w:line="360" w:lineRule="auto"/>
        <w:jc w:val="right"/>
        <w:rPr>
          <w:rFonts w:ascii="Times New Roman" w:hAnsi="Times New Roman" w:cs="Times New Roman"/>
          <w:bCs/>
          <w:sz w:val="24"/>
          <w:szCs w:val="24"/>
        </w:rPr>
      </w:pPr>
    </w:p>
    <w:p w14:paraId="5E1BE67C" w14:textId="77777777" w:rsidR="00B15AD0" w:rsidRPr="0027030E" w:rsidRDefault="00B15AD0" w:rsidP="00B15AD0">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6F6618C2" w14:textId="77777777" w:rsidR="00B26B79" w:rsidRDefault="00B26B79" w:rsidP="00B26B79">
      <w:pPr>
        <w:pStyle w:val="t"/>
        <w:spacing w:before="120" w:after="120" w:line="360" w:lineRule="auto"/>
        <w:ind w:firstLine="1701"/>
        <w:rPr>
          <w:rFonts w:ascii="Times New Roman" w:hAnsi="Times New Roman" w:cs="Times New Roman"/>
          <w:sz w:val="24"/>
          <w:szCs w:val="24"/>
        </w:rPr>
      </w:pPr>
    </w:p>
    <w:p w14:paraId="2B10E334" w14:textId="55934831" w:rsidR="003B0F36" w:rsidRPr="003B0F36" w:rsidRDefault="003B0F36" w:rsidP="003B0F36">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é notório</w:t>
      </w:r>
      <w:r w:rsidRPr="003B0F36">
        <w:rPr>
          <w:rFonts w:ascii="Times New Roman" w:hAnsi="Times New Roman" w:cs="Times New Roman"/>
          <w:sz w:val="24"/>
          <w:szCs w:val="24"/>
        </w:rPr>
        <w:t>, a herança é um bem indivisível antes da partilha</w:t>
      </w:r>
      <w:r>
        <w:rPr>
          <w:rFonts w:ascii="Times New Roman" w:hAnsi="Times New Roman" w:cs="Times New Roman"/>
          <w:sz w:val="24"/>
          <w:szCs w:val="24"/>
        </w:rPr>
        <w:t xml:space="preserve">, prevendo o art. </w:t>
      </w:r>
      <w:r w:rsidRPr="003B0F36">
        <w:rPr>
          <w:rFonts w:ascii="Times New Roman" w:hAnsi="Times New Roman" w:cs="Times New Roman"/>
          <w:sz w:val="24"/>
          <w:szCs w:val="24"/>
        </w:rPr>
        <w:t>1.791 do Código Civil</w:t>
      </w:r>
      <w:r>
        <w:rPr>
          <w:rFonts w:ascii="Times New Roman" w:hAnsi="Times New Roman" w:cs="Times New Roman"/>
          <w:sz w:val="24"/>
          <w:szCs w:val="24"/>
        </w:rPr>
        <w:t xml:space="preserve"> em vigor que</w:t>
      </w:r>
      <w:r w:rsidRPr="003B0F36">
        <w:rPr>
          <w:rFonts w:ascii="Times New Roman" w:hAnsi="Times New Roman" w:cs="Times New Roman"/>
          <w:sz w:val="24"/>
          <w:szCs w:val="24"/>
        </w:rPr>
        <w:t xml:space="preserve"> a herança defere-se como um todo unitário, ainda que vários sejam os herdeiros. Pelo mesmo comando legal, até a partilha, o direito dos coerdeiros, quanto à propriedade e </w:t>
      </w:r>
      <w:r w:rsidR="00606C96">
        <w:rPr>
          <w:rFonts w:ascii="Times New Roman" w:hAnsi="Times New Roman" w:cs="Times New Roman"/>
          <w:sz w:val="24"/>
          <w:szCs w:val="24"/>
        </w:rPr>
        <w:t xml:space="preserve">à </w:t>
      </w:r>
      <w:r w:rsidRPr="003B0F36">
        <w:rPr>
          <w:rFonts w:ascii="Times New Roman" w:hAnsi="Times New Roman" w:cs="Times New Roman"/>
          <w:sz w:val="24"/>
          <w:szCs w:val="24"/>
        </w:rPr>
        <w:t xml:space="preserve">posse da herança, será indivisível, e regular-se-á pelas normas relativas ao condomínio. Forma-se, então, um condomínio eventual </w:t>
      </w:r>
      <w:r w:rsidRPr="003B0F36">
        <w:rPr>
          <w:rFonts w:ascii="Times New Roman" w:hAnsi="Times New Roman" w:cs="Times New Roman"/>
          <w:i/>
          <w:iCs/>
          <w:sz w:val="24"/>
          <w:szCs w:val="24"/>
        </w:rPr>
        <w:t>pro indiviso</w:t>
      </w:r>
      <w:r w:rsidRPr="003B0F36">
        <w:rPr>
          <w:rFonts w:ascii="Times New Roman" w:hAnsi="Times New Roman" w:cs="Times New Roman"/>
          <w:sz w:val="24"/>
          <w:szCs w:val="24"/>
        </w:rPr>
        <w:t xml:space="preserve"> em relação aos bens que integram a herança, até o momento da partilha entre os herdeiros.</w:t>
      </w:r>
    </w:p>
    <w:p w14:paraId="7CFEA6FE" w14:textId="1476D172" w:rsid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Como consequência da existência desse condomínio, existem restrições ao direito do herdeiro em ceder o quinhão hereditário a outrem. </w:t>
      </w:r>
      <w:r>
        <w:rPr>
          <w:rFonts w:ascii="Times New Roman" w:hAnsi="Times New Roman" w:cs="Times New Roman"/>
          <w:sz w:val="24"/>
          <w:szCs w:val="24"/>
        </w:rPr>
        <w:t xml:space="preserve">Assim sendo, o </w:t>
      </w:r>
      <w:r w:rsidRPr="003B0F36">
        <w:rPr>
          <w:rFonts w:ascii="Times New Roman" w:hAnsi="Times New Roman" w:cs="Times New Roman"/>
          <w:i/>
          <w:iCs/>
          <w:sz w:val="24"/>
          <w:szCs w:val="24"/>
        </w:rPr>
        <w:t>caput</w:t>
      </w:r>
      <w:r w:rsidRPr="003B0F36">
        <w:rPr>
          <w:rFonts w:ascii="Times New Roman" w:hAnsi="Times New Roman" w:cs="Times New Roman"/>
          <w:sz w:val="24"/>
          <w:szCs w:val="24"/>
        </w:rPr>
        <w:t xml:space="preserve"> do art. 1.793 </w:t>
      </w:r>
      <w:r>
        <w:rPr>
          <w:rFonts w:ascii="Times New Roman" w:hAnsi="Times New Roman" w:cs="Times New Roman"/>
          <w:sz w:val="24"/>
          <w:szCs w:val="24"/>
        </w:rPr>
        <w:t>da Lei Geral Privada</w:t>
      </w:r>
      <w:r w:rsidRPr="003B0F36">
        <w:rPr>
          <w:rFonts w:ascii="Times New Roman" w:hAnsi="Times New Roman" w:cs="Times New Roman"/>
          <w:sz w:val="24"/>
          <w:szCs w:val="24"/>
        </w:rPr>
        <w:t xml:space="preserve"> consagra a possibilidade de o direito à sucessão aberta, bem como o quinhão de que disponha o coerdeiro, ser objeto de cessão por escritura pública</w:t>
      </w:r>
      <w:r w:rsidR="00D94656">
        <w:rPr>
          <w:rFonts w:ascii="Times New Roman" w:hAnsi="Times New Roman" w:cs="Times New Roman"/>
          <w:sz w:val="24"/>
          <w:szCs w:val="24"/>
        </w:rPr>
        <w:t>, a ser lavrada perante o Tabelionato de Notas</w:t>
      </w:r>
      <w:r w:rsidRPr="003B0F36">
        <w:rPr>
          <w:rFonts w:ascii="Times New Roman" w:hAnsi="Times New Roman" w:cs="Times New Roman"/>
          <w:sz w:val="24"/>
          <w:szCs w:val="24"/>
        </w:rPr>
        <w:t>.</w:t>
      </w:r>
      <w:r>
        <w:rPr>
          <w:rFonts w:ascii="Times New Roman" w:hAnsi="Times New Roman" w:cs="Times New Roman"/>
          <w:sz w:val="24"/>
          <w:szCs w:val="24"/>
        </w:rPr>
        <w:t xml:space="preserve"> Em complemento, o §</w:t>
      </w:r>
      <w:r w:rsidR="00606C96">
        <w:rPr>
          <w:rFonts w:ascii="Times New Roman" w:hAnsi="Times New Roman" w:cs="Times New Roman"/>
          <w:sz w:val="24"/>
          <w:szCs w:val="24"/>
        </w:rPr>
        <w:t xml:space="preserve"> </w:t>
      </w:r>
      <w:r>
        <w:rPr>
          <w:rFonts w:ascii="Times New Roman" w:hAnsi="Times New Roman" w:cs="Times New Roman"/>
          <w:sz w:val="24"/>
          <w:szCs w:val="24"/>
        </w:rPr>
        <w:t>1º desse mesmo preceito estabelece que os</w:t>
      </w:r>
      <w:r w:rsidRPr="003B0F36">
        <w:rPr>
          <w:rFonts w:ascii="Times New Roman" w:hAnsi="Times New Roman" w:cs="Times New Roman"/>
          <w:sz w:val="24"/>
          <w:szCs w:val="24"/>
        </w:rPr>
        <w:t xml:space="preserve"> direitos conferidos ao herdeiro em </w:t>
      </w:r>
      <w:r w:rsidR="00606C96" w:rsidRPr="003B0F36">
        <w:rPr>
          <w:rFonts w:ascii="Times New Roman" w:hAnsi="Times New Roman" w:cs="Times New Roman"/>
          <w:sz w:val="24"/>
          <w:szCs w:val="24"/>
        </w:rPr>
        <w:t>conseq</w:t>
      </w:r>
      <w:r w:rsidR="00606C96">
        <w:rPr>
          <w:rFonts w:ascii="Times New Roman" w:hAnsi="Times New Roman" w:cs="Times New Roman"/>
          <w:sz w:val="24"/>
          <w:szCs w:val="24"/>
        </w:rPr>
        <w:t>u</w:t>
      </w:r>
      <w:r w:rsidR="00606C96" w:rsidRPr="003B0F36">
        <w:rPr>
          <w:rFonts w:ascii="Times New Roman" w:hAnsi="Times New Roman" w:cs="Times New Roman"/>
          <w:sz w:val="24"/>
          <w:szCs w:val="24"/>
        </w:rPr>
        <w:t xml:space="preserve">ência </w:t>
      </w:r>
      <w:r w:rsidRPr="003B0F36">
        <w:rPr>
          <w:rFonts w:ascii="Times New Roman" w:hAnsi="Times New Roman" w:cs="Times New Roman"/>
          <w:sz w:val="24"/>
          <w:szCs w:val="24"/>
        </w:rPr>
        <w:t>de substituição ou de direito de acrescer presumem-se não abrangidos p</w:t>
      </w:r>
      <w:r>
        <w:rPr>
          <w:rFonts w:ascii="Times New Roman" w:hAnsi="Times New Roman" w:cs="Times New Roman"/>
          <w:sz w:val="24"/>
          <w:szCs w:val="24"/>
        </w:rPr>
        <w:t xml:space="preserve">or eventual </w:t>
      </w:r>
      <w:r w:rsidRPr="003B0F36">
        <w:rPr>
          <w:rFonts w:ascii="Times New Roman" w:hAnsi="Times New Roman" w:cs="Times New Roman"/>
          <w:sz w:val="24"/>
          <w:szCs w:val="24"/>
        </w:rPr>
        <w:t>cessão feita anteriormente.</w:t>
      </w:r>
    </w:p>
    <w:p w14:paraId="35226B91" w14:textId="6EBDF511" w:rsid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Para que tal cessão seja possível, obviamente, é preciso </w:t>
      </w:r>
      <w:r w:rsidR="002A4A94">
        <w:rPr>
          <w:rFonts w:ascii="Times New Roman" w:hAnsi="Times New Roman" w:cs="Times New Roman"/>
          <w:sz w:val="24"/>
          <w:szCs w:val="24"/>
        </w:rPr>
        <w:t xml:space="preserve">que o cedente tenha a </w:t>
      </w:r>
      <w:r w:rsidR="006A24C2">
        <w:rPr>
          <w:rFonts w:ascii="Times New Roman" w:hAnsi="Times New Roman" w:cs="Times New Roman"/>
          <w:sz w:val="24"/>
          <w:szCs w:val="24"/>
        </w:rPr>
        <w:t xml:space="preserve">condição de </w:t>
      </w:r>
      <w:r w:rsidRPr="003B0F36">
        <w:rPr>
          <w:rFonts w:ascii="Times New Roman" w:hAnsi="Times New Roman" w:cs="Times New Roman"/>
          <w:sz w:val="24"/>
          <w:szCs w:val="24"/>
        </w:rPr>
        <w:t>herdeiro</w:t>
      </w:r>
      <w:r>
        <w:rPr>
          <w:rFonts w:ascii="Times New Roman" w:hAnsi="Times New Roman" w:cs="Times New Roman"/>
          <w:sz w:val="24"/>
          <w:szCs w:val="24"/>
        </w:rPr>
        <w:t xml:space="preserve">, </w:t>
      </w:r>
      <w:r w:rsidR="00E4119F">
        <w:rPr>
          <w:rFonts w:ascii="Times New Roman" w:hAnsi="Times New Roman" w:cs="Times New Roman"/>
          <w:sz w:val="24"/>
          <w:szCs w:val="24"/>
        </w:rPr>
        <w:t>dizendo ela respeito</w:t>
      </w:r>
      <w:r>
        <w:rPr>
          <w:rFonts w:ascii="Times New Roman" w:hAnsi="Times New Roman" w:cs="Times New Roman"/>
          <w:sz w:val="24"/>
          <w:szCs w:val="24"/>
        </w:rPr>
        <w:t xml:space="preserve"> herança e não à meação</w:t>
      </w:r>
      <w:r w:rsidR="00E4119F">
        <w:rPr>
          <w:rFonts w:ascii="Times New Roman" w:hAnsi="Times New Roman" w:cs="Times New Roman"/>
          <w:sz w:val="24"/>
          <w:szCs w:val="24"/>
        </w:rPr>
        <w:t xml:space="preserve"> do cônjuge ou </w:t>
      </w:r>
      <w:r w:rsidR="00D94656">
        <w:rPr>
          <w:rFonts w:ascii="Times New Roman" w:hAnsi="Times New Roman" w:cs="Times New Roman"/>
          <w:sz w:val="24"/>
          <w:szCs w:val="24"/>
        </w:rPr>
        <w:t xml:space="preserve">do </w:t>
      </w:r>
      <w:r w:rsidR="00E4119F">
        <w:rPr>
          <w:rFonts w:ascii="Times New Roman" w:hAnsi="Times New Roman" w:cs="Times New Roman"/>
          <w:sz w:val="24"/>
          <w:szCs w:val="24"/>
        </w:rPr>
        <w:t>convivente</w:t>
      </w:r>
      <w:r w:rsidR="002A4A94">
        <w:rPr>
          <w:rFonts w:ascii="Times New Roman" w:hAnsi="Times New Roman" w:cs="Times New Roman"/>
          <w:sz w:val="24"/>
          <w:szCs w:val="24"/>
        </w:rPr>
        <w:t>, não se podendo confundir os dois conceitos</w:t>
      </w:r>
      <w:r w:rsidRPr="003B0F36">
        <w:rPr>
          <w:rFonts w:ascii="Times New Roman" w:hAnsi="Times New Roman" w:cs="Times New Roman"/>
          <w:sz w:val="24"/>
          <w:szCs w:val="24"/>
        </w:rPr>
        <w:t>. Por isso, concluiu o Superior Tribunal de Justiça</w:t>
      </w:r>
      <w:r>
        <w:rPr>
          <w:rFonts w:ascii="Times New Roman" w:hAnsi="Times New Roman" w:cs="Times New Roman"/>
          <w:sz w:val="24"/>
          <w:szCs w:val="24"/>
        </w:rPr>
        <w:t xml:space="preserve"> que </w:t>
      </w:r>
      <w:r w:rsidRPr="003B0F36">
        <w:rPr>
          <w:rFonts w:ascii="Times New Roman" w:hAnsi="Times New Roman" w:cs="Times New Roman"/>
          <w:sz w:val="24"/>
          <w:szCs w:val="24"/>
        </w:rPr>
        <w:t>“</w:t>
      </w:r>
      <w:r>
        <w:rPr>
          <w:rFonts w:ascii="Times New Roman" w:hAnsi="Times New Roman" w:cs="Times New Roman"/>
          <w:sz w:val="24"/>
          <w:szCs w:val="24"/>
        </w:rPr>
        <w:t>o</w:t>
      </w:r>
      <w:r w:rsidRPr="003B0F36">
        <w:rPr>
          <w:rFonts w:ascii="Times New Roman" w:hAnsi="Times New Roman" w:cs="Times New Roman"/>
          <w:sz w:val="24"/>
          <w:szCs w:val="24"/>
        </w:rPr>
        <w:t xml:space="preserve"> ato para dispor da meação não se equipara à cessão de direitos hered</w:t>
      </w:r>
      <w:r>
        <w:rPr>
          <w:rFonts w:ascii="Times New Roman" w:hAnsi="Times New Roman" w:cs="Times New Roman"/>
          <w:sz w:val="24"/>
          <w:szCs w:val="24"/>
        </w:rPr>
        <w:t>i</w:t>
      </w:r>
      <w:r w:rsidRPr="003B0F36">
        <w:rPr>
          <w:rFonts w:ascii="Times New Roman" w:hAnsi="Times New Roman" w:cs="Times New Roman"/>
          <w:sz w:val="24"/>
          <w:szCs w:val="24"/>
        </w:rPr>
        <w:t xml:space="preserve">tários, prevista no art. 1.793 do Código Civil, porque esta pressupõe a condição de herdeiro para que possa ser efetivada. Embora o art. 1.806 do Código Civil admita que a renúncia à herança possa ser efetivada por instrumento público ou termo judicial, a </w:t>
      </w:r>
      <w:r w:rsidRPr="003B0F36">
        <w:rPr>
          <w:rFonts w:ascii="Times New Roman" w:hAnsi="Times New Roman" w:cs="Times New Roman"/>
          <w:sz w:val="24"/>
          <w:szCs w:val="24"/>
        </w:rPr>
        <w:lastRenderedPageBreak/>
        <w:t xml:space="preserve">meação não se confunde com a herança. A renúncia da herança pressupõe a abertura da sucessão e só pode ser realizada por aqueles que ostentam a condição de herdeiro. O ato de disposição patrimonial representado pela cessão gratuita da meação em favor dos herdeiros configura uma verdadeira doação, a qual, nos termos do art. 541 do Código Civil, far-se-á por Escritura Pública ou instrumento particular, sendo que, na hipótese, deve ser adotado o instrumento público, por conta do disposto no art. 108 do Código Civil” (STJ, REsp 1.196.992/MS, 3.ª Turma, Rel. Min. Nancy Andrighi, j. 06.08.2013, </w:t>
      </w:r>
      <w:r w:rsidRPr="006A24C2">
        <w:rPr>
          <w:rFonts w:ascii="Times New Roman" w:hAnsi="Times New Roman" w:cs="Times New Roman"/>
          <w:i/>
          <w:iCs/>
          <w:sz w:val="24"/>
          <w:szCs w:val="24"/>
        </w:rPr>
        <w:t>DJe</w:t>
      </w:r>
      <w:r w:rsidRPr="003B0F36">
        <w:rPr>
          <w:rFonts w:ascii="Times New Roman" w:hAnsi="Times New Roman" w:cs="Times New Roman"/>
          <w:sz w:val="24"/>
          <w:szCs w:val="24"/>
        </w:rPr>
        <w:t xml:space="preserve"> 22.08.2013).</w:t>
      </w:r>
    </w:p>
    <w:p w14:paraId="7581E4A4" w14:textId="4CCEC27A" w:rsidR="003B0F36" w:rsidRDefault="00E4119F" w:rsidP="003B0F36">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Ademais, é importante lembrar que, pelo texto expresso da lei, </w:t>
      </w:r>
      <w:r w:rsidR="00606C96">
        <w:rPr>
          <w:rFonts w:ascii="Times New Roman" w:hAnsi="Times New Roman" w:cs="Times New Roman"/>
          <w:sz w:val="24"/>
          <w:szCs w:val="24"/>
        </w:rPr>
        <w:t xml:space="preserve">para </w:t>
      </w:r>
      <w:r>
        <w:rPr>
          <w:rFonts w:ascii="Times New Roman" w:hAnsi="Times New Roman" w:cs="Times New Roman"/>
          <w:sz w:val="24"/>
          <w:szCs w:val="24"/>
        </w:rPr>
        <w:t>a cessão</w:t>
      </w:r>
      <w:r w:rsidR="003B0F36" w:rsidRPr="003B0F36">
        <w:rPr>
          <w:rFonts w:ascii="Times New Roman" w:hAnsi="Times New Roman" w:cs="Times New Roman"/>
          <w:sz w:val="24"/>
          <w:szCs w:val="24"/>
        </w:rPr>
        <w:t xml:space="preserve"> exige-se a formalidade da escritura pública</w:t>
      </w:r>
      <w:r w:rsidR="00D94656">
        <w:rPr>
          <w:rFonts w:ascii="Times New Roman" w:hAnsi="Times New Roman" w:cs="Times New Roman"/>
          <w:sz w:val="24"/>
          <w:szCs w:val="24"/>
        </w:rPr>
        <w:t xml:space="preserve"> lavrada perante Tabelionato de Notas</w:t>
      </w:r>
      <w:r w:rsidR="00606C96">
        <w:rPr>
          <w:rFonts w:ascii="Times New Roman" w:hAnsi="Times New Roman" w:cs="Times New Roman"/>
          <w:sz w:val="24"/>
          <w:szCs w:val="24"/>
        </w:rPr>
        <w:t>,</w:t>
      </w:r>
      <w:r w:rsidR="003B0F36" w:rsidRPr="003B0F36">
        <w:rPr>
          <w:rFonts w:ascii="Times New Roman" w:hAnsi="Times New Roman" w:cs="Times New Roman"/>
          <w:sz w:val="24"/>
          <w:szCs w:val="24"/>
        </w:rPr>
        <w:t xml:space="preserve"> que, se não preenchida, gerará a nulidade absoluta do ato, por desrespeito à forma e à solenidade, nos termos do art. 166, incisos IV e V, do Código Civil (ver: </w:t>
      </w:r>
      <w:r w:rsidR="00D94656">
        <w:rPr>
          <w:rFonts w:ascii="Times New Roman" w:hAnsi="Times New Roman" w:cs="Times New Roman"/>
          <w:sz w:val="24"/>
          <w:szCs w:val="24"/>
        </w:rPr>
        <w:t xml:space="preserve">STJ, </w:t>
      </w:r>
      <w:r w:rsidR="00D94656" w:rsidRPr="00D94656">
        <w:rPr>
          <w:rFonts w:ascii="Times New Roman" w:hAnsi="Times New Roman" w:cs="Times New Roman"/>
          <w:sz w:val="24"/>
          <w:szCs w:val="24"/>
        </w:rPr>
        <w:t xml:space="preserve">AgRg no REsp 1.416.041/RS, </w:t>
      </w:r>
      <w:r w:rsidR="0075158E">
        <w:rPr>
          <w:rFonts w:ascii="Times New Roman" w:hAnsi="Times New Roman" w:cs="Times New Roman"/>
          <w:sz w:val="24"/>
          <w:szCs w:val="24"/>
        </w:rPr>
        <w:t>3.ª</w:t>
      </w:r>
      <w:r w:rsidR="0075158E" w:rsidRPr="00D94656">
        <w:rPr>
          <w:rFonts w:ascii="Times New Roman" w:hAnsi="Times New Roman" w:cs="Times New Roman"/>
          <w:sz w:val="24"/>
          <w:szCs w:val="24"/>
        </w:rPr>
        <w:t xml:space="preserve"> Turma, </w:t>
      </w:r>
      <w:r w:rsidR="0075158E">
        <w:rPr>
          <w:rFonts w:ascii="Times New Roman" w:hAnsi="Times New Roman" w:cs="Times New Roman"/>
          <w:sz w:val="24"/>
          <w:szCs w:val="24"/>
        </w:rPr>
        <w:t>R</w:t>
      </w:r>
      <w:r w:rsidR="0075158E" w:rsidRPr="00D94656">
        <w:rPr>
          <w:rFonts w:ascii="Times New Roman" w:hAnsi="Times New Roman" w:cs="Times New Roman"/>
          <w:sz w:val="24"/>
          <w:szCs w:val="24"/>
        </w:rPr>
        <w:t>el</w:t>
      </w:r>
      <w:r w:rsidR="0075158E">
        <w:rPr>
          <w:rFonts w:ascii="Times New Roman" w:hAnsi="Times New Roman" w:cs="Times New Roman"/>
          <w:sz w:val="24"/>
          <w:szCs w:val="24"/>
        </w:rPr>
        <w:t>.</w:t>
      </w:r>
      <w:r w:rsidR="0075158E" w:rsidRPr="00D94656">
        <w:rPr>
          <w:rFonts w:ascii="Times New Roman" w:hAnsi="Times New Roman" w:cs="Times New Roman"/>
          <w:sz w:val="24"/>
          <w:szCs w:val="24"/>
        </w:rPr>
        <w:t xml:space="preserve"> </w:t>
      </w:r>
      <w:r w:rsidR="0075158E" w:rsidRPr="006A24C2">
        <w:rPr>
          <w:rFonts w:ascii="Times New Roman" w:hAnsi="Times New Roman" w:cs="Times New Roman"/>
          <w:sz w:val="24"/>
          <w:szCs w:val="24"/>
          <w:lang w:val="en-US"/>
        </w:rPr>
        <w:t xml:space="preserve">Min. </w:t>
      </w:r>
      <w:r w:rsidR="00D94656" w:rsidRPr="006A24C2">
        <w:rPr>
          <w:rFonts w:ascii="Times New Roman" w:hAnsi="Times New Roman" w:cs="Times New Roman"/>
          <w:sz w:val="24"/>
          <w:szCs w:val="24"/>
          <w:lang w:val="en-US"/>
        </w:rPr>
        <w:t>Sidnei Beneti, j</w:t>
      </w:r>
      <w:r w:rsidR="0075158E" w:rsidRPr="006A24C2">
        <w:rPr>
          <w:rFonts w:ascii="Times New Roman" w:hAnsi="Times New Roman" w:cs="Times New Roman"/>
          <w:sz w:val="24"/>
          <w:szCs w:val="24"/>
          <w:lang w:val="en-US"/>
        </w:rPr>
        <w:t>.</w:t>
      </w:r>
      <w:r w:rsidR="00D94656" w:rsidRPr="006A24C2">
        <w:rPr>
          <w:rFonts w:ascii="Times New Roman" w:hAnsi="Times New Roman" w:cs="Times New Roman"/>
          <w:sz w:val="24"/>
          <w:szCs w:val="24"/>
          <w:lang w:val="en-US"/>
        </w:rPr>
        <w:t xml:space="preserve"> 22</w:t>
      </w:r>
      <w:r w:rsidR="0075158E" w:rsidRPr="006A24C2">
        <w:rPr>
          <w:rFonts w:ascii="Times New Roman" w:hAnsi="Times New Roman" w:cs="Times New Roman"/>
          <w:sz w:val="24"/>
          <w:szCs w:val="24"/>
          <w:lang w:val="en-US"/>
        </w:rPr>
        <w:t>.05.</w:t>
      </w:r>
      <w:r w:rsidR="00D94656" w:rsidRPr="006A24C2">
        <w:rPr>
          <w:rFonts w:ascii="Times New Roman" w:hAnsi="Times New Roman" w:cs="Times New Roman"/>
          <w:sz w:val="24"/>
          <w:szCs w:val="24"/>
          <w:lang w:val="en-US"/>
        </w:rPr>
        <w:t xml:space="preserve">2014, </w:t>
      </w:r>
      <w:r w:rsidR="00D94656" w:rsidRPr="006A24C2">
        <w:rPr>
          <w:rFonts w:ascii="Times New Roman" w:hAnsi="Times New Roman" w:cs="Times New Roman"/>
          <w:i/>
          <w:iCs/>
          <w:sz w:val="24"/>
          <w:szCs w:val="24"/>
          <w:lang w:val="en-US"/>
        </w:rPr>
        <w:t>DJe</w:t>
      </w:r>
      <w:r w:rsidR="00D94656" w:rsidRPr="006A24C2">
        <w:rPr>
          <w:rFonts w:ascii="Times New Roman" w:hAnsi="Times New Roman" w:cs="Times New Roman"/>
          <w:sz w:val="24"/>
          <w:szCs w:val="24"/>
          <w:lang w:val="en-US"/>
        </w:rPr>
        <w:t xml:space="preserve"> </w:t>
      </w:r>
      <w:r w:rsidR="0075158E" w:rsidRPr="006A24C2">
        <w:rPr>
          <w:rFonts w:ascii="Times New Roman" w:hAnsi="Times New Roman" w:cs="Times New Roman"/>
          <w:sz w:val="24"/>
          <w:szCs w:val="24"/>
          <w:lang w:val="en-US"/>
        </w:rPr>
        <w:t>0</w:t>
      </w:r>
      <w:r w:rsidR="00D94656" w:rsidRPr="006A24C2">
        <w:rPr>
          <w:rFonts w:ascii="Times New Roman" w:hAnsi="Times New Roman" w:cs="Times New Roman"/>
          <w:sz w:val="24"/>
          <w:szCs w:val="24"/>
          <w:lang w:val="en-US"/>
        </w:rPr>
        <w:t>9</w:t>
      </w:r>
      <w:r w:rsidR="0075158E" w:rsidRPr="006A24C2">
        <w:rPr>
          <w:rFonts w:ascii="Times New Roman" w:hAnsi="Times New Roman" w:cs="Times New Roman"/>
          <w:sz w:val="24"/>
          <w:szCs w:val="24"/>
          <w:lang w:val="en-US"/>
        </w:rPr>
        <w:t>.</w:t>
      </w:r>
      <w:r w:rsidR="00D94656" w:rsidRPr="006A24C2">
        <w:rPr>
          <w:rFonts w:ascii="Times New Roman" w:hAnsi="Times New Roman" w:cs="Times New Roman"/>
          <w:sz w:val="24"/>
          <w:szCs w:val="24"/>
          <w:lang w:val="en-US"/>
        </w:rPr>
        <w:t>6</w:t>
      </w:r>
      <w:r w:rsidR="0075158E" w:rsidRPr="006A24C2">
        <w:rPr>
          <w:rFonts w:ascii="Times New Roman" w:hAnsi="Times New Roman" w:cs="Times New Roman"/>
          <w:sz w:val="24"/>
          <w:szCs w:val="24"/>
          <w:lang w:val="en-US"/>
        </w:rPr>
        <w:t>.</w:t>
      </w:r>
      <w:r w:rsidR="00D94656" w:rsidRPr="006A24C2">
        <w:rPr>
          <w:rFonts w:ascii="Times New Roman" w:hAnsi="Times New Roman" w:cs="Times New Roman"/>
          <w:sz w:val="24"/>
          <w:szCs w:val="24"/>
          <w:lang w:val="en-US"/>
        </w:rPr>
        <w:t>2014</w:t>
      </w:r>
      <w:r w:rsidR="00606C96" w:rsidRPr="006A24C2">
        <w:rPr>
          <w:rFonts w:ascii="Times New Roman" w:hAnsi="Times New Roman" w:cs="Times New Roman"/>
          <w:sz w:val="24"/>
          <w:szCs w:val="24"/>
          <w:lang w:val="en-US"/>
        </w:rPr>
        <w:t>;</w:t>
      </w:r>
      <w:r w:rsidR="00D94656" w:rsidRPr="006A24C2">
        <w:rPr>
          <w:rFonts w:ascii="Times New Roman" w:hAnsi="Times New Roman" w:cs="Times New Roman"/>
          <w:sz w:val="24"/>
          <w:szCs w:val="24"/>
          <w:lang w:val="en-US"/>
        </w:rPr>
        <w:t xml:space="preserve"> </w:t>
      </w:r>
      <w:r w:rsidR="003B0F36" w:rsidRPr="006A24C2">
        <w:rPr>
          <w:rFonts w:ascii="Times New Roman" w:hAnsi="Times New Roman" w:cs="Times New Roman"/>
          <w:sz w:val="24"/>
          <w:szCs w:val="24"/>
          <w:lang w:val="en-US"/>
        </w:rPr>
        <w:t>STJ, REsp 1</w:t>
      </w:r>
      <w:r w:rsidR="00D94656" w:rsidRPr="006A24C2">
        <w:rPr>
          <w:rFonts w:ascii="Times New Roman" w:hAnsi="Times New Roman" w:cs="Times New Roman"/>
          <w:sz w:val="24"/>
          <w:szCs w:val="24"/>
          <w:lang w:val="en-US"/>
        </w:rPr>
        <w:t>.</w:t>
      </w:r>
      <w:r w:rsidR="003B0F36" w:rsidRPr="006A24C2">
        <w:rPr>
          <w:rFonts w:ascii="Times New Roman" w:hAnsi="Times New Roman" w:cs="Times New Roman"/>
          <w:sz w:val="24"/>
          <w:szCs w:val="24"/>
          <w:lang w:val="en-US"/>
        </w:rPr>
        <w:t>027</w:t>
      </w:r>
      <w:r w:rsidR="00D94656" w:rsidRPr="006A24C2">
        <w:rPr>
          <w:rFonts w:ascii="Times New Roman" w:hAnsi="Times New Roman" w:cs="Times New Roman"/>
          <w:sz w:val="24"/>
          <w:szCs w:val="24"/>
          <w:lang w:val="en-US"/>
        </w:rPr>
        <w:t>.</w:t>
      </w:r>
      <w:r w:rsidR="003B0F36" w:rsidRPr="006A24C2">
        <w:rPr>
          <w:rFonts w:ascii="Times New Roman" w:hAnsi="Times New Roman" w:cs="Times New Roman"/>
          <w:sz w:val="24"/>
          <w:szCs w:val="24"/>
          <w:lang w:val="en-US"/>
        </w:rPr>
        <w:t xml:space="preserve">884/SC, 4.ª Turma, Rel. </w:t>
      </w:r>
      <w:r w:rsidR="003B0F36" w:rsidRPr="003B0F36">
        <w:rPr>
          <w:rFonts w:ascii="Times New Roman" w:hAnsi="Times New Roman" w:cs="Times New Roman"/>
          <w:sz w:val="24"/>
          <w:szCs w:val="24"/>
        </w:rPr>
        <w:t xml:space="preserve">Min. Fernando Gonçalves, j. 06.08.2009, </w:t>
      </w:r>
      <w:r w:rsidR="003B0F36" w:rsidRPr="006A24C2">
        <w:rPr>
          <w:rFonts w:ascii="Times New Roman" w:hAnsi="Times New Roman" w:cs="Times New Roman"/>
          <w:i/>
          <w:iCs/>
          <w:sz w:val="24"/>
          <w:szCs w:val="24"/>
        </w:rPr>
        <w:t>DJe</w:t>
      </w:r>
      <w:r w:rsidR="003B0F36" w:rsidRPr="003B0F36">
        <w:rPr>
          <w:rFonts w:ascii="Times New Roman" w:hAnsi="Times New Roman" w:cs="Times New Roman"/>
          <w:sz w:val="24"/>
          <w:szCs w:val="24"/>
        </w:rPr>
        <w:t xml:space="preserve"> 24.08.2009). </w:t>
      </w:r>
    </w:p>
    <w:p w14:paraId="755C5ABB" w14:textId="77777777" w:rsidR="00D9465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Como primeira restrição</w:t>
      </w:r>
      <w:r>
        <w:rPr>
          <w:rFonts w:ascii="Times New Roman" w:hAnsi="Times New Roman" w:cs="Times New Roman"/>
          <w:sz w:val="24"/>
          <w:szCs w:val="24"/>
        </w:rPr>
        <w:t xml:space="preserve"> pontual e importante a esse direito de transmissão dos direitos hereditários</w:t>
      </w:r>
      <w:r w:rsidRPr="003B0F36">
        <w:rPr>
          <w:rFonts w:ascii="Times New Roman" w:hAnsi="Times New Roman" w:cs="Times New Roman"/>
          <w:sz w:val="24"/>
          <w:szCs w:val="24"/>
        </w:rPr>
        <w:t>, enuncia o § 2.º do art. 1.793 que é ineficaz a cessão, pelo coerdeiro, de seu direito hereditário sobre qualquer bem da herança considerado singularmente. Ilustrando, se um herdeiro vender um veículo que compõe a herança, isoladamente, tal alienação é ineficaz. Por opção do legislador</w:t>
      </w:r>
      <w:r w:rsidR="00E4119F">
        <w:rPr>
          <w:rFonts w:ascii="Times New Roman" w:hAnsi="Times New Roman" w:cs="Times New Roman"/>
          <w:sz w:val="24"/>
          <w:szCs w:val="24"/>
        </w:rPr>
        <w:t xml:space="preserve">, nesse caso, </w:t>
      </w:r>
      <w:r w:rsidRPr="003B0F36">
        <w:rPr>
          <w:rFonts w:ascii="Times New Roman" w:hAnsi="Times New Roman" w:cs="Times New Roman"/>
          <w:sz w:val="24"/>
          <w:szCs w:val="24"/>
        </w:rPr>
        <w:t xml:space="preserve">a venda não é nula ou anulável, mas apenas não gera efeitos. </w:t>
      </w:r>
    </w:p>
    <w:p w14:paraId="6D843B55" w14:textId="5F3AFF2D" w:rsidR="003B0F36" w:rsidRPr="00E4119F"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Exatamente nessa linha, julgou o Superior Tribunal de Justiça em 2020 que “a cessão de direitos hereditários sobre bem singular, desde que celebrada por escritura pública e não envolva o direito de incapazes, não é negócio jurídico nulo, tampouco inválido, ficando apenas a sua eficácia condicionada a evento futuro e incerto, consubstanciado na efetiva atribuição do bem ao herdeiro cedente por ocasião da partilha. Se o negócio não é nulo, mas tem apenas a sua eficácia suspensa, a cessão de direitos hereditários sobre bem singular viabiliza a transmissão da posse, que pode ser objeto de tutela específica na via dos embargos de terceiro” (STJ, REsp 1.809.548/SP, 3.ª Turma, Rel. </w:t>
      </w:r>
      <w:r w:rsidRPr="002A4A94">
        <w:rPr>
          <w:rFonts w:ascii="Times New Roman" w:hAnsi="Times New Roman" w:cs="Times New Roman"/>
          <w:sz w:val="24"/>
          <w:szCs w:val="24"/>
        </w:rPr>
        <w:t xml:space="preserve">Min. Ricardo Villas Bôas Cueva, j. 19.05.2020, </w:t>
      </w:r>
      <w:r w:rsidRPr="006A24C2">
        <w:rPr>
          <w:rFonts w:ascii="Times New Roman" w:hAnsi="Times New Roman" w:cs="Times New Roman"/>
          <w:i/>
          <w:iCs/>
          <w:sz w:val="24"/>
          <w:szCs w:val="24"/>
        </w:rPr>
        <w:t>DJe</w:t>
      </w:r>
      <w:r w:rsidRPr="002A4A94">
        <w:rPr>
          <w:rFonts w:ascii="Times New Roman" w:hAnsi="Times New Roman" w:cs="Times New Roman"/>
          <w:sz w:val="24"/>
          <w:szCs w:val="24"/>
        </w:rPr>
        <w:t xml:space="preserve"> 27.05.2020).</w:t>
      </w:r>
      <w:r w:rsidR="00E4119F" w:rsidRPr="002A4A94">
        <w:rPr>
          <w:rFonts w:ascii="Times New Roman" w:hAnsi="Times New Roman" w:cs="Times New Roman"/>
          <w:sz w:val="24"/>
          <w:szCs w:val="24"/>
        </w:rPr>
        <w:t xml:space="preserve"> </w:t>
      </w:r>
      <w:r w:rsidR="00E4119F" w:rsidRPr="00E4119F">
        <w:rPr>
          <w:rFonts w:ascii="Times New Roman" w:hAnsi="Times New Roman" w:cs="Times New Roman"/>
          <w:sz w:val="24"/>
          <w:szCs w:val="24"/>
        </w:rPr>
        <w:t>Como se pode perceb</w:t>
      </w:r>
      <w:r w:rsidR="00E4119F">
        <w:rPr>
          <w:rFonts w:ascii="Times New Roman" w:hAnsi="Times New Roman" w:cs="Times New Roman"/>
          <w:sz w:val="24"/>
          <w:szCs w:val="24"/>
        </w:rPr>
        <w:t xml:space="preserve">er, o aresto separa os planos da validade e da eficácia, como realmente deve ocorrer, do ponto de vista técnico. </w:t>
      </w:r>
    </w:p>
    <w:p w14:paraId="04E51143" w14:textId="28DD8FCC" w:rsidR="003B0F36" w:rsidRP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Do mesmo modo, a lei considera ineficaz a disposição por qualquer </w:t>
      </w:r>
      <w:r w:rsidRPr="003B0F36">
        <w:rPr>
          <w:rFonts w:ascii="Times New Roman" w:hAnsi="Times New Roman" w:cs="Times New Roman"/>
          <w:sz w:val="24"/>
          <w:szCs w:val="24"/>
        </w:rPr>
        <w:lastRenderedPageBreak/>
        <w:t>herdeiro, sem prévia autorização do juiz da sucessão, de bem componente do acervo hereditário, pendente a indivisibilidade (art. 1.793, § 3.º, do CC</w:t>
      </w:r>
      <w:r>
        <w:rPr>
          <w:rFonts w:ascii="Times New Roman" w:hAnsi="Times New Roman" w:cs="Times New Roman"/>
          <w:sz w:val="24"/>
          <w:szCs w:val="24"/>
        </w:rPr>
        <w:t>/2002</w:t>
      </w:r>
      <w:r w:rsidRPr="003B0F36">
        <w:rPr>
          <w:rFonts w:ascii="Times New Roman" w:hAnsi="Times New Roman" w:cs="Times New Roman"/>
          <w:sz w:val="24"/>
          <w:szCs w:val="24"/>
        </w:rPr>
        <w:t>). Trazendo interessante aplicação desse último comando, colaciona-se, do Tribunal do Distrito Federal:</w:t>
      </w:r>
    </w:p>
    <w:p w14:paraId="62D3E1AC" w14:textId="4122D2D6" w:rsidR="003B0F36" w:rsidRPr="003B0F36" w:rsidRDefault="003B0F36" w:rsidP="003B0F36">
      <w:pPr>
        <w:pStyle w:val="t"/>
        <w:spacing w:before="120" w:after="120" w:line="360" w:lineRule="auto"/>
        <w:ind w:left="567" w:firstLine="0"/>
        <w:rPr>
          <w:rFonts w:ascii="Times New Roman" w:hAnsi="Times New Roman" w:cs="Times New Roman"/>
          <w:sz w:val="22"/>
          <w:szCs w:val="22"/>
        </w:rPr>
      </w:pPr>
      <w:r w:rsidRPr="003B0F36">
        <w:rPr>
          <w:rFonts w:ascii="Times New Roman" w:hAnsi="Times New Roman" w:cs="Times New Roman"/>
          <w:sz w:val="22"/>
          <w:szCs w:val="22"/>
        </w:rPr>
        <w:t xml:space="preserve">“Agravo de Instrumento. Inventário. Direito de </w:t>
      </w:r>
      <w:r w:rsidRPr="003B0F36">
        <w:rPr>
          <w:rFonts w:ascii="Times New Roman" w:hAnsi="Times New Roman" w:cs="Times New Roman"/>
          <w:i/>
          <w:iCs/>
          <w:sz w:val="22"/>
          <w:szCs w:val="22"/>
        </w:rPr>
        <w:t>saisine</w:t>
      </w:r>
      <w:r w:rsidRPr="003B0F36">
        <w:rPr>
          <w:rFonts w:ascii="Times New Roman" w:hAnsi="Times New Roman" w:cs="Times New Roman"/>
          <w:sz w:val="22"/>
          <w:szCs w:val="22"/>
        </w:rPr>
        <w:t xml:space="preserve">. Transmissão da herança. Partilha. Indivisibilidade. Sub-rogação de bem. De acordo com o direito de </w:t>
      </w:r>
      <w:r w:rsidRPr="003B0F36">
        <w:rPr>
          <w:rFonts w:ascii="Times New Roman" w:hAnsi="Times New Roman" w:cs="Times New Roman"/>
          <w:i/>
          <w:iCs/>
          <w:sz w:val="22"/>
          <w:szCs w:val="22"/>
        </w:rPr>
        <w:t>saisine</w:t>
      </w:r>
      <w:r w:rsidRPr="003B0F36">
        <w:rPr>
          <w:rFonts w:ascii="Times New Roman" w:hAnsi="Times New Roman" w:cs="Times New Roman"/>
          <w:sz w:val="22"/>
          <w:szCs w:val="22"/>
        </w:rPr>
        <w:t xml:space="preserve">, previsto no artigo 1.784 do Código Civil, a transmissão dos bens aos herdeiros ocorre desde logo, com o falecimento de seu proprietário. Contudo, não obstante a imediata transferência da titularidade, a partilha somente ocorre em fase posterior, após a abertura do inventário e a arrecadação dos bens do falecido. Por sua vez, o artigo 1.791, </w:t>
      </w:r>
      <w:r w:rsidRPr="003B0F36">
        <w:rPr>
          <w:rFonts w:ascii="Times New Roman" w:hAnsi="Times New Roman" w:cs="Times New Roman"/>
          <w:i/>
          <w:iCs/>
          <w:sz w:val="22"/>
          <w:szCs w:val="22"/>
        </w:rPr>
        <w:t xml:space="preserve">caput </w:t>
      </w:r>
      <w:r w:rsidRPr="003B0F36">
        <w:rPr>
          <w:rFonts w:ascii="Times New Roman" w:hAnsi="Times New Roman" w:cs="Times New Roman"/>
          <w:sz w:val="22"/>
          <w:szCs w:val="22"/>
        </w:rPr>
        <w:t xml:space="preserve">e parágrafo único, do Código Civil, estabelece que, até a partilha, a herança é indivisível: ‘Art. 1.791. A herança defere-se como um todo unitário, ainda que vários sejam os herdeiros. Parágrafo único. Até a partilha, o direito dos coerdeiros, quanto à propriedade e posse da herança, será indivisível, e regular-se-á pelas normas relativas ao condomínio’. O imóvel adquirido com os recursos da venda de um bem que já pertencia ao espólio passa a compor, em sub-rogação, o condomínio ainda indiviso dos herdeiros, guardadas as mesmas características do bem substituído. Não pode, portanto, ser vendido sem anuência dos demais herdeiros e autorização judicial, a teor do que dispõe o artigo 1.793, § 3.º, do Código Civil: ‘§ 3.º Ineficaz é a disposição, sem prévia autorização do juiz da sucessão, por qualquer herdeiro, de bem componente do acervo hereditário, pendente a indivisibilidade’. Agravo conhecido e não provido” (TJDF, Recurso </w:t>
      </w:r>
      <w:r w:rsidR="00B01459">
        <w:rPr>
          <w:rFonts w:ascii="Times New Roman" w:hAnsi="Times New Roman" w:cs="Times New Roman"/>
          <w:sz w:val="22"/>
          <w:szCs w:val="22"/>
        </w:rPr>
        <w:t xml:space="preserve">n. </w:t>
      </w:r>
      <w:r w:rsidRPr="003B0F36">
        <w:rPr>
          <w:rFonts w:ascii="Times New Roman" w:hAnsi="Times New Roman" w:cs="Times New Roman"/>
          <w:sz w:val="22"/>
          <w:szCs w:val="22"/>
        </w:rPr>
        <w:t>2009.00.2.003608-2, Acórdão</w:t>
      </w:r>
      <w:r w:rsidR="00B01459">
        <w:rPr>
          <w:rFonts w:ascii="Times New Roman" w:hAnsi="Times New Roman" w:cs="Times New Roman"/>
          <w:sz w:val="22"/>
          <w:szCs w:val="22"/>
        </w:rPr>
        <w:t xml:space="preserve"> n.</w:t>
      </w:r>
      <w:r w:rsidRPr="003B0F36">
        <w:rPr>
          <w:rFonts w:ascii="Times New Roman" w:hAnsi="Times New Roman" w:cs="Times New Roman"/>
          <w:sz w:val="22"/>
          <w:szCs w:val="22"/>
        </w:rPr>
        <w:t xml:space="preserve"> 360.780, 6.ª Turma Cível, Rel. Des. Ana Maria Duarte Amarante Brito, </w:t>
      </w:r>
      <w:r w:rsidRPr="006A24C2">
        <w:rPr>
          <w:rFonts w:ascii="Times New Roman" w:hAnsi="Times New Roman" w:cs="Times New Roman"/>
          <w:i/>
          <w:iCs/>
          <w:sz w:val="22"/>
          <w:szCs w:val="22"/>
        </w:rPr>
        <w:t>DJDFTE</w:t>
      </w:r>
      <w:r w:rsidRPr="003B0F36">
        <w:rPr>
          <w:rFonts w:ascii="Times New Roman" w:hAnsi="Times New Roman" w:cs="Times New Roman"/>
          <w:sz w:val="22"/>
          <w:szCs w:val="22"/>
        </w:rPr>
        <w:t xml:space="preserve"> 12.06.2009, p. 105).</w:t>
      </w:r>
    </w:p>
    <w:p w14:paraId="084F4D5B" w14:textId="2C2EBC84" w:rsidR="00E4119F" w:rsidRDefault="00E4119F" w:rsidP="003B0F36">
      <w:pPr>
        <w:pStyle w:val="t"/>
        <w:spacing w:before="120" w:after="120" w:line="360" w:lineRule="auto"/>
        <w:ind w:firstLine="1701"/>
        <w:rPr>
          <w:rFonts w:ascii="Times New Roman" w:hAnsi="Times New Roman" w:cs="Times New Roman"/>
          <w:sz w:val="24"/>
          <w:szCs w:val="24"/>
        </w:rPr>
      </w:pPr>
      <w:r w:rsidRPr="00E4119F">
        <w:rPr>
          <w:rFonts w:ascii="Times New Roman" w:hAnsi="Times New Roman" w:cs="Times New Roman"/>
          <w:sz w:val="24"/>
          <w:szCs w:val="24"/>
        </w:rPr>
        <w:t>Também como concretização prática</w:t>
      </w:r>
      <w:r>
        <w:rPr>
          <w:rFonts w:ascii="Times New Roman" w:hAnsi="Times New Roman" w:cs="Times New Roman"/>
          <w:sz w:val="24"/>
          <w:szCs w:val="24"/>
        </w:rPr>
        <w:t xml:space="preserve"> desse §</w:t>
      </w:r>
      <w:r w:rsidR="00606C96">
        <w:rPr>
          <w:rFonts w:ascii="Times New Roman" w:hAnsi="Times New Roman" w:cs="Times New Roman"/>
          <w:sz w:val="24"/>
          <w:szCs w:val="24"/>
        </w:rPr>
        <w:t xml:space="preserve"> </w:t>
      </w:r>
      <w:r>
        <w:rPr>
          <w:rFonts w:ascii="Times New Roman" w:hAnsi="Times New Roman" w:cs="Times New Roman"/>
          <w:sz w:val="24"/>
          <w:szCs w:val="24"/>
        </w:rPr>
        <w:t>3</w:t>
      </w:r>
      <w:r w:rsidR="0075158E">
        <w:rPr>
          <w:rFonts w:ascii="Times New Roman" w:hAnsi="Times New Roman" w:cs="Times New Roman"/>
          <w:sz w:val="24"/>
          <w:szCs w:val="24"/>
        </w:rPr>
        <w:t>.</w:t>
      </w:r>
      <w:r>
        <w:rPr>
          <w:rFonts w:ascii="Times New Roman" w:hAnsi="Times New Roman" w:cs="Times New Roman"/>
          <w:sz w:val="24"/>
          <w:szCs w:val="24"/>
        </w:rPr>
        <w:t>º do art. 1.793 da codificação privada em vigor</w:t>
      </w:r>
      <w:r w:rsidRPr="00E4119F">
        <w:rPr>
          <w:rFonts w:ascii="Times New Roman" w:hAnsi="Times New Roman" w:cs="Times New Roman"/>
          <w:sz w:val="24"/>
          <w:szCs w:val="24"/>
        </w:rPr>
        <w:t xml:space="preserve">, julgou o Tribunal de Justiça do Estado do Paraná que é ineficaz a escritura pública de compromisso de compra e venda de imóvel celebrada por um herdeiro sobre bem que compõe a massa, sem a existência de alvará judicial autorizando o </w:t>
      </w:r>
      <w:r w:rsidR="00D94656">
        <w:rPr>
          <w:rFonts w:ascii="Times New Roman" w:hAnsi="Times New Roman" w:cs="Times New Roman"/>
          <w:sz w:val="24"/>
          <w:szCs w:val="24"/>
        </w:rPr>
        <w:t xml:space="preserve">correspondente </w:t>
      </w:r>
      <w:r w:rsidRPr="00E4119F">
        <w:rPr>
          <w:rFonts w:ascii="Times New Roman" w:hAnsi="Times New Roman" w:cs="Times New Roman"/>
          <w:sz w:val="24"/>
          <w:szCs w:val="24"/>
        </w:rPr>
        <w:t xml:space="preserve">negócio </w:t>
      </w:r>
      <w:r w:rsidR="00D94656">
        <w:rPr>
          <w:rFonts w:ascii="Times New Roman" w:hAnsi="Times New Roman" w:cs="Times New Roman"/>
          <w:sz w:val="24"/>
          <w:szCs w:val="24"/>
        </w:rPr>
        <w:t xml:space="preserve">jurídico </w:t>
      </w:r>
      <w:r w:rsidRPr="00E4119F">
        <w:rPr>
          <w:rFonts w:ascii="Times New Roman" w:hAnsi="Times New Roman" w:cs="Times New Roman"/>
          <w:sz w:val="24"/>
          <w:szCs w:val="24"/>
        </w:rPr>
        <w:t>(TJPR, Apelação Cível</w:t>
      </w:r>
      <w:r w:rsidR="00B01459">
        <w:rPr>
          <w:rFonts w:ascii="Times New Roman" w:hAnsi="Times New Roman" w:cs="Times New Roman"/>
          <w:sz w:val="24"/>
          <w:szCs w:val="24"/>
        </w:rPr>
        <w:t xml:space="preserve"> n.</w:t>
      </w:r>
      <w:r w:rsidRPr="00E4119F">
        <w:rPr>
          <w:rFonts w:ascii="Times New Roman" w:hAnsi="Times New Roman" w:cs="Times New Roman"/>
          <w:sz w:val="24"/>
          <w:szCs w:val="24"/>
        </w:rPr>
        <w:t xml:space="preserve"> 0863716-9, 12.ª Câmara Cível, Curitiba, Rel. Juiz Conv</w:t>
      </w:r>
      <w:r>
        <w:rPr>
          <w:rFonts w:ascii="Times New Roman" w:hAnsi="Times New Roman" w:cs="Times New Roman"/>
          <w:sz w:val="24"/>
          <w:szCs w:val="24"/>
        </w:rPr>
        <w:t>ocado</w:t>
      </w:r>
      <w:r w:rsidRPr="00E4119F">
        <w:rPr>
          <w:rFonts w:ascii="Times New Roman" w:hAnsi="Times New Roman" w:cs="Times New Roman"/>
          <w:sz w:val="24"/>
          <w:szCs w:val="24"/>
        </w:rPr>
        <w:t xml:space="preserve"> Everton Luiz Penter Correa, </w:t>
      </w:r>
      <w:r w:rsidRPr="006A24C2">
        <w:rPr>
          <w:rFonts w:ascii="Times New Roman" w:hAnsi="Times New Roman" w:cs="Times New Roman"/>
          <w:i/>
          <w:iCs/>
          <w:sz w:val="24"/>
          <w:szCs w:val="24"/>
        </w:rPr>
        <w:t xml:space="preserve">DJPR </w:t>
      </w:r>
      <w:r w:rsidRPr="00E4119F">
        <w:rPr>
          <w:rFonts w:ascii="Times New Roman" w:hAnsi="Times New Roman" w:cs="Times New Roman"/>
          <w:sz w:val="24"/>
          <w:szCs w:val="24"/>
        </w:rPr>
        <w:t>30.09.2013, p. 171).</w:t>
      </w:r>
    </w:p>
    <w:p w14:paraId="085816B3" w14:textId="77777777" w:rsidR="00E4119F" w:rsidRDefault="00E4119F" w:rsidP="003B0F36">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Sobre esse comando, </w:t>
      </w:r>
      <w:r w:rsidR="003B0F36" w:rsidRPr="003B0F36">
        <w:rPr>
          <w:rFonts w:ascii="Times New Roman" w:hAnsi="Times New Roman" w:cs="Times New Roman"/>
          <w:sz w:val="24"/>
          <w:szCs w:val="24"/>
        </w:rPr>
        <w:t xml:space="preserve">no Projeto de Reforma do Código Civil, elaborado pela Comissão de Juristas nomeada no Senado Federal, são feitas propostas para </w:t>
      </w:r>
      <w:r w:rsidR="003B0F36" w:rsidRPr="00E4119F">
        <w:rPr>
          <w:rFonts w:ascii="Times New Roman" w:hAnsi="Times New Roman" w:cs="Times New Roman"/>
          <w:i/>
          <w:iCs/>
          <w:sz w:val="24"/>
          <w:szCs w:val="24"/>
        </w:rPr>
        <w:t xml:space="preserve">destravar </w:t>
      </w:r>
      <w:r w:rsidR="003B0F36" w:rsidRPr="003B0F36">
        <w:rPr>
          <w:rFonts w:ascii="Times New Roman" w:hAnsi="Times New Roman" w:cs="Times New Roman"/>
          <w:sz w:val="24"/>
          <w:szCs w:val="24"/>
        </w:rPr>
        <w:t>a cessão de direitos hereditários</w:t>
      </w:r>
      <w:r>
        <w:rPr>
          <w:rFonts w:ascii="Times New Roman" w:hAnsi="Times New Roman" w:cs="Times New Roman"/>
          <w:sz w:val="24"/>
          <w:szCs w:val="24"/>
        </w:rPr>
        <w:t xml:space="preserve">, ampliando as suas possibilidades práticas na realidade brasileira. </w:t>
      </w:r>
    </w:p>
    <w:p w14:paraId="548808E4" w14:textId="4329371D" w:rsidR="00E4119F"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A primeira proposição, para o </w:t>
      </w:r>
      <w:r w:rsidRPr="00E4119F">
        <w:rPr>
          <w:rFonts w:ascii="Times New Roman" w:hAnsi="Times New Roman" w:cs="Times New Roman"/>
          <w:i/>
          <w:iCs/>
          <w:sz w:val="24"/>
          <w:szCs w:val="24"/>
        </w:rPr>
        <w:t>caput</w:t>
      </w:r>
      <w:r w:rsidRPr="003B0F36">
        <w:rPr>
          <w:rFonts w:ascii="Times New Roman" w:hAnsi="Times New Roman" w:cs="Times New Roman"/>
          <w:sz w:val="24"/>
          <w:szCs w:val="24"/>
        </w:rPr>
        <w:t xml:space="preserve"> do art. 1.793, é que ele passe a </w:t>
      </w:r>
      <w:r w:rsidRPr="003B0F36">
        <w:rPr>
          <w:rFonts w:ascii="Times New Roman" w:hAnsi="Times New Roman" w:cs="Times New Roman"/>
          <w:sz w:val="24"/>
          <w:szCs w:val="24"/>
        </w:rPr>
        <w:lastRenderedPageBreak/>
        <w:t>possibilitar a cessão por autorização judicial</w:t>
      </w:r>
      <w:r w:rsidR="00D94656">
        <w:rPr>
          <w:rFonts w:ascii="Times New Roman" w:hAnsi="Times New Roman" w:cs="Times New Roman"/>
          <w:sz w:val="24"/>
          <w:szCs w:val="24"/>
        </w:rPr>
        <w:t>, do seguinte modo</w:t>
      </w:r>
      <w:r w:rsidRPr="003B0F36">
        <w:rPr>
          <w:rFonts w:ascii="Times New Roman" w:hAnsi="Times New Roman" w:cs="Times New Roman"/>
          <w:sz w:val="24"/>
          <w:szCs w:val="24"/>
        </w:rPr>
        <w:t>: "o direito à sucessão aberta, bem como o quinhão de que disponha o coerdeiro, pode ser objeto de cessão por escritura pública ou termo judicial". Ademais, passará a ser permitida a cessão de bem que componha uma universalidade, conjunto de bens, desde</w:t>
      </w:r>
      <w:r w:rsidR="006A24C2">
        <w:rPr>
          <w:rFonts w:ascii="Times New Roman" w:hAnsi="Times New Roman" w:cs="Times New Roman"/>
          <w:sz w:val="24"/>
          <w:szCs w:val="24"/>
        </w:rPr>
        <w:t xml:space="preserve"> que com a </w:t>
      </w:r>
      <w:r w:rsidRPr="003B0F36">
        <w:rPr>
          <w:rFonts w:ascii="Times New Roman" w:hAnsi="Times New Roman" w:cs="Times New Roman"/>
          <w:sz w:val="24"/>
          <w:szCs w:val="24"/>
        </w:rPr>
        <w:t>concordância de todos os herdeiros</w:t>
      </w:r>
      <w:r w:rsidR="00606C96">
        <w:rPr>
          <w:rFonts w:ascii="Times New Roman" w:hAnsi="Times New Roman" w:cs="Times New Roman"/>
          <w:sz w:val="24"/>
          <w:szCs w:val="24"/>
        </w:rPr>
        <w:t>,</w:t>
      </w:r>
      <w:r w:rsidRPr="003B0F36">
        <w:rPr>
          <w:rFonts w:ascii="Times New Roman" w:hAnsi="Times New Roman" w:cs="Times New Roman"/>
          <w:sz w:val="24"/>
          <w:szCs w:val="24"/>
        </w:rPr>
        <w:t xml:space="preserve"> no novo § 2º: "é ineficaz a cessão, feita pelo coerdeiro, tendo por objeto bem ou direito destacados da universalidade e considerados singularmente, a não ser que todos os herdeiros sejam cessionários ou, não o sendo, tenham participado todos do instrumento de cessão, concordando com ela". </w:t>
      </w:r>
    </w:p>
    <w:p w14:paraId="7585755F" w14:textId="6FFF25FE" w:rsidR="003B0F36" w:rsidRP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Por fim, será também </w:t>
      </w:r>
      <w:r w:rsidR="00606C96" w:rsidRPr="003B0F36">
        <w:rPr>
          <w:rFonts w:ascii="Times New Roman" w:hAnsi="Times New Roman" w:cs="Times New Roman"/>
          <w:sz w:val="24"/>
          <w:szCs w:val="24"/>
        </w:rPr>
        <w:t>permitid</w:t>
      </w:r>
      <w:r w:rsidR="00606C96">
        <w:rPr>
          <w:rFonts w:ascii="Times New Roman" w:hAnsi="Times New Roman" w:cs="Times New Roman"/>
          <w:sz w:val="24"/>
          <w:szCs w:val="24"/>
        </w:rPr>
        <w:t>a</w:t>
      </w:r>
      <w:r w:rsidR="00606C96" w:rsidRPr="003B0F36">
        <w:rPr>
          <w:rFonts w:ascii="Times New Roman" w:hAnsi="Times New Roman" w:cs="Times New Roman"/>
          <w:sz w:val="24"/>
          <w:szCs w:val="24"/>
        </w:rPr>
        <w:t xml:space="preserve"> </w:t>
      </w:r>
      <w:r w:rsidRPr="003B0F36">
        <w:rPr>
          <w:rFonts w:ascii="Times New Roman" w:hAnsi="Times New Roman" w:cs="Times New Roman"/>
          <w:sz w:val="24"/>
          <w:szCs w:val="24"/>
        </w:rPr>
        <w:t xml:space="preserve">pela lei a </w:t>
      </w:r>
      <w:r w:rsidRPr="00E4119F">
        <w:rPr>
          <w:rFonts w:ascii="Times New Roman" w:hAnsi="Times New Roman" w:cs="Times New Roman"/>
          <w:i/>
          <w:iCs/>
          <w:sz w:val="24"/>
          <w:szCs w:val="24"/>
        </w:rPr>
        <w:t>promessa de alienação de direitos hereditário</w:t>
      </w:r>
      <w:r w:rsidRPr="003B0F36">
        <w:rPr>
          <w:rFonts w:ascii="Times New Roman" w:hAnsi="Times New Roman" w:cs="Times New Roman"/>
          <w:sz w:val="24"/>
          <w:szCs w:val="24"/>
        </w:rPr>
        <w:t xml:space="preserve">s, em um novo negócio ou contrato preliminar, positivado no seu § 3º: "é válida a promessa de alienação, por qualquer herdeiro, de bem integrante do acervo hereditário, mesmo pendente a indivisibilidade, mas somente será eficaz se o bem vier a ser atribuído, por partilha, ao cedente". </w:t>
      </w:r>
      <w:r w:rsidR="00E4119F">
        <w:rPr>
          <w:rFonts w:ascii="Times New Roman" w:hAnsi="Times New Roman" w:cs="Times New Roman"/>
          <w:sz w:val="24"/>
          <w:szCs w:val="24"/>
        </w:rPr>
        <w:t>Não se pode negar que t</w:t>
      </w:r>
      <w:r w:rsidRPr="003B0F36">
        <w:rPr>
          <w:rFonts w:ascii="Times New Roman" w:hAnsi="Times New Roman" w:cs="Times New Roman"/>
          <w:sz w:val="24"/>
          <w:szCs w:val="24"/>
        </w:rPr>
        <w:t xml:space="preserve">odas as proposições facilitam o </w:t>
      </w:r>
      <w:r w:rsidRPr="00E4119F">
        <w:rPr>
          <w:rFonts w:ascii="Times New Roman" w:hAnsi="Times New Roman" w:cs="Times New Roman"/>
          <w:i/>
          <w:iCs/>
          <w:sz w:val="24"/>
          <w:szCs w:val="24"/>
        </w:rPr>
        <w:t>tráfego jurídico</w:t>
      </w:r>
      <w:r w:rsidRPr="003B0F36">
        <w:rPr>
          <w:rFonts w:ascii="Times New Roman" w:hAnsi="Times New Roman" w:cs="Times New Roman"/>
          <w:sz w:val="24"/>
          <w:szCs w:val="24"/>
        </w:rPr>
        <w:t xml:space="preserve">, reduzindo burocracias, merecendo aprovação imediata pelo Parlamento Brasileiro. </w:t>
      </w:r>
    </w:p>
    <w:p w14:paraId="30BA845D" w14:textId="77777777" w:rsidR="00E4119F"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Voltando-se ao sistema vigente, outra importante </w:t>
      </w:r>
      <w:r w:rsidR="00E4119F">
        <w:rPr>
          <w:rFonts w:ascii="Times New Roman" w:hAnsi="Times New Roman" w:cs="Times New Roman"/>
          <w:sz w:val="24"/>
          <w:szCs w:val="24"/>
        </w:rPr>
        <w:t xml:space="preserve">regra a respeito da cessão de direitos hereditários, limitando a autonomia privada, </w:t>
      </w:r>
      <w:r w:rsidRPr="003B0F36">
        <w:rPr>
          <w:rFonts w:ascii="Times New Roman" w:hAnsi="Times New Roman" w:cs="Times New Roman"/>
          <w:sz w:val="24"/>
          <w:szCs w:val="24"/>
        </w:rPr>
        <w:t>consta do art. 1.794 do C</w:t>
      </w:r>
      <w:r w:rsidR="00E4119F">
        <w:rPr>
          <w:rFonts w:ascii="Times New Roman" w:hAnsi="Times New Roman" w:cs="Times New Roman"/>
          <w:sz w:val="24"/>
          <w:szCs w:val="24"/>
        </w:rPr>
        <w:t>ódigo Civil</w:t>
      </w:r>
      <w:r w:rsidRPr="003B0F36">
        <w:rPr>
          <w:rFonts w:ascii="Times New Roman" w:hAnsi="Times New Roman" w:cs="Times New Roman"/>
          <w:sz w:val="24"/>
          <w:szCs w:val="24"/>
        </w:rPr>
        <w:t xml:space="preserve">, pelo qual o coerdeiro não poderá ceder a sua quota hereditária a pessoa estranha à sucessão, se outro coerdeiro a quiser, tanto por tanto. A norma consagra um </w:t>
      </w:r>
      <w:r w:rsidRPr="00E4119F">
        <w:rPr>
          <w:rFonts w:ascii="Times New Roman" w:hAnsi="Times New Roman" w:cs="Times New Roman"/>
          <w:i/>
          <w:iCs/>
          <w:sz w:val="24"/>
          <w:szCs w:val="24"/>
        </w:rPr>
        <w:t>direito de preempção</w:t>
      </w:r>
      <w:r w:rsidRPr="003B0F36">
        <w:rPr>
          <w:rFonts w:ascii="Times New Roman" w:hAnsi="Times New Roman" w:cs="Times New Roman"/>
          <w:sz w:val="24"/>
          <w:szCs w:val="24"/>
        </w:rPr>
        <w:t xml:space="preserve">, </w:t>
      </w:r>
      <w:r w:rsidRPr="00E4119F">
        <w:rPr>
          <w:rFonts w:ascii="Times New Roman" w:hAnsi="Times New Roman" w:cs="Times New Roman"/>
          <w:i/>
          <w:iCs/>
          <w:sz w:val="24"/>
          <w:szCs w:val="24"/>
        </w:rPr>
        <w:t>preferência</w:t>
      </w:r>
      <w:r w:rsidRPr="003B0F36">
        <w:rPr>
          <w:rFonts w:ascii="Times New Roman" w:hAnsi="Times New Roman" w:cs="Times New Roman"/>
          <w:sz w:val="24"/>
          <w:szCs w:val="24"/>
        </w:rPr>
        <w:t xml:space="preserve"> ou prelação legal a favor do herdeiro condômino. </w:t>
      </w:r>
    </w:p>
    <w:p w14:paraId="1BF4C150" w14:textId="419A1800" w:rsidR="003B0F36" w:rsidRP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Se o coerdeiro for preterido em tal direito, poderá, depositado o preço, haver para si a quota cedida a estranho (art. 1.795 do CC</w:t>
      </w:r>
      <w:r w:rsidR="00E4119F">
        <w:rPr>
          <w:rFonts w:ascii="Times New Roman" w:hAnsi="Times New Roman" w:cs="Times New Roman"/>
          <w:sz w:val="24"/>
          <w:szCs w:val="24"/>
        </w:rPr>
        <w:t>/2002</w:t>
      </w:r>
      <w:r w:rsidRPr="003B0F36">
        <w:rPr>
          <w:rFonts w:ascii="Times New Roman" w:hAnsi="Times New Roman" w:cs="Times New Roman"/>
          <w:sz w:val="24"/>
          <w:szCs w:val="24"/>
        </w:rPr>
        <w:t>).</w:t>
      </w:r>
      <w:r w:rsidR="00E4119F">
        <w:rPr>
          <w:rFonts w:ascii="Times New Roman" w:hAnsi="Times New Roman" w:cs="Times New Roman"/>
          <w:sz w:val="24"/>
          <w:szCs w:val="24"/>
        </w:rPr>
        <w:t xml:space="preserve"> </w:t>
      </w:r>
      <w:r w:rsidR="00E4119F" w:rsidRPr="00E4119F">
        <w:rPr>
          <w:rFonts w:ascii="Times New Roman" w:hAnsi="Times New Roman" w:cs="Times New Roman"/>
          <w:sz w:val="24"/>
          <w:szCs w:val="24"/>
        </w:rPr>
        <w:t xml:space="preserve">Tal preterição está presente quando um dos herdeiros transmite os seus direitos a terceiros, sem notificar o condômino-coerdeiro para que se manifeste, em prazo razoável, sobre o interesse em adquirir o bem transmitido. Em tal notificação, </w:t>
      </w:r>
      <w:r w:rsidR="00E4119F">
        <w:rPr>
          <w:rFonts w:ascii="Times New Roman" w:hAnsi="Times New Roman" w:cs="Times New Roman"/>
          <w:sz w:val="24"/>
          <w:szCs w:val="24"/>
        </w:rPr>
        <w:t xml:space="preserve">judicial ou extrajudicial, </w:t>
      </w:r>
      <w:r w:rsidR="00E4119F" w:rsidRPr="00E4119F">
        <w:rPr>
          <w:rFonts w:ascii="Times New Roman" w:hAnsi="Times New Roman" w:cs="Times New Roman"/>
          <w:sz w:val="24"/>
          <w:szCs w:val="24"/>
        </w:rPr>
        <w:t>devem constar todos os dados fundamentais a respeito da cessão, como o preço e as condições de pagamento, o que representa</w:t>
      </w:r>
      <w:r w:rsidR="00B01459">
        <w:rPr>
          <w:rFonts w:ascii="Times New Roman" w:hAnsi="Times New Roman" w:cs="Times New Roman"/>
          <w:sz w:val="24"/>
          <w:szCs w:val="24"/>
        </w:rPr>
        <w:t xml:space="preserve"> a</w:t>
      </w:r>
      <w:r w:rsidR="00E4119F" w:rsidRPr="00E4119F">
        <w:rPr>
          <w:rFonts w:ascii="Times New Roman" w:hAnsi="Times New Roman" w:cs="Times New Roman"/>
          <w:sz w:val="24"/>
          <w:szCs w:val="24"/>
        </w:rPr>
        <w:t xml:space="preserve"> aplicação do princípio da boa-fé objetiva para o negócio jurídico em questão.</w:t>
      </w:r>
    </w:p>
    <w:p w14:paraId="17A8E106" w14:textId="02185CFD" w:rsidR="003B0F36" w:rsidRP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Nos termos da última norma, essa </w:t>
      </w:r>
      <w:r w:rsidRPr="00E4119F">
        <w:rPr>
          <w:rFonts w:ascii="Times New Roman" w:hAnsi="Times New Roman" w:cs="Times New Roman"/>
          <w:i/>
          <w:iCs/>
          <w:sz w:val="24"/>
          <w:szCs w:val="24"/>
        </w:rPr>
        <w:t>ação de adjudicação</w:t>
      </w:r>
      <w:r w:rsidRPr="003B0F36">
        <w:rPr>
          <w:rFonts w:ascii="Times New Roman" w:hAnsi="Times New Roman" w:cs="Times New Roman"/>
          <w:sz w:val="24"/>
          <w:szCs w:val="24"/>
        </w:rPr>
        <w:t xml:space="preserve"> </w:t>
      </w:r>
      <w:r w:rsidR="00D94656">
        <w:rPr>
          <w:rFonts w:ascii="Times New Roman" w:hAnsi="Times New Roman" w:cs="Times New Roman"/>
          <w:sz w:val="24"/>
          <w:szCs w:val="24"/>
        </w:rPr>
        <w:t xml:space="preserve">ou </w:t>
      </w:r>
      <w:r w:rsidR="00D94656" w:rsidRPr="00D94656">
        <w:rPr>
          <w:rFonts w:ascii="Times New Roman" w:hAnsi="Times New Roman" w:cs="Times New Roman"/>
          <w:i/>
          <w:iCs/>
          <w:sz w:val="24"/>
          <w:szCs w:val="24"/>
        </w:rPr>
        <w:t>ação de preferência</w:t>
      </w:r>
      <w:r w:rsidR="00D94656">
        <w:rPr>
          <w:rFonts w:ascii="Times New Roman" w:hAnsi="Times New Roman" w:cs="Times New Roman"/>
          <w:sz w:val="24"/>
          <w:szCs w:val="24"/>
        </w:rPr>
        <w:t xml:space="preserve"> </w:t>
      </w:r>
      <w:r w:rsidRPr="003B0F36">
        <w:rPr>
          <w:rFonts w:ascii="Times New Roman" w:hAnsi="Times New Roman" w:cs="Times New Roman"/>
          <w:sz w:val="24"/>
          <w:szCs w:val="24"/>
        </w:rPr>
        <w:t xml:space="preserve">está sujeita ao prazo decadencial de </w:t>
      </w:r>
      <w:r w:rsidR="00E4119F">
        <w:rPr>
          <w:rFonts w:ascii="Times New Roman" w:hAnsi="Times New Roman" w:cs="Times New Roman"/>
          <w:sz w:val="24"/>
          <w:szCs w:val="24"/>
        </w:rPr>
        <w:t>cento e oitenta dias</w:t>
      </w:r>
      <w:r w:rsidRPr="003B0F36">
        <w:rPr>
          <w:rFonts w:ascii="Times New Roman" w:hAnsi="Times New Roman" w:cs="Times New Roman"/>
          <w:sz w:val="24"/>
          <w:szCs w:val="24"/>
        </w:rPr>
        <w:t xml:space="preserve">, a contar da transmissão do bem. Diante da valorização da boa-fé objetiva, defendo que o prazo </w:t>
      </w:r>
      <w:r w:rsidR="00D94656">
        <w:rPr>
          <w:rFonts w:ascii="Times New Roman" w:hAnsi="Times New Roman" w:cs="Times New Roman"/>
          <w:sz w:val="24"/>
          <w:szCs w:val="24"/>
        </w:rPr>
        <w:t xml:space="preserve">pode ser eventualmente </w:t>
      </w:r>
      <w:r w:rsidRPr="003B0F36">
        <w:rPr>
          <w:rFonts w:ascii="Times New Roman" w:hAnsi="Times New Roman" w:cs="Times New Roman"/>
          <w:sz w:val="24"/>
          <w:szCs w:val="24"/>
        </w:rPr>
        <w:t xml:space="preserve">contado da ciência da realização da alienação e não da alienação em si. Concluindo desse modo, da jurisprudência </w:t>
      </w:r>
      <w:r w:rsidR="00832AE4">
        <w:rPr>
          <w:rFonts w:ascii="Times New Roman" w:hAnsi="Times New Roman" w:cs="Times New Roman"/>
          <w:sz w:val="24"/>
          <w:szCs w:val="24"/>
        </w:rPr>
        <w:t xml:space="preserve">estadual, somente para ilustrar: </w:t>
      </w:r>
    </w:p>
    <w:p w14:paraId="311C36F4" w14:textId="135EFD8C" w:rsidR="00832AE4" w:rsidRPr="00832AE4" w:rsidRDefault="003B0F36" w:rsidP="00832AE4">
      <w:pPr>
        <w:pStyle w:val="t"/>
        <w:spacing w:before="120" w:after="120" w:line="360" w:lineRule="auto"/>
        <w:ind w:left="567" w:firstLine="0"/>
        <w:rPr>
          <w:rFonts w:ascii="Times New Roman" w:hAnsi="Times New Roman" w:cs="Times New Roman"/>
          <w:sz w:val="22"/>
          <w:szCs w:val="22"/>
        </w:rPr>
      </w:pPr>
      <w:r w:rsidRPr="00832AE4">
        <w:rPr>
          <w:rFonts w:ascii="Times New Roman" w:hAnsi="Times New Roman" w:cs="Times New Roman"/>
          <w:sz w:val="22"/>
          <w:szCs w:val="22"/>
        </w:rPr>
        <w:lastRenderedPageBreak/>
        <w:t>“</w:t>
      </w:r>
      <w:r w:rsidR="00832AE4" w:rsidRPr="00832AE4">
        <w:rPr>
          <w:rFonts w:ascii="Times New Roman" w:hAnsi="Times New Roman" w:cs="Times New Roman"/>
          <w:sz w:val="22"/>
          <w:szCs w:val="22"/>
        </w:rPr>
        <w:t>AÇÃO DECLARATÓRIA DE INEFICÁCIA DE NEGÓCIO JURÍDICO. VENDA DE QUINHÃO HEREDITÁRIO. DIREITO DE PREFERÊNCIA. Terreno sem benfeitoria deixado pelo pai do coautor e da corré. Após negociação entre os demais herdeiros, o coautor e a corré passaram a ser titulares de 50% do terreno, cada um. Corré que vendeu seu quinhão hereditário a terceiro, sem dar ao coerdeiro o direito de preferência, em afronta aos arts. 1.794 e 1.795, ambos do Código Civil. Coautor que só teve conhecimento da venda ao ser procurado pelo comprador para regularizar a documentação. Ajuizamento da ação em menos de 180 dias da ciência do negócio, o que afasta a arguição de decadência. Prova oral que em nada favoreceu à corré. Por outro lado, as testemunhas dos autores e também do Juízo, ratificaram que a corré não deu ciência aos demais irmãos de que pretendia vender sua cota parte do terreno. Direito de preferência do coerdeiro desrespeitado. Depósito nos autos do valor atualizado do negócio, que afasta a necessidade de avaliação e autoriza reconhecer aos autores o direito de preferência, com a consequente adjudicação do bem em seu favor. Litigância de má-fé da autora. Alteração da verdade dos fatos. Depoimento em juízo, do próprio comprador do imóvel, ora corréu, que confirmou o negócio e o pagamento do preço. Penalidade bem aplicada na sentença, que fica mantida na íntegra. Honorários recursais devidos. PREJUDICIAL DE MÉRITO AFASTADA. RECURSO DESPROVIDO</w:t>
      </w:r>
      <w:r w:rsidR="00832AE4">
        <w:rPr>
          <w:rFonts w:ascii="Times New Roman" w:hAnsi="Times New Roman" w:cs="Times New Roman"/>
          <w:sz w:val="22"/>
          <w:szCs w:val="22"/>
        </w:rPr>
        <w:t>”</w:t>
      </w:r>
      <w:r w:rsidR="00832AE4" w:rsidRPr="00832AE4">
        <w:rPr>
          <w:rFonts w:ascii="Times New Roman" w:hAnsi="Times New Roman" w:cs="Times New Roman"/>
          <w:sz w:val="22"/>
          <w:szCs w:val="22"/>
        </w:rPr>
        <w:t xml:space="preserve"> (TJSP</w:t>
      </w:r>
      <w:r w:rsidR="00832AE4">
        <w:rPr>
          <w:rFonts w:ascii="Times New Roman" w:hAnsi="Times New Roman" w:cs="Times New Roman"/>
          <w:sz w:val="22"/>
          <w:szCs w:val="22"/>
        </w:rPr>
        <w:t xml:space="preserve">, Apelação </w:t>
      </w:r>
      <w:r w:rsidR="00B01459">
        <w:rPr>
          <w:rFonts w:ascii="Times New Roman" w:hAnsi="Times New Roman" w:cs="Times New Roman"/>
          <w:sz w:val="22"/>
          <w:szCs w:val="22"/>
        </w:rPr>
        <w:t xml:space="preserve">Cível </w:t>
      </w:r>
      <w:r w:rsidR="00832AE4">
        <w:rPr>
          <w:rFonts w:ascii="Times New Roman" w:hAnsi="Times New Roman" w:cs="Times New Roman"/>
          <w:sz w:val="22"/>
          <w:szCs w:val="22"/>
        </w:rPr>
        <w:t xml:space="preserve">n. </w:t>
      </w:r>
      <w:r w:rsidR="00832AE4" w:rsidRPr="00832AE4">
        <w:rPr>
          <w:rFonts w:ascii="Times New Roman" w:hAnsi="Times New Roman" w:cs="Times New Roman"/>
          <w:sz w:val="22"/>
          <w:szCs w:val="22"/>
        </w:rPr>
        <w:t>1000082-34.2018.8.26.0341</w:t>
      </w:r>
      <w:r w:rsidR="00832AE4">
        <w:rPr>
          <w:rFonts w:ascii="Times New Roman" w:hAnsi="Times New Roman" w:cs="Times New Roman"/>
          <w:sz w:val="22"/>
          <w:szCs w:val="22"/>
        </w:rPr>
        <w:t xml:space="preserve">, Acórdão n. </w:t>
      </w:r>
      <w:r w:rsidR="00832AE4" w:rsidRPr="00832AE4">
        <w:rPr>
          <w:rFonts w:ascii="Times New Roman" w:hAnsi="Times New Roman" w:cs="Times New Roman"/>
          <w:sz w:val="22"/>
          <w:szCs w:val="22"/>
        </w:rPr>
        <w:t>14207374</w:t>
      </w:r>
      <w:r w:rsidR="00832AE4">
        <w:rPr>
          <w:rFonts w:ascii="Times New Roman" w:hAnsi="Times New Roman" w:cs="Times New Roman"/>
          <w:sz w:val="22"/>
          <w:szCs w:val="22"/>
        </w:rPr>
        <w:t xml:space="preserve">, </w:t>
      </w:r>
      <w:r w:rsidR="00832AE4" w:rsidRPr="00832AE4">
        <w:rPr>
          <w:rFonts w:ascii="Times New Roman" w:hAnsi="Times New Roman" w:cs="Times New Roman"/>
          <w:sz w:val="22"/>
          <w:szCs w:val="22"/>
        </w:rPr>
        <w:t>Maracaí</w:t>
      </w:r>
      <w:r w:rsidR="00832AE4">
        <w:rPr>
          <w:rFonts w:ascii="Times New Roman" w:hAnsi="Times New Roman" w:cs="Times New Roman"/>
          <w:sz w:val="22"/>
          <w:szCs w:val="22"/>
        </w:rPr>
        <w:t xml:space="preserve">, </w:t>
      </w:r>
      <w:r w:rsidR="00B01459">
        <w:rPr>
          <w:rFonts w:ascii="Times New Roman" w:hAnsi="Times New Roman" w:cs="Times New Roman"/>
          <w:sz w:val="22"/>
          <w:szCs w:val="22"/>
        </w:rPr>
        <w:t>9.ª</w:t>
      </w:r>
      <w:r w:rsidR="00B01459" w:rsidRPr="00832AE4">
        <w:rPr>
          <w:rFonts w:ascii="Times New Roman" w:hAnsi="Times New Roman" w:cs="Times New Roman"/>
          <w:sz w:val="22"/>
          <w:szCs w:val="22"/>
        </w:rPr>
        <w:t xml:space="preserve"> </w:t>
      </w:r>
      <w:r w:rsidR="00832AE4" w:rsidRPr="00832AE4">
        <w:rPr>
          <w:rFonts w:ascii="Times New Roman" w:hAnsi="Times New Roman" w:cs="Times New Roman"/>
          <w:sz w:val="22"/>
          <w:szCs w:val="22"/>
        </w:rPr>
        <w:t>Câmara de Direito Privado</w:t>
      </w:r>
      <w:r w:rsidR="00832AE4">
        <w:rPr>
          <w:rFonts w:ascii="Times New Roman" w:hAnsi="Times New Roman" w:cs="Times New Roman"/>
          <w:sz w:val="22"/>
          <w:szCs w:val="22"/>
        </w:rPr>
        <w:t xml:space="preserve">, </w:t>
      </w:r>
      <w:r w:rsidR="00832AE4" w:rsidRPr="00832AE4">
        <w:rPr>
          <w:rFonts w:ascii="Times New Roman" w:hAnsi="Times New Roman" w:cs="Times New Roman"/>
          <w:sz w:val="22"/>
          <w:szCs w:val="22"/>
        </w:rPr>
        <w:t>Rel</w:t>
      </w:r>
      <w:r w:rsidR="00B01459">
        <w:rPr>
          <w:rFonts w:ascii="Times New Roman" w:hAnsi="Times New Roman" w:cs="Times New Roman"/>
          <w:sz w:val="22"/>
          <w:szCs w:val="22"/>
        </w:rPr>
        <w:t>.</w:t>
      </w:r>
      <w:r w:rsidR="00832AE4" w:rsidRPr="00832AE4">
        <w:rPr>
          <w:rFonts w:ascii="Times New Roman" w:hAnsi="Times New Roman" w:cs="Times New Roman"/>
          <w:sz w:val="22"/>
          <w:szCs w:val="22"/>
        </w:rPr>
        <w:t xml:space="preserve"> Des</w:t>
      </w:r>
      <w:r w:rsidR="00B01459">
        <w:rPr>
          <w:rFonts w:ascii="Times New Roman" w:hAnsi="Times New Roman" w:cs="Times New Roman"/>
          <w:sz w:val="22"/>
          <w:szCs w:val="22"/>
        </w:rPr>
        <w:t>.</w:t>
      </w:r>
      <w:r w:rsidR="00832AE4" w:rsidRPr="00832AE4">
        <w:rPr>
          <w:rFonts w:ascii="Times New Roman" w:hAnsi="Times New Roman" w:cs="Times New Roman"/>
          <w:sz w:val="22"/>
          <w:szCs w:val="22"/>
        </w:rPr>
        <w:t xml:space="preserve"> Angela Lopes</w:t>
      </w:r>
      <w:r w:rsidR="00832AE4">
        <w:rPr>
          <w:rFonts w:ascii="Times New Roman" w:hAnsi="Times New Roman" w:cs="Times New Roman"/>
          <w:sz w:val="22"/>
          <w:szCs w:val="22"/>
        </w:rPr>
        <w:t>, j</w:t>
      </w:r>
      <w:r w:rsidR="00B01459">
        <w:rPr>
          <w:rFonts w:ascii="Times New Roman" w:hAnsi="Times New Roman" w:cs="Times New Roman"/>
          <w:sz w:val="22"/>
          <w:szCs w:val="22"/>
        </w:rPr>
        <w:t>.</w:t>
      </w:r>
      <w:r w:rsidR="00832AE4">
        <w:rPr>
          <w:rFonts w:ascii="Times New Roman" w:hAnsi="Times New Roman" w:cs="Times New Roman"/>
          <w:sz w:val="22"/>
          <w:szCs w:val="22"/>
        </w:rPr>
        <w:t xml:space="preserve"> </w:t>
      </w:r>
      <w:r w:rsidR="00832AE4" w:rsidRPr="00832AE4">
        <w:rPr>
          <w:rFonts w:ascii="Times New Roman" w:hAnsi="Times New Roman" w:cs="Times New Roman"/>
          <w:sz w:val="22"/>
          <w:szCs w:val="22"/>
        </w:rPr>
        <w:t xml:space="preserve"> 01</w:t>
      </w:r>
      <w:r w:rsidR="00B01459">
        <w:rPr>
          <w:rFonts w:ascii="Times New Roman" w:hAnsi="Times New Roman" w:cs="Times New Roman"/>
          <w:sz w:val="22"/>
          <w:szCs w:val="22"/>
        </w:rPr>
        <w:t>.</w:t>
      </w:r>
      <w:r w:rsidR="00832AE4" w:rsidRPr="00832AE4">
        <w:rPr>
          <w:rFonts w:ascii="Times New Roman" w:hAnsi="Times New Roman" w:cs="Times New Roman"/>
          <w:sz w:val="22"/>
          <w:szCs w:val="22"/>
        </w:rPr>
        <w:t>12</w:t>
      </w:r>
      <w:r w:rsidR="00B01459">
        <w:rPr>
          <w:rFonts w:ascii="Times New Roman" w:hAnsi="Times New Roman" w:cs="Times New Roman"/>
          <w:sz w:val="22"/>
          <w:szCs w:val="22"/>
        </w:rPr>
        <w:t>.</w:t>
      </w:r>
      <w:r w:rsidR="00832AE4" w:rsidRPr="00832AE4">
        <w:rPr>
          <w:rFonts w:ascii="Times New Roman" w:hAnsi="Times New Roman" w:cs="Times New Roman"/>
          <w:sz w:val="22"/>
          <w:szCs w:val="22"/>
        </w:rPr>
        <w:t>2020</w:t>
      </w:r>
      <w:r w:rsidR="00832AE4">
        <w:rPr>
          <w:rFonts w:ascii="Times New Roman" w:hAnsi="Times New Roman" w:cs="Times New Roman"/>
          <w:sz w:val="22"/>
          <w:szCs w:val="22"/>
        </w:rPr>
        <w:t xml:space="preserve">, </w:t>
      </w:r>
      <w:r w:rsidR="00832AE4" w:rsidRPr="006A24C2">
        <w:rPr>
          <w:rFonts w:ascii="Times New Roman" w:hAnsi="Times New Roman" w:cs="Times New Roman"/>
          <w:i/>
          <w:iCs/>
          <w:sz w:val="22"/>
          <w:szCs w:val="22"/>
        </w:rPr>
        <w:t>DJESP</w:t>
      </w:r>
      <w:r w:rsidR="00832AE4" w:rsidRPr="00832AE4">
        <w:rPr>
          <w:rFonts w:ascii="Times New Roman" w:hAnsi="Times New Roman" w:cs="Times New Roman"/>
          <w:sz w:val="22"/>
          <w:szCs w:val="22"/>
        </w:rPr>
        <w:t xml:space="preserve"> 11</w:t>
      </w:r>
      <w:r w:rsidR="00B01459">
        <w:rPr>
          <w:rFonts w:ascii="Times New Roman" w:hAnsi="Times New Roman" w:cs="Times New Roman"/>
          <w:sz w:val="22"/>
          <w:szCs w:val="22"/>
        </w:rPr>
        <w:t>.</w:t>
      </w:r>
      <w:r w:rsidR="00832AE4" w:rsidRPr="00832AE4">
        <w:rPr>
          <w:rFonts w:ascii="Times New Roman" w:hAnsi="Times New Roman" w:cs="Times New Roman"/>
          <w:sz w:val="22"/>
          <w:szCs w:val="22"/>
        </w:rPr>
        <w:t>12</w:t>
      </w:r>
      <w:r w:rsidR="00B01459">
        <w:rPr>
          <w:rFonts w:ascii="Times New Roman" w:hAnsi="Times New Roman" w:cs="Times New Roman"/>
          <w:sz w:val="22"/>
          <w:szCs w:val="22"/>
        </w:rPr>
        <w:t>.</w:t>
      </w:r>
      <w:r w:rsidR="00832AE4" w:rsidRPr="00832AE4">
        <w:rPr>
          <w:rFonts w:ascii="Times New Roman" w:hAnsi="Times New Roman" w:cs="Times New Roman"/>
          <w:sz w:val="22"/>
          <w:szCs w:val="22"/>
        </w:rPr>
        <w:t>2020</w:t>
      </w:r>
      <w:r w:rsidR="00832AE4">
        <w:rPr>
          <w:rFonts w:ascii="Times New Roman" w:hAnsi="Times New Roman" w:cs="Times New Roman"/>
          <w:sz w:val="22"/>
          <w:szCs w:val="22"/>
        </w:rPr>
        <w:t>, p</w:t>
      </w:r>
      <w:r w:rsidR="00832AE4" w:rsidRPr="00832AE4">
        <w:rPr>
          <w:rFonts w:ascii="Times New Roman" w:hAnsi="Times New Roman" w:cs="Times New Roman"/>
          <w:sz w:val="22"/>
          <w:szCs w:val="22"/>
        </w:rPr>
        <w:t>. 2356</w:t>
      </w:r>
      <w:r w:rsidR="00B01459" w:rsidRPr="00832AE4">
        <w:rPr>
          <w:rFonts w:ascii="Times New Roman" w:hAnsi="Times New Roman" w:cs="Times New Roman"/>
          <w:sz w:val="22"/>
          <w:szCs w:val="22"/>
        </w:rPr>
        <w:t>)</w:t>
      </w:r>
      <w:r w:rsidR="00B01459">
        <w:rPr>
          <w:rFonts w:ascii="Times New Roman" w:hAnsi="Times New Roman" w:cs="Times New Roman"/>
          <w:sz w:val="22"/>
          <w:szCs w:val="22"/>
        </w:rPr>
        <w:t>.</w:t>
      </w:r>
    </w:p>
    <w:p w14:paraId="44CD572E" w14:textId="7644C567" w:rsidR="003B0F36" w:rsidRPr="00832AE4" w:rsidRDefault="00832AE4" w:rsidP="00832AE4">
      <w:pPr>
        <w:pStyle w:val="t"/>
        <w:spacing w:before="120" w:after="120" w:line="360" w:lineRule="auto"/>
        <w:ind w:left="567" w:firstLine="0"/>
        <w:rPr>
          <w:rFonts w:ascii="Times New Roman" w:hAnsi="Times New Roman" w:cs="Times New Roman"/>
          <w:sz w:val="22"/>
          <w:szCs w:val="22"/>
        </w:rPr>
      </w:pPr>
      <w:r w:rsidRPr="00832AE4">
        <w:rPr>
          <w:rFonts w:ascii="Times New Roman" w:hAnsi="Times New Roman" w:cs="Times New Roman"/>
          <w:sz w:val="22"/>
          <w:szCs w:val="22"/>
        </w:rPr>
        <w:t>“</w:t>
      </w:r>
      <w:r w:rsidR="003B0F36" w:rsidRPr="00832AE4">
        <w:rPr>
          <w:rFonts w:ascii="Times New Roman" w:hAnsi="Times New Roman" w:cs="Times New Roman"/>
          <w:sz w:val="22"/>
          <w:szCs w:val="22"/>
        </w:rPr>
        <w:t xml:space="preserve">Direito civil. Cessão de direitos hereditários. Direito de preferência. Inobservância. Demais herdeiros. Prazo decadencial para o exercício. A Cessão de direitos hereditários, sem a observância do direito de preferência dos demais herdeiros, encontra óbice no art. 1.795 do Código Civil/2002, que prescreve que ‘o coerdeiro, a quem não se der conhecimento da cessão, poderá, depositado o preço, haver para si a quota cedida a estranho, se o requerer até 180 (cento e oitenta) dias após a transmissão’. O prazo decadencial imposto ao coerdeiro prejudicado conta-se a partir da transmissão, contudo, será contado apenas da sua ciência acerca do negócio jurídico quando não é seguida a formalidade legal imposta pelo art. 1.793 do CC e a transmissão não se dá por escritura pública” (TJMG, Apelação Cível </w:t>
      </w:r>
      <w:r w:rsidR="00B01459">
        <w:rPr>
          <w:rFonts w:ascii="Times New Roman" w:hAnsi="Times New Roman" w:cs="Times New Roman"/>
          <w:sz w:val="22"/>
          <w:szCs w:val="22"/>
        </w:rPr>
        <w:t xml:space="preserve">n. </w:t>
      </w:r>
      <w:r w:rsidR="003B0F36" w:rsidRPr="00832AE4">
        <w:rPr>
          <w:rFonts w:ascii="Times New Roman" w:hAnsi="Times New Roman" w:cs="Times New Roman"/>
          <w:sz w:val="22"/>
          <w:szCs w:val="22"/>
        </w:rPr>
        <w:t xml:space="preserve">1.0251.07.021397-9/0011, 11.ª Câmara Cível, Extrema, Rel. Des. Fernando Caldeira Brant, j. 08.07.2009, </w:t>
      </w:r>
      <w:r w:rsidR="003B0F36" w:rsidRPr="006A24C2">
        <w:rPr>
          <w:rFonts w:ascii="Times New Roman" w:hAnsi="Times New Roman" w:cs="Times New Roman"/>
          <w:i/>
          <w:iCs/>
          <w:sz w:val="22"/>
          <w:szCs w:val="22"/>
        </w:rPr>
        <w:t xml:space="preserve">DJEMG </w:t>
      </w:r>
      <w:r w:rsidR="003B0F36" w:rsidRPr="00832AE4">
        <w:rPr>
          <w:rFonts w:ascii="Times New Roman" w:hAnsi="Times New Roman" w:cs="Times New Roman"/>
          <w:sz w:val="22"/>
          <w:szCs w:val="22"/>
        </w:rPr>
        <w:t>20.07.2009).</w:t>
      </w:r>
    </w:p>
    <w:p w14:paraId="14965BCD" w14:textId="61319392" w:rsidR="003B0F36" w:rsidRP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Em complemento, sendo vários os coerdeiros a exercer</w:t>
      </w:r>
      <w:r w:rsidR="00B01459">
        <w:rPr>
          <w:rFonts w:ascii="Times New Roman" w:hAnsi="Times New Roman" w:cs="Times New Roman"/>
          <w:sz w:val="24"/>
          <w:szCs w:val="24"/>
        </w:rPr>
        <w:t>em</w:t>
      </w:r>
      <w:r w:rsidRPr="003B0F36">
        <w:rPr>
          <w:rFonts w:ascii="Times New Roman" w:hAnsi="Times New Roman" w:cs="Times New Roman"/>
          <w:sz w:val="24"/>
          <w:szCs w:val="24"/>
        </w:rPr>
        <w:t xml:space="preserve"> a preferência legal, entre eles se distribuirá o quinhão cedido, na proporção das respectivas quotas hereditárias (art. 1.795, parágrafo único, do CC</w:t>
      </w:r>
      <w:r w:rsidR="00832AE4">
        <w:rPr>
          <w:rFonts w:ascii="Times New Roman" w:hAnsi="Times New Roman" w:cs="Times New Roman"/>
          <w:sz w:val="24"/>
          <w:szCs w:val="24"/>
        </w:rPr>
        <w:t>/2002</w:t>
      </w:r>
      <w:r w:rsidRPr="003B0F36">
        <w:rPr>
          <w:rFonts w:ascii="Times New Roman" w:hAnsi="Times New Roman" w:cs="Times New Roman"/>
          <w:sz w:val="24"/>
          <w:szCs w:val="24"/>
        </w:rPr>
        <w:t>).</w:t>
      </w:r>
      <w:r w:rsidR="00832AE4">
        <w:rPr>
          <w:rFonts w:ascii="Times New Roman" w:hAnsi="Times New Roman" w:cs="Times New Roman"/>
          <w:sz w:val="24"/>
          <w:szCs w:val="24"/>
        </w:rPr>
        <w:t xml:space="preserve"> Assim, </w:t>
      </w:r>
      <w:r w:rsidR="00832AE4" w:rsidRPr="00832AE4">
        <w:rPr>
          <w:rFonts w:ascii="Times New Roman" w:hAnsi="Times New Roman" w:cs="Times New Roman"/>
          <w:sz w:val="24"/>
          <w:szCs w:val="24"/>
        </w:rPr>
        <w:t xml:space="preserve">uma eventual ação de preferência proposta por um dos herdeiros a todos beneficiará, na proporção de suas participações </w:t>
      </w:r>
      <w:r w:rsidR="006A24C2">
        <w:rPr>
          <w:rFonts w:ascii="Times New Roman" w:hAnsi="Times New Roman" w:cs="Times New Roman"/>
          <w:sz w:val="24"/>
          <w:szCs w:val="24"/>
        </w:rPr>
        <w:t xml:space="preserve">na </w:t>
      </w:r>
      <w:r w:rsidR="00832AE4" w:rsidRPr="00832AE4">
        <w:rPr>
          <w:rFonts w:ascii="Times New Roman" w:hAnsi="Times New Roman" w:cs="Times New Roman"/>
          <w:sz w:val="24"/>
          <w:szCs w:val="24"/>
        </w:rPr>
        <w:t xml:space="preserve">herança. A lei não estabelece critérios para beneficiar um ou outro </w:t>
      </w:r>
      <w:r w:rsidR="00832AE4" w:rsidRPr="00832AE4">
        <w:rPr>
          <w:rFonts w:ascii="Times New Roman" w:hAnsi="Times New Roman" w:cs="Times New Roman"/>
          <w:sz w:val="24"/>
          <w:szCs w:val="24"/>
        </w:rPr>
        <w:lastRenderedPageBreak/>
        <w:t>condômino – como, aliás, determina o parágrafo único do art. 504</w:t>
      </w:r>
      <w:r w:rsidR="00832AE4">
        <w:rPr>
          <w:rFonts w:ascii="Times New Roman" w:hAnsi="Times New Roman" w:cs="Times New Roman"/>
          <w:sz w:val="24"/>
          <w:szCs w:val="24"/>
        </w:rPr>
        <w:t xml:space="preserve"> do CC/2002 a respeito da venda de coisa em condomínio</w:t>
      </w:r>
      <w:r w:rsidR="00D94656">
        <w:rPr>
          <w:rFonts w:ascii="Times New Roman" w:hAnsi="Times New Roman" w:cs="Times New Roman"/>
          <w:sz w:val="24"/>
          <w:szCs w:val="24"/>
        </w:rPr>
        <w:t>, em geral</w:t>
      </w:r>
      <w:r w:rsidR="00832AE4" w:rsidRPr="00832AE4">
        <w:rPr>
          <w:rFonts w:ascii="Times New Roman" w:hAnsi="Times New Roman" w:cs="Times New Roman"/>
          <w:sz w:val="24"/>
          <w:szCs w:val="24"/>
        </w:rPr>
        <w:t xml:space="preserve"> –, trazendo uma solução que beneficia a todos os envolvidos.</w:t>
      </w:r>
    </w:p>
    <w:p w14:paraId="4CC6187D" w14:textId="7F9664C6" w:rsidR="00832AE4"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O </w:t>
      </w:r>
      <w:r w:rsidR="00832AE4">
        <w:rPr>
          <w:rFonts w:ascii="Times New Roman" w:hAnsi="Times New Roman" w:cs="Times New Roman"/>
          <w:sz w:val="24"/>
          <w:szCs w:val="24"/>
        </w:rPr>
        <w:t xml:space="preserve">atual </w:t>
      </w:r>
      <w:r w:rsidRPr="003B0F36">
        <w:rPr>
          <w:rFonts w:ascii="Times New Roman" w:hAnsi="Times New Roman" w:cs="Times New Roman"/>
          <w:sz w:val="24"/>
          <w:szCs w:val="24"/>
        </w:rPr>
        <w:t>Projeto de Reforma do Código Civil</w:t>
      </w:r>
      <w:r w:rsidR="00832AE4">
        <w:rPr>
          <w:rFonts w:ascii="Times New Roman" w:hAnsi="Times New Roman" w:cs="Times New Roman"/>
          <w:sz w:val="24"/>
          <w:szCs w:val="24"/>
        </w:rPr>
        <w:t xml:space="preserve">, em boa hora, </w:t>
      </w:r>
      <w:r w:rsidRPr="003B0F36">
        <w:rPr>
          <w:rFonts w:ascii="Times New Roman" w:hAnsi="Times New Roman" w:cs="Times New Roman"/>
          <w:sz w:val="24"/>
          <w:szCs w:val="24"/>
        </w:rPr>
        <w:t xml:space="preserve">pretende deixar mais claro o início desse prazo decadencial do art. 1.795, retirando-se do sistema o atual parágrafo único e remetendo a situação de pluralidade dos condôminos para a regra prevista no parágrafo único do art. 504, </w:t>
      </w:r>
      <w:r w:rsidRPr="00832AE4">
        <w:rPr>
          <w:rFonts w:ascii="Times New Roman" w:hAnsi="Times New Roman" w:cs="Times New Roman"/>
          <w:i/>
          <w:iCs/>
          <w:sz w:val="24"/>
          <w:szCs w:val="24"/>
        </w:rPr>
        <w:t>equalizando</w:t>
      </w:r>
      <w:r w:rsidR="006A24C2">
        <w:rPr>
          <w:rFonts w:ascii="Times New Roman" w:hAnsi="Times New Roman" w:cs="Times New Roman"/>
          <w:i/>
          <w:iCs/>
          <w:sz w:val="24"/>
          <w:szCs w:val="24"/>
        </w:rPr>
        <w:t>-se</w:t>
      </w:r>
      <w:r w:rsidRPr="00832AE4">
        <w:rPr>
          <w:rFonts w:ascii="Times New Roman" w:hAnsi="Times New Roman" w:cs="Times New Roman"/>
          <w:i/>
          <w:iCs/>
          <w:sz w:val="24"/>
          <w:szCs w:val="24"/>
        </w:rPr>
        <w:t xml:space="preserve"> </w:t>
      </w:r>
      <w:r w:rsidRPr="003B0F36">
        <w:rPr>
          <w:rFonts w:ascii="Times New Roman" w:hAnsi="Times New Roman" w:cs="Times New Roman"/>
          <w:sz w:val="24"/>
          <w:szCs w:val="24"/>
        </w:rPr>
        <w:t>o tratamento da matéria</w:t>
      </w:r>
      <w:r w:rsidR="00832AE4">
        <w:rPr>
          <w:rFonts w:ascii="Times New Roman" w:hAnsi="Times New Roman" w:cs="Times New Roman"/>
          <w:sz w:val="24"/>
          <w:szCs w:val="24"/>
        </w:rPr>
        <w:t xml:space="preserve">, trazendo maior coerência para o sistema civil. </w:t>
      </w:r>
      <w:r w:rsidRPr="003B0F36">
        <w:rPr>
          <w:rFonts w:ascii="Times New Roman" w:hAnsi="Times New Roman" w:cs="Times New Roman"/>
          <w:sz w:val="24"/>
          <w:szCs w:val="24"/>
        </w:rPr>
        <w:t xml:space="preserve"> </w:t>
      </w:r>
    </w:p>
    <w:p w14:paraId="58251E46" w14:textId="3BFF171A" w:rsidR="00832AE4" w:rsidRDefault="00D94656" w:rsidP="003B0F36">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w:t>
      </w:r>
      <w:r w:rsidR="003B0F36" w:rsidRPr="003B0F36">
        <w:rPr>
          <w:rFonts w:ascii="Times New Roman" w:hAnsi="Times New Roman" w:cs="Times New Roman"/>
          <w:sz w:val="24"/>
          <w:szCs w:val="24"/>
        </w:rPr>
        <w:t xml:space="preserve">o </w:t>
      </w:r>
      <w:r w:rsidR="003B0F36" w:rsidRPr="00D94656">
        <w:rPr>
          <w:rFonts w:ascii="Times New Roman" w:hAnsi="Times New Roman" w:cs="Times New Roman"/>
          <w:i/>
          <w:iCs/>
          <w:sz w:val="24"/>
          <w:szCs w:val="24"/>
        </w:rPr>
        <w:t xml:space="preserve">caput </w:t>
      </w:r>
      <w:r w:rsidR="003B0F36" w:rsidRPr="003B0F36">
        <w:rPr>
          <w:rFonts w:ascii="Times New Roman" w:hAnsi="Times New Roman" w:cs="Times New Roman"/>
          <w:sz w:val="24"/>
          <w:szCs w:val="24"/>
        </w:rPr>
        <w:t xml:space="preserve">do </w:t>
      </w:r>
      <w:r>
        <w:rPr>
          <w:rFonts w:ascii="Times New Roman" w:hAnsi="Times New Roman" w:cs="Times New Roman"/>
          <w:sz w:val="24"/>
          <w:szCs w:val="24"/>
        </w:rPr>
        <w:t xml:space="preserve">seu </w:t>
      </w:r>
      <w:r w:rsidR="003B0F36" w:rsidRPr="003B0F36">
        <w:rPr>
          <w:rFonts w:ascii="Times New Roman" w:hAnsi="Times New Roman" w:cs="Times New Roman"/>
          <w:sz w:val="24"/>
          <w:szCs w:val="24"/>
        </w:rPr>
        <w:t>art. 1.795 preverá que "o coerdeiro, a quem não se der conhecimento da cessão, poderá, depositado o preço atualizado monetariamente, haver para si a quota cedida a estranho, se o requerer até cento e oitenta dias após a transmissão". E</w:t>
      </w:r>
      <w:r w:rsidR="0075158E">
        <w:rPr>
          <w:rFonts w:ascii="Times New Roman" w:hAnsi="Times New Roman" w:cs="Times New Roman"/>
          <w:sz w:val="24"/>
          <w:szCs w:val="24"/>
        </w:rPr>
        <w:t>,</w:t>
      </w:r>
      <w:r w:rsidR="003B0F36" w:rsidRPr="003B0F36">
        <w:rPr>
          <w:rFonts w:ascii="Times New Roman" w:hAnsi="Times New Roman" w:cs="Times New Roman"/>
          <w:sz w:val="24"/>
          <w:szCs w:val="24"/>
        </w:rPr>
        <w:t xml:space="preserve"> nos termos do seu novo parágrafo único, "o prazo para o exercício do direito de preferência previsto no </w:t>
      </w:r>
      <w:r w:rsidR="003B0F36" w:rsidRPr="00832AE4">
        <w:rPr>
          <w:rFonts w:ascii="Times New Roman" w:hAnsi="Times New Roman" w:cs="Times New Roman"/>
          <w:i/>
          <w:iCs/>
          <w:sz w:val="24"/>
          <w:szCs w:val="24"/>
        </w:rPr>
        <w:t>caput</w:t>
      </w:r>
      <w:r w:rsidR="003B0F36" w:rsidRPr="003B0F36">
        <w:rPr>
          <w:rFonts w:ascii="Times New Roman" w:hAnsi="Times New Roman" w:cs="Times New Roman"/>
          <w:sz w:val="24"/>
          <w:szCs w:val="24"/>
        </w:rPr>
        <w:t xml:space="preserve"> é decadencial de cento e oitenta dias, a contar do registro da cessão ou da sua ciência, o que ocorrer primeiro".  </w:t>
      </w:r>
    </w:p>
    <w:p w14:paraId="3AD0B207" w14:textId="101105E6" w:rsidR="003B0F36" w:rsidRDefault="003B0F36" w:rsidP="003B0F36">
      <w:pPr>
        <w:pStyle w:val="t"/>
        <w:spacing w:before="120" w:after="120" w:line="360" w:lineRule="auto"/>
        <w:ind w:firstLine="1701"/>
        <w:rPr>
          <w:rFonts w:ascii="Times New Roman" w:hAnsi="Times New Roman" w:cs="Times New Roman"/>
          <w:sz w:val="24"/>
          <w:szCs w:val="24"/>
        </w:rPr>
      </w:pPr>
      <w:r w:rsidRPr="003B0F36">
        <w:rPr>
          <w:rFonts w:ascii="Times New Roman" w:hAnsi="Times New Roman" w:cs="Times New Roman"/>
          <w:sz w:val="24"/>
          <w:szCs w:val="24"/>
        </w:rPr>
        <w:t xml:space="preserve">Esse critério de início do prazo foi adotado em outras propostas da reforma, </w:t>
      </w:r>
      <w:r w:rsidR="00832AE4">
        <w:rPr>
          <w:rFonts w:ascii="Times New Roman" w:hAnsi="Times New Roman" w:cs="Times New Roman"/>
          <w:sz w:val="24"/>
          <w:szCs w:val="24"/>
        </w:rPr>
        <w:t xml:space="preserve">elaboradas pela Comissão de Juristas, </w:t>
      </w:r>
      <w:r w:rsidRPr="003B0F36">
        <w:rPr>
          <w:rFonts w:ascii="Times New Roman" w:hAnsi="Times New Roman" w:cs="Times New Roman"/>
          <w:sz w:val="24"/>
          <w:szCs w:val="24"/>
        </w:rPr>
        <w:t xml:space="preserve">trazendo </w:t>
      </w:r>
      <w:r w:rsidR="00832AE4">
        <w:rPr>
          <w:rFonts w:ascii="Times New Roman" w:hAnsi="Times New Roman" w:cs="Times New Roman"/>
          <w:sz w:val="24"/>
          <w:szCs w:val="24"/>
        </w:rPr>
        <w:t>maior estabilidade</w:t>
      </w:r>
      <w:r w:rsidRPr="003B0F36">
        <w:rPr>
          <w:rFonts w:ascii="Times New Roman" w:hAnsi="Times New Roman" w:cs="Times New Roman"/>
          <w:sz w:val="24"/>
          <w:szCs w:val="24"/>
        </w:rPr>
        <w:t xml:space="preserve"> para a sua aplicação concreta</w:t>
      </w:r>
      <w:r w:rsidR="00832AE4">
        <w:rPr>
          <w:rFonts w:ascii="Times New Roman" w:hAnsi="Times New Roman" w:cs="Times New Roman"/>
          <w:sz w:val="24"/>
          <w:szCs w:val="24"/>
        </w:rPr>
        <w:t xml:space="preserve">, afastando-se debates desnecessários, como muitos que foram travados nos mais de vinte anos de vigência da atual legislação privada. Aguarda-se, portanto e novamente, a sua aprovação pelo Congresso Nacional, com a necessária modernização da Lei Civil Brasileira de 2002.  </w:t>
      </w:r>
    </w:p>
    <w:sectPr w:rsidR="003B0F36"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C1D94" w14:textId="77777777" w:rsidR="0058340B" w:rsidRDefault="0058340B" w:rsidP="00B15AD0">
      <w:pPr>
        <w:spacing w:after="0" w:line="240" w:lineRule="auto"/>
      </w:pPr>
      <w:r>
        <w:separator/>
      </w:r>
    </w:p>
  </w:endnote>
  <w:endnote w:type="continuationSeparator" w:id="0">
    <w:p w14:paraId="4691C5BC" w14:textId="77777777" w:rsidR="0058340B" w:rsidRDefault="0058340B"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altName w:val="????fc"/>
    <w:charset w:val="80"/>
    <w:family w:val="roman"/>
    <w:pitch w:val="variable"/>
    <w:sig w:usb0="800002E7" w:usb1="2AC7FCFF" w:usb2="00000012" w:usb3="00000000" w:csb0="0002009F" w:csb1="00000000"/>
  </w:font>
  <w:font w:name="MyriadPro-Regular">
    <w:altName w:val="Calibri"/>
    <w:panose1 w:val="00000000000000000000"/>
    <w:charset w:val="00"/>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altName w:val="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5280438"/>
      <w:docPartObj>
        <w:docPartGallery w:val="Page Numbers (Bottom of Page)"/>
        <w:docPartUnique/>
      </w:docPartObj>
    </w:sdtPr>
    <w:sdtEndPr/>
    <w:sdtContent>
      <w:p w14:paraId="29F270B8" w14:textId="77777777" w:rsidR="00560AB1" w:rsidRDefault="00065809">
        <w:pPr>
          <w:pStyle w:val="Rodap"/>
          <w:jc w:val="right"/>
        </w:pPr>
        <w:r>
          <w:fldChar w:fldCharType="begin"/>
        </w:r>
        <w:r w:rsidR="0027700F">
          <w:instrText>PAGE   \* MERGEFORMAT</w:instrText>
        </w:r>
        <w:r>
          <w:fldChar w:fldCharType="separate"/>
        </w:r>
        <w:r w:rsidR="00A76A82">
          <w:rPr>
            <w:noProof/>
          </w:rPr>
          <w:t>8</w:t>
        </w:r>
        <w:r>
          <w:rPr>
            <w:noProof/>
          </w:rPr>
          <w:fldChar w:fldCharType="end"/>
        </w:r>
      </w:p>
    </w:sdtContent>
  </w:sdt>
  <w:p w14:paraId="54DB077A" w14:textId="77777777" w:rsidR="00560AB1" w:rsidRDefault="00560AB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B9A2D" w14:textId="77777777" w:rsidR="0058340B" w:rsidRDefault="0058340B" w:rsidP="00B15AD0">
      <w:pPr>
        <w:spacing w:after="0" w:line="240" w:lineRule="auto"/>
      </w:pPr>
      <w:r>
        <w:separator/>
      </w:r>
    </w:p>
  </w:footnote>
  <w:footnote w:type="continuationSeparator" w:id="0">
    <w:p w14:paraId="26EB071C" w14:textId="77777777" w:rsidR="0058340B" w:rsidRDefault="0058340B" w:rsidP="00B15AD0">
      <w:pPr>
        <w:spacing w:after="0" w:line="240" w:lineRule="auto"/>
      </w:pPr>
      <w:r>
        <w:continuationSeparator/>
      </w:r>
    </w:p>
  </w:footnote>
  <w:footnote w:id="1">
    <w:p w14:paraId="5FBDD9C9" w14:textId="733F81CB" w:rsidR="00560AB1" w:rsidRPr="00197971" w:rsidRDefault="00560AB1"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w:t>
      </w:r>
      <w:r w:rsidR="00CA24B4">
        <w:t xml:space="preserve">Federal da OAB, pela </w:t>
      </w:r>
      <w:r>
        <w:t>OABSP</w:t>
      </w:r>
      <w:r w:rsidR="00CA24B4">
        <w:t xml:space="preserve">.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341468968">
    <w:abstractNumId w:val="1"/>
  </w:num>
  <w:num w:numId="2" w16cid:durableId="1149205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84D"/>
    <w:rsid w:val="00002059"/>
    <w:rsid w:val="00012D24"/>
    <w:rsid w:val="00014A13"/>
    <w:rsid w:val="000163F9"/>
    <w:rsid w:val="000272D3"/>
    <w:rsid w:val="0006022B"/>
    <w:rsid w:val="000618D8"/>
    <w:rsid w:val="00061D24"/>
    <w:rsid w:val="00061D89"/>
    <w:rsid w:val="00065809"/>
    <w:rsid w:val="00081B5A"/>
    <w:rsid w:val="00084038"/>
    <w:rsid w:val="00090984"/>
    <w:rsid w:val="00092468"/>
    <w:rsid w:val="000967F8"/>
    <w:rsid w:val="000A1BE1"/>
    <w:rsid w:val="000A1DAE"/>
    <w:rsid w:val="000A6A8E"/>
    <w:rsid w:val="000B0D00"/>
    <w:rsid w:val="000B4F9A"/>
    <w:rsid w:val="000D4EB5"/>
    <w:rsid w:val="000D6AB7"/>
    <w:rsid w:val="00101681"/>
    <w:rsid w:val="001115BE"/>
    <w:rsid w:val="001164E8"/>
    <w:rsid w:val="00121038"/>
    <w:rsid w:val="0013242A"/>
    <w:rsid w:val="00140F1A"/>
    <w:rsid w:val="001431C6"/>
    <w:rsid w:val="00147FD2"/>
    <w:rsid w:val="00154A54"/>
    <w:rsid w:val="001604A2"/>
    <w:rsid w:val="00162445"/>
    <w:rsid w:val="00174761"/>
    <w:rsid w:val="001A3BB7"/>
    <w:rsid w:val="001A3C52"/>
    <w:rsid w:val="001B45D7"/>
    <w:rsid w:val="001C20B6"/>
    <w:rsid w:val="001D23C5"/>
    <w:rsid w:val="001D2FCE"/>
    <w:rsid w:val="001D4C59"/>
    <w:rsid w:val="001E3A72"/>
    <w:rsid w:val="001E5FD0"/>
    <w:rsid w:val="001F0B30"/>
    <w:rsid w:val="001F7416"/>
    <w:rsid w:val="002173DE"/>
    <w:rsid w:val="00223883"/>
    <w:rsid w:val="00234405"/>
    <w:rsid w:val="00240103"/>
    <w:rsid w:val="00240B32"/>
    <w:rsid w:val="002628DD"/>
    <w:rsid w:val="0027030E"/>
    <w:rsid w:val="0027678B"/>
    <w:rsid w:val="0027700F"/>
    <w:rsid w:val="002809A2"/>
    <w:rsid w:val="00295C84"/>
    <w:rsid w:val="00297F8D"/>
    <w:rsid w:val="002A1A09"/>
    <w:rsid w:val="002A4A94"/>
    <w:rsid w:val="002A60FF"/>
    <w:rsid w:val="002B7E62"/>
    <w:rsid w:val="002C20BD"/>
    <w:rsid w:val="002D7126"/>
    <w:rsid w:val="002E0A51"/>
    <w:rsid w:val="00310780"/>
    <w:rsid w:val="00311DC8"/>
    <w:rsid w:val="003156EB"/>
    <w:rsid w:val="00316B68"/>
    <w:rsid w:val="003358E3"/>
    <w:rsid w:val="00341F09"/>
    <w:rsid w:val="00354174"/>
    <w:rsid w:val="00356BC1"/>
    <w:rsid w:val="0038223F"/>
    <w:rsid w:val="003869F0"/>
    <w:rsid w:val="003A2D67"/>
    <w:rsid w:val="003B0F36"/>
    <w:rsid w:val="003D1130"/>
    <w:rsid w:val="003D758C"/>
    <w:rsid w:val="003E6BFA"/>
    <w:rsid w:val="00416565"/>
    <w:rsid w:val="00420F7D"/>
    <w:rsid w:val="00421AAD"/>
    <w:rsid w:val="004231D8"/>
    <w:rsid w:val="004263CC"/>
    <w:rsid w:val="00440E97"/>
    <w:rsid w:val="0044129B"/>
    <w:rsid w:val="00451CC8"/>
    <w:rsid w:val="00463CAE"/>
    <w:rsid w:val="00465B35"/>
    <w:rsid w:val="00475A7F"/>
    <w:rsid w:val="004B0CC8"/>
    <w:rsid w:val="004B1ABA"/>
    <w:rsid w:val="004C2B01"/>
    <w:rsid w:val="004D192A"/>
    <w:rsid w:val="004D3C8B"/>
    <w:rsid w:val="004F108D"/>
    <w:rsid w:val="00505F81"/>
    <w:rsid w:val="0051186F"/>
    <w:rsid w:val="00520F3F"/>
    <w:rsid w:val="00521AD5"/>
    <w:rsid w:val="00525923"/>
    <w:rsid w:val="00540A1C"/>
    <w:rsid w:val="00551126"/>
    <w:rsid w:val="00560AB1"/>
    <w:rsid w:val="005803EC"/>
    <w:rsid w:val="00582E0D"/>
    <w:rsid w:val="0058340B"/>
    <w:rsid w:val="005B6FDC"/>
    <w:rsid w:val="005C2B81"/>
    <w:rsid w:val="005C3438"/>
    <w:rsid w:val="005C3619"/>
    <w:rsid w:val="005C4502"/>
    <w:rsid w:val="005E4456"/>
    <w:rsid w:val="005E5BC0"/>
    <w:rsid w:val="005F164A"/>
    <w:rsid w:val="005F1820"/>
    <w:rsid w:val="005F25C9"/>
    <w:rsid w:val="00606C96"/>
    <w:rsid w:val="00613516"/>
    <w:rsid w:val="0063474C"/>
    <w:rsid w:val="00635A77"/>
    <w:rsid w:val="0063631C"/>
    <w:rsid w:val="00637D4E"/>
    <w:rsid w:val="0064646B"/>
    <w:rsid w:val="0065126D"/>
    <w:rsid w:val="0065327B"/>
    <w:rsid w:val="0065579F"/>
    <w:rsid w:val="00664651"/>
    <w:rsid w:val="00666DBB"/>
    <w:rsid w:val="00684049"/>
    <w:rsid w:val="00692442"/>
    <w:rsid w:val="006931D3"/>
    <w:rsid w:val="00693231"/>
    <w:rsid w:val="0069517F"/>
    <w:rsid w:val="006A1DE3"/>
    <w:rsid w:val="006A24C2"/>
    <w:rsid w:val="006A3397"/>
    <w:rsid w:val="006A4626"/>
    <w:rsid w:val="006B64C9"/>
    <w:rsid w:val="006E0C8C"/>
    <w:rsid w:val="006E1F16"/>
    <w:rsid w:val="006F666B"/>
    <w:rsid w:val="0070682D"/>
    <w:rsid w:val="0071408C"/>
    <w:rsid w:val="007154AD"/>
    <w:rsid w:val="0075158E"/>
    <w:rsid w:val="00752FEE"/>
    <w:rsid w:val="007745E9"/>
    <w:rsid w:val="00783334"/>
    <w:rsid w:val="00786CE4"/>
    <w:rsid w:val="007914E9"/>
    <w:rsid w:val="0079684D"/>
    <w:rsid w:val="007A0FB1"/>
    <w:rsid w:val="007A54E4"/>
    <w:rsid w:val="007B113F"/>
    <w:rsid w:val="007B3258"/>
    <w:rsid w:val="007B5E1B"/>
    <w:rsid w:val="007C17F4"/>
    <w:rsid w:val="007C517C"/>
    <w:rsid w:val="007D0849"/>
    <w:rsid w:val="007E25B9"/>
    <w:rsid w:val="007E6471"/>
    <w:rsid w:val="007F14FB"/>
    <w:rsid w:val="00801384"/>
    <w:rsid w:val="00802F39"/>
    <w:rsid w:val="00832AE4"/>
    <w:rsid w:val="00851514"/>
    <w:rsid w:val="008674E3"/>
    <w:rsid w:val="00867E84"/>
    <w:rsid w:val="00880ACE"/>
    <w:rsid w:val="00885120"/>
    <w:rsid w:val="00895E9B"/>
    <w:rsid w:val="008A46FF"/>
    <w:rsid w:val="008B65F8"/>
    <w:rsid w:val="008D1E6F"/>
    <w:rsid w:val="008E513D"/>
    <w:rsid w:val="008F63CA"/>
    <w:rsid w:val="00902BB5"/>
    <w:rsid w:val="00920A9B"/>
    <w:rsid w:val="00920C6E"/>
    <w:rsid w:val="0092561C"/>
    <w:rsid w:val="00925730"/>
    <w:rsid w:val="00932490"/>
    <w:rsid w:val="009464A7"/>
    <w:rsid w:val="00946888"/>
    <w:rsid w:val="00960F98"/>
    <w:rsid w:val="00961295"/>
    <w:rsid w:val="00964A37"/>
    <w:rsid w:val="00965DB6"/>
    <w:rsid w:val="009667C7"/>
    <w:rsid w:val="00971484"/>
    <w:rsid w:val="009715B4"/>
    <w:rsid w:val="0098731E"/>
    <w:rsid w:val="009B666C"/>
    <w:rsid w:val="009B75BF"/>
    <w:rsid w:val="009C00DA"/>
    <w:rsid w:val="009C3361"/>
    <w:rsid w:val="009C5018"/>
    <w:rsid w:val="009E1D79"/>
    <w:rsid w:val="009E65DC"/>
    <w:rsid w:val="00A01D37"/>
    <w:rsid w:val="00A07A6F"/>
    <w:rsid w:val="00A1091B"/>
    <w:rsid w:val="00A109C6"/>
    <w:rsid w:val="00A10A11"/>
    <w:rsid w:val="00A15C1C"/>
    <w:rsid w:val="00A17286"/>
    <w:rsid w:val="00A21CE5"/>
    <w:rsid w:val="00A327F6"/>
    <w:rsid w:val="00A73016"/>
    <w:rsid w:val="00A76A82"/>
    <w:rsid w:val="00A76C5C"/>
    <w:rsid w:val="00A81FFC"/>
    <w:rsid w:val="00A82E3B"/>
    <w:rsid w:val="00A84FDB"/>
    <w:rsid w:val="00A86B2F"/>
    <w:rsid w:val="00A90F25"/>
    <w:rsid w:val="00A97842"/>
    <w:rsid w:val="00AA00C0"/>
    <w:rsid w:val="00AC193D"/>
    <w:rsid w:val="00AD19E0"/>
    <w:rsid w:val="00AD4158"/>
    <w:rsid w:val="00AD4464"/>
    <w:rsid w:val="00AE43D6"/>
    <w:rsid w:val="00AE6358"/>
    <w:rsid w:val="00AF079D"/>
    <w:rsid w:val="00AF41E1"/>
    <w:rsid w:val="00AF5CA9"/>
    <w:rsid w:val="00B01459"/>
    <w:rsid w:val="00B11339"/>
    <w:rsid w:val="00B15AD0"/>
    <w:rsid w:val="00B26B79"/>
    <w:rsid w:val="00B30B9D"/>
    <w:rsid w:val="00B35B11"/>
    <w:rsid w:val="00B36E19"/>
    <w:rsid w:val="00B47D6E"/>
    <w:rsid w:val="00B62174"/>
    <w:rsid w:val="00B83A19"/>
    <w:rsid w:val="00B87B12"/>
    <w:rsid w:val="00B92548"/>
    <w:rsid w:val="00B92F1F"/>
    <w:rsid w:val="00B96D42"/>
    <w:rsid w:val="00B975F2"/>
    <w:rsid w:val="00BB60D6"/>
    <w:rsid w:val="00BC1801"/>
    <w:rsid w:val="00BC23E3"/>
    <w:rsid w:val="00BC3E67"/>
    <w:rsid w:val="00BD35D8"/>
    <w:rsid w:val="00BE1CB2"/>
    <w:rsid w:val="00BE77F7"/>
    <w:rsid w:val="00BE7A99"/>
    <w:rsid w:val="00BF7D04"/>
    <w:rsid w:val="00C11874"/>
    <w:rsid w:val="00C31189"/>
    <w:rsid w:val="00C404EB"/>
    <w:rsid w:val="00C53FB9"/>
    <w:rsid w:val="00C55C23"/>
    <w:rsid w:val="00C55F21"/>
    <w:rsid w:val="00C81C6B"/>
    <w:rsid w:val="00C92E87"/>
    <w:rsid w:val="00CA24B4"/>
    <w:rsid w:val="00CA27DC"/>
    <w:rsid w:val="00CA41F7"/>
    <w:rsid w:val="00CA5D25"/>
    <w:rsid w:val="00CA6F54"/>
    <w:rsid w:val="00CA7E3B"/>
    <w:rsid w:val="00CD50B1"/>
    <w:rsid w:val="00CE63DB"/>
    <w:rsid w:val="00CE7C6D"/>
    <w:rsid w:val="00CF55C8"/>
    <w:rsid w:val="00D01AB6"/>
    <w:rsid w:val="00D0211A"/>
    <w:rsid w:val="00D13683"/>
    <w:rsid w:val="00D146BD"/>
    <w:rsid w:val="00D166F9"/>
    <w:rsid w:val="00D167BF"/>
    <w:rsid w:val="00D22AC7"/>
    <w:rsid w:val="00D31F45"/>
    <w:rsid w:val="00D373E2"/>
    <w:rsid w:val="00D4240B"/>
    <w:rsid w:val="00D44E5A"/>
    <w:rsid w:val="00D57F00"/>
    <w:rsid w:val="00D623D8"/>
    <w:rsid w:val="00D63892"/>
    <w:rsid w:val="00D73535"/>
    <w:rsid w:val="00D75992"/>
    <w:rsid w:val="00D84097"/>
    <w:rsid w:val="00D85EFE"/>
    <w:rsid w:val="00D85FDA"/>
    <w:rsid w:val="00D87DAF"/>
    <w:rsid w:val="00D91A06"/>
    <w:rsid w:val="00D94656"/>
    <w:rsid w:val="00DA5F58"/>
    <w:rsid w:val="00DB1C32"/>
    <w:rsid w:val="00DC0085"/>
    <w:rsid w:val="00DC17C3"/>
    <w:rsid w:val="00DC49FD"/>
    <w:rsid w:val="00DD25AE"/>
    <w:rsid w:val="00DD4193"/>
    <w:rsid w:val="00E03BC8"/>
    <w:rsid w:val="00E10CC7"/>
    <w:rsid w:val="00E154BB"/>
    <w:rsid w:val="00E16C47"/>
    <w:rsid w:val="00E209D4"/>
    <w:rsid w:val="00E25D63"/>
    <w:rsid w:val="00E36342"/>
    <w:rsid w:val="00E405B6"/>
    <w:rsid w:val="00E4119F"/>
    <w:rsid w:val="00E41630"/>
    <w:rsid w:val="00E53BFA"/>
    <w:rsid w:val="00E5446C"/>
    <w:rsid w:val="00E611F8"/>
    <w:rsid w:val="00E621E1"/>
    <w:rsid w:val="00E62628"/>
    <w:rsid w:val="00E80E0C"/>
    <w:rsid w:val="00E821F9"/>
    <w:rsid w:val="00E97E60"/>
    <w:rsid w:val="00EB139C"/>
    <w:rsid w:val="00EC15F6"/>
    <w:rsid w:val="00EC5820"/>
    <w:rsid w:val="00ED029D"/>
    <w:rsid w:val="00ED11CD"/>
    <w:rsid w:val="00ED7CE4"/>
    <w:rsid w:val="00EE5673"/>
    <w:rsid w:val="00EE56AE"/>
    <w:rsid w:val="00EE67EA"/>
    <w:rsid w:val="00F11002"/>
    <w:rsid w:val="00F17013"/>
    <w:rsid w:val="00F37CBA"/>
    <w:rsid w:val="00F47016"/>
    <w:rsid w:val="00F857F3"/>
    <w:rsid w:val="00F95D83"/>
    <w:rsid w:val="00FA4B9B"/>
    <w:rsid w:val="00FB52CB"/>
    <w:rsid w:val="00FC17DC"/>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A3A07"/>
  <w15:docId w15:val="{094619E2-B628-4F33-AE8A-E5983C31E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27AEB-0820-4DC7-92CF-0785626D9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2201</Words>
  <Characters>11886</Characters>
  <Application>Microsoft Office Word</Application>
  <DocSecurity>0</DocSecurity>
  <Lines>99</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3</cp:revision>
  <dcterms:created xsi:type="dcterms:W3CDTF">2025-01-14T18:25:00Z</dcterms:created>
  <dcterms:modified xsi:type="dcterms:W3CDTF">2025-01-14T18:51:00Z</dcterms:modified>
</cp:coreProperties>
</file>