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492DEF" w14:textId="5C624C4B" w:rsidR="002B77B1" w:rsidRDefault="00F049DE" w:rsidP="001F0B30">
      <w:pPr>
        <w:spacing w:before="120" w:after="120" w:line="360" w:lineRule="auto"/>
        <w:jc w:val="center"/>
        <w:rPr>
          <w:rFonts w:ascii="Times New Roman" w:hAnsi="Times New Roman" w:cs="Times New Roman"/>
          <w:b/>
          <w:bCs/>
          <w:sz w:val="24"/>
          <w:szCs w:val="24"/>
        </w:rPr>
      </w:pPr>
      <w:r>
        <w:rPr>
          <w:rFonts w:ascii="Times New Roman" w:hAnsi="Times New Roman" w:cs="Times New Roman"/>
          <w:b/>
          <w:bCs/>
          <w:sz w:val="24"/>
          <w:szCs w:val="24"/>
        </w:rPr>
        <w:t>DOS VÍCIOS REDIBITÓRIOS AOS VÍCIOS OCULTOS: A</w:t>
      </w:r>
      <w:r w:rsidR="00BF45D8">
        <w:rPr>
          <w:rFonts w:ascii="Times New Roman" w:hAnsi="Times New Roman" w:cs="Times New Roman"/>
          <w:b/>
          <w:bCs/>
          <w:sz w:val="24"/>
          <w:szCs w:val="24"/>
        </w:rPr>
        <w:t>LGUMAS DAS</w:t>
      </w:r>
      <w:r>
        <w:rPr>
          <w:rFonts w:ascii="Times New Roman" w:hAnsi="Times New Roman" w:cs="Times New Roman"/>
          <w:b/>
          <w:bCs/>
          <w:sz w:val="24"/>
          <w:szCs w:val="24"/>
        </w:rPr>
        <w:t xml:space="preserve"> PROPOSTAS DO PROJETO DE REFORMA DO CÓDIGO CIVIL </w:t>
      </w:r>
    </w:p>
    <w:p w14:paraId="2C741E7D" w14:textId="77777777" w:rsidR="00CC320E" w:rsidRDefault="00CC320E" w:rsidP="009661A3">
      <w:pPr>
        <w:spacing w:before="120" w:after="120" w:line="360" w:lineRule="auto"/>
        <w:jc w:val="right"/>
        <w:rPr>
          <w:rFonts w:ascii="Times New Roman" w:hAnsi="Times New Roman" w:cs="Times New Roman"/>
          <w:bCs/>
          <w:sz w:val="24"/>
          <w:szCs w:val="24"/>
        </w:rPr>
      </w:pPr>
    </w:p>
    <w:p w14:paraId="7DC27421" w14:textId="77777777" w:rsidR="00805969" w:rsidRPr="009661A3" w:rsidRDefault="00B15AD0" w:rsidP="009661A3">
      <w:pPr>
        <w:spacing w:before="120" w:after="120" w:line="360" w:lineRule="auto"/>
        <w:jc w:val="right"/>
        <w:rPr>
          <w:rFonts w:ascii="Times New Roman" w:hAnsi="Times New Roman" w:cs="Times New Roman"/>
          <w:bCs/>
          <w:sz w:val="24"/>
          <w:szCs w:val="24"/>
        </w:rPr>
      </w:pPr>
      <w:r w:rsidRPr="0027030E">
        <w:rPr>
          <w:rFonts w:ascii="Times New Roman" w:hAnsi="Times New Roman" w:cs="Times New Roman"/>
          <w:bCs/>
          <w:sz w:val="24"/>
          <w:szCs w:val="24"/>
        </w:rPr>
        <w:t>Flávio Tartuce</w:t>
      </w:r>
      <w:r w:rsidRPr="0027030E">
        <w:rPr>
          <w:rFonts w:ascii="Times New Roman" w:hAnsi="Times New Roman" w:cs="Times New Roman"/>
          <w:bCs/>
          <w:sz w:val="24"/>
          <w:szCs w:val="24"/>
          <w:vertAlign w:val="superscript"/>
        </w:rPr>
        <w:footnoteReference w:id="1"/>
      </w:r>
    </w:p>
    <w:p w14:paraId="597D0BE8" w14:textId="77777777" w:rsidR="008D391A" w:rsidRDefault="008D391A" w:rsidP="00F049DE">
      <w:pPr>
        <w:pStyle w:val="t"/>
        <w:spacing w:before="120" w:after="120" w:line="360" w:lineRule="auto"/>
        <w:ind w:firstLine="1701"/>
        <w:rPr>
          <w:rFonts w:ascii="Times New Roman" w:hAnsi="Times New Roman" w:cs="Times New Roman"/>
          <w:sz w:val="24"/>
          <w:szCs w:val="24"/>
        </w:rPr>
      </w:pPr>
    </w:p>
    <w:p w14:paraId="0E4983D3" w14:textId="570AEEEE" w:rsidR="00F049DE" w:rsidRPr="00F049DE" w:rsidRDefault="00F049DE" w:rsidP="00F049DE">
      <w:pPr>
        <w:pStyle w:val="t"/>
        <w:spacing w:before="120" w:after="120" w:line="360" w:lineRule="auto"/>
        <w:ind w:firstLine="1701"/>
        <w:rPr>
          <w:rStyle w:val="elevado"/>
          <w:rFonts w:ascii="Times New Roman" w:hAnsi="Times New Roman" w:cs="Times New Roman"/>
          <w:sz w:val="24"/>
          <w:szCs w:val="24"/>
        </w:rPr>
      </w:pPr>
      <w:r w:rsidRPr="00F049DE">
        <w:rPr>
          <w:rFonts w:ascii="Times New Roman" w:hAnsi="Times New Roman" w:cs="Times New Roman"/>
          <w:sz w:val="24"/>
          <w:szCs w:val="24"/>
        </w:rPr>
        <w:t xml:space="preserve">Os vícios redibitórios, </w:t>
      </w:r>
      <w:r>
        <w:rPr>
          <w:rFonts w:ascii="Times New Roman" w:hAnsi="Times New Roman" w:cs="Times New Roman"/>
          <w:sz w:val="24"/>
          <w:szCs w:val="24"/>
        </w:rPr>
        <w:t>em sua</w:t>
      </w:r>
      <w:r w:rsidRPr="00F049DE">
        <w:rPr>
          <w:rFonts w:ascii="Times New Roman" w:hAnsi="Times New Roman" w:cs="Times New Roman"/>
          <w:sz w:val="24"/>
          <w:szCs w:val="24"/>
        </w:rPr>
        <w:t xml:space="preserve"> versão atual</w:t>
      </w:r>
      <w:r>
        <w:rPr>
          <w:rFonts w:ascii="Times New Roman" w:hAnsi="Times New Roman" w:cs="Times New Roman"/>
          <w:sz w:val="24"/>
          <w:szCs w:val="24"/>
        </w:rPr>
        <w:t xml:space="preserve"> na norma codificada</w:t>
      </w:r>
      <w:r w:rsidRPr="00F049DE">
        <w:rPr>
          <w:rFonts w:ascii="Times New Roman" w:hAnsi="Times New Roman" w:cs="Times New Roman"/>
          <w:sz w:val="24"/>
          <w:szCs w:val="24"/>
        </w:rPr>
        <w:t xml:space="preserve">, podem ser conceituados como os defeitos que desvalorizam a coisa ou a tornam imprópria para uso. A matéria está tratada no Código Civil, entre os arts. 441 </w:t>
      </w:r>
      <w:r w:rsidR="00B02847">
        <w:rPr>
          <w:rFonts w:ascii="Times New Roman" w:hAnsi="Times New Roman" w:cs="Times New Roman"/>
          <w:sz w:val="24"/>
          <w:szCs w:val="24"/>
        </w:rPr>
        <w:t>e</w:t>
      </w:r>
      <w:r w:rsidR="00B02847" w:rsidRPr="00F049DE">
        <w:rPr>
          <w:rFonts w:ascii="Times New Roman" w:hAnsi="Times New Roman" w:cs="Times New Roman"/>
          <w:sz w:val="24"/>
          <w:szCs w:val="24"/>
        </w:rPr>
        <w:t xml:space="preserve"> </w:t>
      </w:r>
      <w:r w:rsidRPr="00F049DE">
        <w:rPr>
          <w:rFonts w:ascii="Times New Roman" w:hAnsi="Times New Roman" w:cs="Times New Roman"/>
          <w:sz w:val="24"/>
          <w:szCs w:val="24"/>
        </w:rPr>
        <w:t>446, sendo aplicável aos contratos civis. O conceito ainda adotado pela doutrina majoritária indica que tais vícios são sempre os ocultos</w:t>
      </w:r>
      <w:r>
        <w:rPr>
          <w:rFonts w:ascii="Times New Roman" w:hAnsi="Times New Roman" w:cs="Times New Roman"/>
          <w:sz w:val="24"/>
          <w:szCs w:val="24"/>
        </w:rPr>
        <w:t xml:space="preserve">, sendo </w:t>
      </w:r>
      <w:r w:rsidRPr="00BF45D8">
        <w:rPr>
          <w:rFonts w:ascii="Times New Roman" w:hAnsi="Times New Roman" w:cs="Times New Roman"/>
          <w:i/>
          <w:iCs/>
          <w:sz w:val="24"/>
          <w:szCs w:val="24"/>
        </w:rPr>
        <w:t>vícios objetivos</w:t>
      </w:r>
      <w:r>
        <w:rPr>
          <w:rFonts w:ascii="Times New Roman" w:hAnsi="Times New Roman" w:cs="Times New Roman"/>
          <w:sz w:val="24"/>
          <w:szCs w:val="24"/>
        </w:rPr>
        <w:t xml:space="preserve">, que atingem a coisa, objeto do contrato civil. </w:t>
      </w:r>
    </w:p>
    <w:p w14:paraId="3C6283C1" w14:textId="304B8251" w:rsidR="00F049DE" w:rsidRPr="00F049DE" w:rsidRDefault="00F049DE" w:rsidP="00F049DE">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Nesse contexto, </w:t>
      </w:r>
      <w:r w:rsidRPr="00F049DE">
        <w:rPr>
          <w:rFonts w:ascii="Times New Roman" w:hAnsi="Times New Roman" w:cs="Times New Roman"/>
          <w:sz w:val="24"/>
          <w:szCs w:val="24"/>
        </w:rPr>
        <w:t xml:space="preserve">não </w:t>
      </w:r>
      <w:r w:rsidR="00B20870">
        <w:rPr>
          <w:rFonts w:ascii="Times New Roman" w:hAnsi="Times New Roman" w:cs="Times New Roman"/>
          <w:sz w:val="24"/>
          <w:szCs w:val="24"/>
        </w:rPr>
        <w:t>se deve</w:t>
      </w:r>
      <w:r w:rsidRPr="00F049DE">
        <w:rPr>
          <w:rFonts w:ascii="Times New Roman" w:hAnsi="Times New Roman" w:cs="Times New Roman"/>
          <w:sz w:val="24"/>
          <w:szCs w:val="24"/>
        </w:rPr>
        <w:t xml:space="preserve"> confundir o vício redibitório com o erro</w:t>
      </w:r>
      <w:r>
        <w:rPr>
          <w:rFonts w:ascii="Times New Roman" w:hAnsi="Times New Roman" w:cs="Times New Roman"/>
          <w:sz w:val="24"/>
          <w:szCs w:val="24"/>
        </w:rPr>
        <w:t xml:space="preserve"> e com outros vícios da vontade</w:t>
      </w:r>
      <w:r w:rsidRPr="00F049DE">
        <w:rPr>
          <w:rFonts w:ascii="Times New Roman" w:hAnsi="Times New Roman" w:cs="Times New Roman"/>
          <w:sz w:val="24"/>
          <w:szCs w:val="24"/>
        </w:rPr>
        <w:t>. No caso de vício redibitório o problema atinge o objeto do contrato, ou seja, a coisa</w:t>
      </w:r>
      <w:r w:rsidR="00BF45D8">
        <w:rPr>
          <w:rFonts w:ascii="Times New Roman" w:hAnsi="Times New Roman" w:cs="Times New Roman"/>
          <w:sz w:val="24"/>
          <w:szCs w:val="24"/>
        </w:rPr>
        <w:t>, como acabo de afirmar</w:t>
      </w:r>
      <w:r w:rsidRPr="00F049DE">
        <w:rPr>
          <w:rFonts w:ascii="Times New Roman" w:hAnsi="Times New Roman" w:cs="Times New Roman"/>
          <w:sz w:val="24"/>
          <w:szCs w:val="24"/>
        </w:rPr>
        <w:t>. No erro o vício é do consentimento, atingindo a vontade, pois a pessoa se engana sozinha em relação a um elemento do negócio celebrado (arts. 138 a 144 do CC</w:t>
      </w:r>
      <w:r>
        <w:rPr>
          <w:rFonts w:ascii="Times New Roman" w:hAnsi="Times New Roman" w:cs="Times New Roman"/>
          <w:sz w:val="24"/>
          <w:szCs w:val="24"/>
        </w:rPr>
        <w:t>/2002</w:t>
      </w:r>
      <w:r w:rsidRPr="00F049DE">
        <w:rPr>
          <w:rFonts w:ascii="Times New Roman" w:hAnsi="Times New Roman" w:cs="Times New Roman"/>
          <w:sz w:val="24"/>
          <w:szCs w:val="24"/>
        </w:rPr>
        <w:t xml:space="preserve">). </w:t>
      </w:r>
      <w:r>
        <w:rPr>
          <w:rFonts w:ascii="Times New Roman" w:hAnsi="Times New Roman" w:cs="Times New Roman"/>
          <w:sz w:val="24"/>
          <w:szCs w:val="24"/>
        </w:rPr>
        <w:t>Ademais, com</w:t>
      </w:r>
      <w:r w:rsidR="00A442CF">
        <w:rPr>
          <w:rFonts w:ascii="Times New Roman" w:hAnsi="Times New Roman" w:cs="Times New Roman"/>
          <w:sz w:val="24"/>
          <w:szCs w:val="24"/>
        </w:rPr>
        <w:t>o</w:t>
      </w:r>
      <w:r>
        <w:rPr>
          <w:rFonts w:ascii="Times New Roman" w:hAnsi="Times New Roman" w:cs="Times New Roman"/>
          <w:sz w:val="24"/>
          <w:szCs w:val="24"/>
        </w:rPr>
        <w:t xml:space="preserve"> outra diferença fundamental, o vício redibitório está no plano da eficácia do negócio jurídico</w:t>
      </w:r>
      <w:r w:rsidR="00BF45D8">
        <w:rPr>
          <w:rFonts w:ascii="Times New Roman" w:hAnsi="Times New Roman" w:cs="Times New Roman"/>
          <w:sz w:val="24"/>
          <w:szCs w:val="24"/>
        </w:rPr>
        <w:t>, com a possibilidade até de extinção do contrato pela resolução</w:t>
      </w:r>
      <w:r w:rsidR="00B02847">
        <w:rPr>
          <w:rFonts w:ascii="Times New Roman" w:hAnsi="Times New Roman" w:cs="Times New Roman"/>
          <w:sz w:val="24"/>
          <w:szCs w:val="24"/>
        </w:rPr>
        <w:t xml:space="preserve">, </w:t>
      </w:r>
      <w:r>
        <w:rPr>
          <w:rFonts w:ascii="Times New Roman" w:hAnsi="Times New Roman" w:cs="Times New Roman"/>
          <w:sz w:val="24"/>
          <w:szCs w:val="24"/>
        </w:rPr>
        <w:t xml:space="preserve">enquanto o erro e os demais vícios do consentimento </w:t>
      </w:r>
      <w:r w:rsidR="00BF45D8">
        <w:rPr>
          <w:rFonts w:ascii="Times New Roman" w:hAnsi="Times New Roman" w:cs="Times New Roman"/>
          <w:sz w:val="24"/>
          <w:szCs w:val="24"/>
        </w:rPr>
        <w:t>estão</w:t>
      </w:r>
      <w:r>
        <w:rPr>
          <w:rFonts w:ascii="Times New Roman" w:hAnsi="Times New Roman" w:cs="Times New Roman"/>
          <w:sz w:val="24"/>
          <w:szCs w:val="24"/>
        </w:rPr>
        <w:t xml:space="preserve"> no plano da sua validade, gerando a correspondente nulidade relativa ou anulabilidade. </w:t>
      </w:r>
    </w:p>
    <w:p w14:paraId="2A655250" w14:textId="2A287D64" w:rsidR="00F049DE" w:rsidRPr="00F049DE" w:rsidRDefault="00F049DE" w:rsidP="00F049DE">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Nesse contexto, quanto ao plano </w:t>
      </w:r>
      <w:proofErr w:type="spellStart"/>
      <w:r>
        <w:rPr>
          <w:rFonts w:ascii="Times New Roman" w:hAnsi="Times New Roman" w:cs="Times New Roman"/>
          <w:sz w:val="24"/>
          <w:szCs w:val="24"/>
        </w:rPr>
        <w:t>eficacial</w:t>
      </w:r>
      <w:proofErr w:type="spellEnd"/>
      <w:r>
        <w:rPr>
          <w:rFonts w:ascii="Times New Roman" w:hAnsi="Times New Roman" w:cs="Times New Roman"/>
          <w:sz w:val="24"/>
          <w:szCs w:val="24"/>
        </w:rPr>
        <w:t xml:space="preserve">, </w:t>
      </w:r>
      <w:r w:rsidRPr="00F049DE">
        <w:rPr>
          <w:rFonts w:ascii="Times New Roman" w:hAnsi="Times New Roman" w:cs="Times New Roman"/>
          <w:sz w:val="24"/>
          <w:szCs w:val="24"/>
        </w:rPr>
        <w:t>há uma</w:t>
      </w:r>
      <w:r w:rsidRPr="00F049DE">
        <w:rPr>
          <w:rStyle w:val="italico"/>
          <w:rFonts w:ascii="Times New Roman" w:hAnsi="Times New Roman" w:cs="Times New Roman"/>
          <w:iCs/>
          <w:sz w:val="24"/>
          <w:szCs w:val="24"/>
        </w:rPr>
        <w:t xml:space="preserve"> </w:t>
      </w:r>
      <w:r w:rsidRPr="00F049DE">
        <w:rPr>
          <w:rFonts w:ascii="Times New Roman" w:hAnsi="Times New Roman" w:cs="Times New Roman"/>
          <w:sz w:val="24"/>
          <w:szCs w:val="24"/>
        </w:rPr>
        <w:t xml:space="preserve">garantia legal contra os vícios redibitórios nos contratos bilaterais </w:t>
      </w:r>
      <w:r>
        <w:rPr>
          <w:rFonts w:ascii="Times New Roman" w:hAnsi="Times New Roman" w:cs="Times New Roman"/>
          <w:sz w:val="24"/>
          <w:szCs w:val="24"/>
        </w:rPr>
        <w:t xml:space="preserve">ou </w:t>
      </w:r>
      <w:r w:rsidRPr="00F049DE">
        <w:rPr>
          <w:rStyle w:val="italico"/>
          <w:rFonts w:ascii="Times New Roman" w:hAnsi="Times New Roman" w:cs="Times New Roman"/>
          <w:iCs/>
          <w:sz w:val="24"/>
          <w:szCs w:val="24"/>
        </w:rPr>
        <w:t>sinalagmáticos</w:t>
      </w:r>
      <w:r w:rsidR="00BF45D8">
        <w:rPr>
          <w:rFonts w:ascii="Times New Roman" w:hAnsi="Times New Roman" w:cs="Times New Roman"/>
          <w:sz w:val="24"/>
          <w:szCs w:val="24"/>
        </w:rPr>
        <w:t xml:space="preserve"> – com direitos e deveres para ambas as partes </w:t>
      </w:r>
      <w:r w:rsidR="00B02847">
        <w:rPr>
          <w:rFonts w:ascii="Times New Roman" w:hAnsi="Times New Roman" w:cs="Times New Roman"/>
          <w:sz w:val="24"/>
          <w:szCs w:val="24"/>
        </w:rPr>
        <w:t xml:space="preserve">–, </w:t>
      </w:r>
      <w:r w:rsidRPr="00F049DE">
        <w:rPr>
          <w:rFonts w:ascii="Times New Roman" w:hAnsi="Times New Roman" w:cs="Times New Roman"/>
          <w:sz w:val="24"/>
          <w:szCs w:val="24"/>
        </w:rPr>
        <w:t xml:space="preserve">onerosos </w:t>
      </w:r>
      <w:r w:rsidR="00BF45D8">
        <w:rPr>
          <w:rFonts w:ascii="Times New Roman" w:hAnsi="Times New Roman" w:cs="Times New Roman"/>
          <w:sz w:val="24"/>
          <w:szCs w:val="24"/>
        </w:rPr>
        <w:t xml:space="preserve">– com prestação e contraprestação </w:t>
      </w:r>
      <w:r w:rsidR="00B02847">
        <w:rPr>
          <w:rFonts w:ascii="Times New Roman" w:hAnsi="Times New Roman" w:cs="Times New Roman"/>
          <w:sz w:val="24"/>
          <w:szCs w:val="24"/>
        </w:rPr>
        <w:t>–</w:t>
      </w:r>
      <w:r w:rsidR="00BF45D8">
        <w:rPr>
          <w:rFonts w:ascii="Times New Roman" w:hAnsi="Times New Roman" w:cs="Times New Roman"/>
          <w:sz w:val="24"/>
          <w:szCs w:val="24"/>
        </w:rPr>
        <w:t xml:space="preserve"> </w:t>
      </w:r>
      <w:r w:rsidRPr="00F049DE">
        <w:rPr>
          <w:rFonts w:ascii="Times New Roman" w:hAnsi="Times New Roman" w:cs="Times New Roman"/>
          <w:sz w:val="24"/>
          <w:szCs w:val="24"/>
        </w:rPr>
        <w:t>e comutativos</w:t>
      </w:r>
      <w:r w:rsidR="00BF45D8">
        <w:rPr>
          <w:rFonts w:ascii="Times New Roman" w:hAnsi="Times New Roman" w:cs="Times New Roman"/>
          <w:sz w:val="24"/>
          <w:szCs w:val="24"/>
        </w:rPr>
        <w:t xml:space="preserve"> – com prestações conhecidas pelas partes </w:t>
      </w:r>
      <w:r w:rsidR="00B02847">
        <w:rPr>
          <w:rFonts w:ascii="Times New Roman" w:hAnsi="Times New Roman" w:cs="Times New Roman"/>
          <w:sz w:val="24"/>
          <w:szCs w:val="24"/>
        </w:rPr>
        <w:t>–</w:t>
      </w:r>
      <w:r w:rsidR="00B02847" w:rsidRPr="00F049DE">
        <w:rPr>
          <w:rFonts w:ascii="Times New Roman" w:hAnsi="Times New Roman" w:cs="Times New Roman"/>
          <w:sz w:val="24"/>
          <w:szCs w:val="24"/>
        </w:rPr>
        <w:t xml:space="preserve">, </w:t>
      </w:r>
      <w:r>
        <w:rPr>
          <w:rFonts w:ascii="Times New Roman" w:hAnsi="Times New Roman" w:cs="Times New Roman"/>
          <w:sz w:val="24"/>
          <w:szCs w:val="24"/>
        </w:rPr>
        <w:t>como é o caso</w:t>
      </w:r>
      <w:r w:rsidRPr="00F049DE">
        <w:rPr>
          <w:rFonts w:ascii="Times New Roman" w:hAnsi="Times New Roman" w:cs="Times New Roman"/>
          <w:sz w:val="24"/>
          <w:szCs w:val="24"/>
        </w:rPr>
        <w:t xml:space="preserve"> da compra e venda</w:t>
      </w:r>
      <w:r w:rsidR="00BF45D8">
        <w:rPr>
          <w:rFonts w:ascii="Times New Roman" w:hAnsi="Times New Roman" w:cs="Times New Roman"/>
          <w:sz w:val="24"/>
          <w:szCs w:val="24"/>
        </w:rPr>
        <w:t>, principal situação de sua incidência</w:t>
      </w:r>
      <w:r w:rsidRPr="00F049DE">
        <w:rPr>
          <w:rFonts w:ascii="Times New Roman" w:hAnsi="Times New Roman" w:cs="Times New Roman"/>
          <w:sz w:val="24"/>
          <w:szCs w:val="24"/>
        </w:rPr>
        <w:t xml:space="preserve">. Devem ainda ser incluídas as doações onerosas, conforme preceitua o art. 441, parágrafo único, </w:t>
      </w:r>
      <w:r>
        <w:rPr>
          <w:rFonts w:ascii="Times New Roman" w:hAnsi="Times New Roman" w:cs="Times New Roman"/>
          <w:sz w:val="24"/>
          <w:szCs w:val="24"/>
        </w:rPr>
        <w:t>do Código Civil</w:t>
      </w:r>
      <w:r w:rsidRPr="00F049DE">
        <w:rPr>
          <w:rFonts w:ascii="Times New Roman" w:hAnsi="Times New Roman" w:cs="Times New Roman"/>
          <w:sz w:val="24"/>
          <w:szCs w:val="24"/>
        </w:rPr>
        <w:t>, caso da doação remuneratória e da doação modal ou com encargo.</w:t>
      </w:r>
      <w:r>
        <w:rPr>
          <w:rFonts w:ascii="Times New Roman" w:hAnsi="Times New Roman" w:cs="Times New Roman"/>
          <w:sz w:val="24"/>
          <w:szCs w:val="24"/>
        </w:rPr>
        <w:t xml:space="preserve"> </w:t>
      </w:r>
    </w:p>
    <w:p w14:paraId="138E2F93" w14:textId="47460515" w:rsidR="00F049DE" w:rsidRPr="00F049DE" w:rsidRDefault="00F049DE" w:rsidP="00F049DE">
      <w:pPr>
        <w:pStyle w:val="t"/>
        <w:spacing w:before="120" w:after="120" w:line="360" w:lineRule="auto"/>
        <w:ind w:firstLine="1701"/>
        <w:rPr>
          <w:rFonts w:ascii="Times New Roman" w:hAnsi="Times New Roman" w:cs="Times New Roman"/>
          <w:sz w:val="24"/>
          <w:szCs w:val="24"/>
        </w:rPr>
      </w:pPr>
      <w:r w:rsidRPr="00F049DE">
        <w:rPr>
          <w:rFonts w:ascii="Times New Roman" w:hAnsi="Times New Roman" w:cs="Times New Roman"/>
          <w:sz w:val="24"/>
          <w:szCs w:val="24"/>
        </w:rPr>
        <w:lastRenderedPageBreak/>
        <w:t>De t</w:t>
      </w:r>
      <w:r w:rsidRPr="00F049DE">
        <w:rPr>
          <w:rFonts w:ascii="Times New Roman" w:hAnsi="Times New Roman" w:cs="Times New Roman"/>
          <w:spacing w:val="-2"/>
          <w:sz w:val="24"/>
          <w:szCs w:val="24"/>
        </w:rPr>
        <w:t xml:space="preserve">odo modo, não se pode negar que a definição atual a respeito do que seja o vício, mais bem definido como </w:t>
      </w:r>
      <w:r w:rsidRPr="00F049DE">
        <w:rPr>
          <w:rStyle w:val="italico"/>
          <w:rFonts w:ascii="Times New Roman" w:hAnsi="Times New Roman" w:cs="Times New Roman"/>
          <w:iCs/>
          <w:spacing w:val="-2"/>
          <w:sz w:val="24"/>
          <w:szCs w:val="24"/>
        </w:rPr>
        <w:t xml:space="preserve">oculto </w:t>
      </w:r>
      <w:r w:rsidRPr="00F049DE">
        <w:rPr>
          <w:rFonts w:ascii="Times New Roman" w:hAnsi="Times New Roman" w:cs="Times New Roman"/>
          <w:spacing w:val="-2"/>
          <w:sz w:val="24"/>
          <w:szCs w:val="24"/>
        </w:rPr>
        <w:t>–</w:t>
      </w:r>
      <w:r w:rsidRPr="00F049DE">
        <w:rPr>
          <w:rStyle w:val="italico"/>
          <w:rFonts w:ascii="Times New Roman" w:hAnsi="Times New Roman" w:cs="Times New Roman"/>
          <w:iCs/>
          <w:spacing w:val="-2"/>
          <w:sz w:val="24"/>
          <w:szCs w:val="24"/>
        </w:rPr>
        <w:t xml:space="preserve"> </w:t>
      </w:r>
      <w:r w:rsidRPr="00F049DE">
        <w:rPr>
          <w:rFonts w:ascii="Times New Roman" w:hAnsi="Times New Roman" w:cs="Times New Roman"/>
          <w:spacing w:val="-2"/>
          <w:sz w:val="24"/>
          <w:szCs w:val="24"/>
        </w:rPr>
        <w:t>expressão mais conhecida e difundida na prática –, precisa s</w:t>
      </w:r>
      <w:r w:rsidRPr="00F049DE">
        <w:rPr>
          <w:rFonts w:ascii="Times New Roman" w:hAnsi="Times New Roman" w:cs="Times New Roman"/>
          <w:sz w:val="24"/>
          <w:szCs w:val="24"/>
        </w:rPr>
        <w:t>er aperfeiçoada na lei, o que foi objeto de discussão na Comissão de Juristas nomeada no Congresso Nacional e encarregada da Reforma do Código Civil</w:t>
      </w:r>
      <w:r>
        <w:rPr>
          <w:rFonts w:ascii="Times New Roman" w:hAnsi="Times New Roman" w:cs="Times New Roman"/>
          <w:sz w:val="24"/>
          <w:szCs w:val="24"/>
        </w:rPr>
        <w:t>, gerando o atual Projeto de Lei n. 4/2025, em discussão no âmbito do Senado Federal</w:t>
      </w:r>
      <w:r w:rsidRPr="00F049DE">
        <w:rPr>
          <w:rFonts w:ascii="Times New Roman" w:hAnsi="Times New Roman" w:cs="Times New Roman"/>
          <w:sz w:val="24"/>
          <w:szCs w:val="24"/>
        </w:rPr>
        <w:t>.</w:t>
      </w:r>
    </w:p>
    <w:p w14:paraId="30514D4F" w14:textId="6E5F2CE2" w:rsidR="00BF45D8" w:rsidRDefault="00F049DE" w:rsidP="00F049DE">
      <w:pPr>
        <w:pStyle w:val="t"/>
        <w:spacing w:before="120" w:after="120" w:line="360" w:lineRule="auto"/>
        <w:ind w:firstLine="1701"/>
        <w:rPr>
          <w:rFonts w:ascii="Times New Roman" w:hAnsi="Times New Roman" w:cs="Times New Roman"/>
          <w:sz w:val="24"/>
          <w:szCs w:val="24"/>
        </w:rPr>
      </w:pPr>
      <w:r w:rsidRPr="00F049DE">
        <w:rPr>
          <w:rFonts w:ascii="Times New Roman" w:hAnsi="Times New Roman" w:cs="Times New Roman"/>
          <w:sz w:val="24"/>
          <w:szCs w:val="24"/>
        </w:rPr>
        <w:t xml:space="preserve">Nesse contexto de melhor técnica, propõe-se uma maior objetividade na sua definição, passando o art. 441 a prever que “a coisa recebida em virtude de contrato comutativo pode ser rejeitada por vícios ocultos, que a tornem imprópria ao uso a que é destinada ou lhe diminuam o valor”. </w:t>
      </w:r>
      <w:r w:rsidR="007B2E42">
        <w:rPr>
          <w:rFonts w:ascii="Times New Roman" w:hAnsi="Times New Roman" w:cs="Times New Roman"/>
          <w:sz w:val="24"/>
          <w:szCs w:val="24"/>
        </w:rPr>
        <w:t>Ademais, em boa hora, para os fins de uma melhor compreensão do Direito Civil, atendendo-se à sua operabilidade, a Seção V do Livro V do Código Civil (“Dos Contratos em Geral”) deixará de ser denominada como “</w:t>
      </w:r>
      <w:r w:rsidR="007B2E42" w:rsidRPr="007B2E42">
        <w:rPr>
          <w:rFonts w:ascii="Times New Roman" w:hAnsi="Times New Roman" w:cs="Times New Roman"/>
          <w:sz w:val="24"/>
          <w:szCs w:val="24"/>
        </w:rPr>
        <w:t>Dos Vícios Redibitórios</w:t>
      </w:r>
      <w:r w:rsidR="007B2E42">
        <w:rPr>
          <w:rFonts w:ascii="Times New Roman" w:hAnsi="Times New Roman" w:cs="Times New Roman"/>
          <w:sz w:val="24"/>
          <w:szCs w:val="24"/>
        </w:rPr>
        <w:t xml:space="preserve">” e passará a enunciar “Dos Vícios Ocultos”.  </w:t>
      </w:r>
    </w:p>
    <w:p w14:paraId="50C3E781" w14:textId="5449C5D9" w:rsidR="00F049DE" w:rsidRPr="00F049DE" w:rsidRDefault="00F049DE" w:rsidP="00F049DE">
      <w:pPr>
        <w:pStyle w:val="t"/>
        <w:spacing w:before="120" w:after="120" w:line="360" w:lineRule="auto"/>
        <w:ind w:firstLine="1701"/>
        <w:rPr>
          <w:rFonts w:ascii="Times New Roman" w:hAnsi="Times New Roman" w:cs="Times New Roman"/>
          <w:sz w:val="24"/>
          <w:szCs w:val="24"/>
        </w:rPr>
      </w:pPr>
      <w:r w:rsidRPr="00F049DE">
        <w:rPr>
          <w:rFonts w:ascii="Times New Roman" w:hAnsi="Times New Roman" w:cs="Times New Roman"/>
          <w:sz w:val="24"/>
          <w:szCs w:val="24"/>
        </w:rPr>
        <w:t>O atual parágrafo único do comando passará a compor o seu § 1.º: “a disposição deste artigo é aplicável às doações onerosas”. E insere-se um novo § 2.º na norma, definindo-se</w:t>
      </w:r>
      <w:r w:rsidR="007B2E42">
        <w:rPr>
          <w:rFonts w:ascii="Times New Roman" w:hAnsi="Times New Roman" w:cs="Times New Roman"/>
          <w:sz w:val="24"/>
          <w:szCs w:val="24"/>
        </w:rPr>
        <w:t xml:space="preserve">, na linha do entendimento hoje majoritário, </w:t>
      </w:r>
      <w:r w:rsidRPr="00F049DE">
        <w:rPr>
          <w:rFonts w:ascii="Times New Roman" w:hAnsi="Times New Roman" w:cs="Times New Roman"/>
          <w:sz w:val="24"/>
          <w:szCs w:val="24"/>
        </w:rPr>
        <w:t xml:space="preserve">que “os vícios ocultos de que trata o </w:t>
      </w:r>
      <w:r w:rsidRPr="00F049DE">
        <w:rPr>
          <w:rStyle w:val="italico"/>
          <w:rFonts w:ascii="Times New Roman" w:hAnsi="Times New Roman" w:cs="Times New Roman"/>
          <w:iCs/>
          <w:sz w:val="24"/>
          <w:szCs w:val="24"/>
        </w:rPr>
        <w:t>caput</w:t>
      </w:r>
      <w:r w:rsidRPr="00F049DE">
        <w:rPr>
          <w:rFonts w:ascii="Times New Roman" w:hAnsi="Times New Roman" w:cs="Times New Roman"/>
          <w:sz w:val="24"/>
          <w:szCs w:val="24"/>
        </w:rPr>
        <w:t xml:space="preserve"> já devem ser ao menos existentes ao tempo da aquisição da coisa, não sendo necessário que estejam manifestados nessa ocasião”.</w:t>
      </w:r>
    </w:p>
    <w:p w14:paraId="0695162F" w14:textId="77777777" w:rsidR="00F049DE" w:rsidRPr="00F049DE" w:rsidRDefault="00F049DE" w:rsidP="00F049DE">
      <w:pPr>
        <w:pStyle w:val="t"/>
        <w:spacing w:before="120" w:after="120" w:line="360" w:lineRule="auto"/>
        <w:ind w:firstLine="1701"/>
        <w:rPr>
          <w:rFonts w:ascii="Times New Roman" w:hAnsi="Times New Roman" w:cs="Times New Roman"/>
          <w:sz w:val="24"/>
          <w:szCs w:val="24"/>
        </w:rPr>
      </w:pPr>
      <w:r w:rsidRPr="00F049DE">
        <w:rPr>
          <w:rFonts w:ascii="Times New Roman" w:hAnsi="Times New Roman" w:cs="Times New Roman"/>
          <w:sz w:val="24"/>
          <w:szCs w:val="24"/>
        </w:rPr>
        <w:t>Ademais, com vistas a uma melhor definição categórica, é incluído na Lei Geral Privada também um novo art. 441-A, estabelecendo que “o transmitente não será responsável por qualquer vício do bem se, no momento da conclusão do contrato, o adquirente sabia ou não podia ignorar a sua existência, considerados as circunstâncias do negócio e os usos e os costumes do lugar da sua celebração”. E, sobre a sua presença na prática, o parágrafo único do novo dispositivo projetado, seguindo o que já está previsto no Código Civil Argentino, disporá que, “se a identificação do vício demandar preparação científica ou técnica, deve-se levar em consideração se, diante da qualificação do adquirente, de sua atividade profissional, ou da natureza do negócio, era seu ônus buscar elementos técnicos que permitissem aferir a presença ou não de vícios”.</w:t>
      </w:r>
    </w:p>
    <w:p w14:paraId="404E239C" w14:textId="2944AC7F" w:rsidR="00F049DE" w:rsidRDefault="00F049DE" w:rsidP="00F049DE">
      <w:pPr>
        <w:pStyle w:val="t"/>
        <w:spacing w:before="120" w:after="120" w:line="360" w:lineRule="auto"/>
        <w:ind w:firstLine="1701"/>
        <w:rPr>
          <w:rFonts w:ascii="Times New Roman" w:hAnsi="Times New Roman" w:cs="Times New Roman"/>
          <w:sz w:val="24"/>
          <w:szCs w:val="24"/>
        </w:rPr>
      </w:pPr>
      <w:r w:rsidRPr="00F049DE">
        <w:rPr>
          <w:rFonts w:ascii="Times New Roman" w:hAnsi="Times New Roman" w:cs="Times New Roman"/>
          <w:sz w:val="24"/>
          <w:szCs w:val="24"/>
        </w:rPr>
        <w:t xml:space="preserve">Voltando-se ao sistema em vigor, o adquirente prejudicado pelo vício redibitório pode fazer uso das </w:t>
      </w:r>
      <w:r w:rsidRPr="00F049DE">
        <w:rPr>
          <w:rStyle w:val="italico"/>
          <w:rFonts w:ascii="Times New Roman" w:hAnsi="Times New Roman" w:cs="Times New Roman"/>
          <w:iCs/>
          <w:sz w:val="24"/>
          <w:szCs w:val="24"/>
        </w:rPr>
        <w:t>ações edilícias,</w:t>
      </w:r>
      <w:r w:rsidRPr="00F049DE">
        <w:rPr>
          <w:rFonts w:ascii="Times New Roman" w:hAnsi="Times New Roman" w:cs="Times New Roman"/>
          <w:sz w:val="24"/>
          <w:szCs w:val="24"/>
        </w:rPr>
        <w:t xml:space="preserve"> nos termos do art. 442 </w:t>
      </w:r>
      <w:r>
        <w:rPr>
          <w:rFonts w:ascii="Times New Roman" w:hAnsi="Times New Roman" w:cs="Times New Roman"/>
          <w:sz w:val="24"/>
          <w:szCs w:val="24"/>
        </w:rPr>
        <w:t>da Lei Civil</w:t>
      </w:r>
      <w:r w:rsidRPr="00F049DE">
        <w:rPr>
          <w:rFonts w:ascii="Times New Roman" w:hAnsi="Times New Roman" w:cs="Times New Roman"/>
          <w:sz w:val="24"/>
          <w:szCs w:val="24"/>
        </w:rPr>
        <w:t xml:space="preserve">. Anote-se que a expressão </w:t>
      </w:r>
      <w:r w:rsidRPr="00F049DE">
        <w:rPr>
          <w:rStyle w:val="italico"/>
          <w:rFonts w:ascii="Times New Roman" w:hAnsi="Times New Roman" w:cs="Times New Roman"/>
          <w:iCs/>
          <w:sz w:val="24"/>
          <w:szCs w:val="24"/>
        </w:rPr>
        <w:t>edilícias</w:t>
      </w:r>
      <w:r w:rsidRPr="00F049DE">
        <w:rPr>
          <w:rFonts w:ascii="Times New Roman" w:hAnsi="Times New Roman" w:cs="Times New Roman"/>
          <w:sz w:val="24"/>
          <w:szCs w:val="24"/>
        </w:rPr>
        <w:t xml:space="preserve"> tem origem no Direito Romano, </w:t>
      </w:r>
      <w:r w:rsidR="007B2E42">
        <w:rPr>
          <w:rFonts w:ascii="Times New Roman" w:hAnsi="Times New Roman" w:cs="Times New Roman"/>
          <w:sz w:val="24"/>
          <w:szCs w:val="24"/>
        </w:rPr>
        <w:t xml:space="preserve">assim como o termo </w:t>
      </w:r>
      <w:r w:rsidR="007B2E42" w:rsidRPr="007B2E42">
        <w:rPr>
          <w:rFonts w:ascii="Times New Roman" w:hAnsi="Times New Roman" w:cs="Times New Roman"/>
          <w:i/>
          <w:iCs/>
          <w:sz w:val="24"/>
          <w:szCs w:val="24"/>
        </w:rPr>
        <w:t>redibitório</w:t>
      </w:r>
      <w:r w:rsidR="007B2E42">
        <w:rPr>
          <w:rFonts w:ascii="Times New Roman" w:hAnsi="Times New Roman" w:cs="Times New Roman"/>
          <w:sz w:val="24"/>
          <w:szCs w:val="24"/>
        </w:rPr>
        <w:t xml:space="preserve">, </w:t>
      </w:r>
      <w:r w:rsidRPr="00F049DE">
        <w:rPr>
          <w:rFonts w:ascii="Times New Roman" w:hAnsi="Times New Roman" w:cs="Times New Roman"/>
          <w:sz w:val="24"/>
          <w:szCs w:val="24"/>
        </w:rPr>
        <w:t xml:space="preserve">pois a questão foi regulamentada pela </w:t>
      </w:r>
      <w:proofErr w:type="spellStart"/>
      <w:r w:rsidRPr="00F049DE">
        <w:rPr>
          <w:rStyle w:val="italico"/>
          <w:rFonts w:ascii="Times New Roman" w:hAnsi="Times New Roman" w:cs="Times New Roman"/>
          <w:iCs/>
          <w:sz w:val="24"/>
          <w:szCs w:val="24"/>
        </w:rPr>
        <w:t>aediles</w:t>
      </w:r>
      <w:proofErr w:type="spellEnd"/>
      <w:r w:rsidRPr="00F049DE">
        <w:rPr>
          <w:rStyle w:val="italico"/>
          <w:rFonts w:ascii="Times New Roman" w:hAnsi="Times New Roman" w:cs="Times New Roman"/>
          <w:iCs/>
          <w:sz w:val="24"/>
          <w:szCs w:val="24"/>
        </w:rPr>
        <w:t xml:space="preserve"> </w:t>
      </w:r>
      <w:proofErr w:type="spellStart"/>
      <w:r w:rsidRPr="00F049DE">
        <w:rPr>
          <w:rStyle w:val="italico"/>
          <w:rFonts w:ascii="Times New Roman" w:hAnsi="Times New Roman" w:cs="Times New Roman"/>
          <w:iCs/>
          <w:sz w:val="24"/>
          <w:szCs w:val="24"/>
        </w:rPr>
        <w:t>curules</w:t>
      </w:r>
      <w:proofErr w:type="spellEnd"/>
      <w:r w:rsidRPr="00F049DE">
        <w:rPr>
          <w:rFonts w:ascii="Times New Roman" w:hAnsi="Times New Roman" w:cs="Times New Roman"/>
          <w:sz w:val="24"/>
          <w:szCs w:val="24"/>
        </w:rPr>
        <w:t xml:space="preserve">, por volta do </w:t>
      </w:r>
      <w:r w:rsidR="00B02847">
        <w:rPr>
          <w:rFonts w:ascii="Times New Roman" w:hAnsi="Times New Roman" w:cs="Times New Roman"/>
          <w:sz w:val="24"/>
          <w:szCs w:val="24"/>
        </w:rPr>
        <w:t>s</w:t>
      </w:r>
      <w:r w:rsidR="00B02847" w:rsidRPr="00F049DE">
        <w:rPr>
          <w:rFonts w:ascii="Times New Roman" w:hAnsi="Times New Roman" w:cs="Times New Roman"/>
          <w:sz w:val="24"/>
          <w:szCs w:val="24"/>
        </w:rPr>
        <w:t xml:space="preserve">éculo </w:t>
      </w:r>
      <w:r w:rsidRPr="00F049DE">
        <w:rPr>
          <w:rFonts w:ascii="Times New Roman" w:hAnsi="Times New Roman" w:cs="Times New Roman"/>
          <w:sz w:val="24"/>
          <w:szCs w:val="24"/>
        </w:rPr>
        <w:t>II a.C., “com o objetivo de evitar fraudes praticadas pelos vendedores no mercado romano. Ressaltemos que os vendedores eram, em geral, estrangeiros (peregrinos) que tinham por hábito dissimular muito bem os defeitos da coisa que vendiam”</w:t>
      </w:r>
      <w:r>
        <w:rPr>
          <w:rFonts w:ascii="Times New Roman" w:hAnsi="Times New Roman" w:cs="Times New Roman"/>
          <w:sz w:val="24"/>
          <w:szCs w:val="24"/>
        </w:rPr>
        <w:t xml:space="preserve"> (</w:t>
      </w:r>
      <w:r w:rsidRPr="00F049DE">
        <w:rPr>
          <w:rFonts w:ascii="Times New Roman" w:hAnsi="Times New Roman" w:cs="Times New Roman"/>
          <w:sz w:val="24"/>
          <w:szCs w:val="24"/>
        </w:rPr>
        <w:t xml:space="preserve">SIMÃO, José Fernando. </w:t>
      </w:r>
      <w:r w:rsidRPr="00BF45D8">
        <w:rPr>
          <w:rFonts w:ascii="Times New Roman" w:hAnsi="Times New Roman" w:cs="Times New Roman"/>
          <w:i/>
          <w:iCs/>
          <w:sz w:val="24"/>
          <w:szCs w:val="24"/>
        </w:rPr>
        <w:t>Vícios do produto no novo Código Civil e no Código de Defesa do Consumidor</w:t>
      </w:r>
      <w:r w:rsidRPr="00F049DE">
        <w:rPr>
          <w:rFonts w:ascii="Times New Roman" w:hAnsi="Times New Roman" w:cs="Times New Roman"/>
          <w:sz w:val="24"/>
          <w:szCs w:val="24"/>
        </w:rPr>
        <w:t>. São Paulo: Atlas, 2003. p. 46</w:t>
      </w:r>
      <w:r>
        <w:rPr>
          <w:rFonts w:ascii="Times New Roman" w:hAnsi="Times New Roman" w:cs="Times New Roman"/>
          <w:sz w:val="24"/>
          <w:szCs w:val="24"/>
        </w:rPr>
        <w:t xml:space="preserve">). </w:t>
      </w:r>
    </w:p>
    <w:p w14:paraId="26583307" w14:textId="32DB2A85" w:rsidR="007B2E42" w:rsidRDefault="007B2E42" w:rsidP="00F049DE">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Nesse contexto, como opções, </w:t>
      </w:r>
      <w:r w:rsidR="00F049DE" w:rsidRPr="00F049DE">
        <w:rPr>
          <w:rFonts w:ascii="Times New Roman" w:hAnsi="Times New Roman" w:cs="Times New Roman"/>
          <w:sz w:val="24"/>
          <w:szCs w:val="24"/>
        </w:rPr>
        <w:t>poderá o adquirente, por meio dessas ações:</w:t>
      </w:r>
      <w:r w:rsidR="00F049DE">
        <w:rPr>
          <w:rFonts w:ascii="Times New Roman" w:hAnsi="Times New Roman" w:cs="Times New Roman"/>
          <w:sz w:val="24"/>
          <w:szCs w:val="24"/>
        </w:rPr>
        <w:t xml:space="preserve"> </w:t>
      </w:r>
      <w:r w:rsidR="00F049DE" w:rsidRPr="00F049DE">
        <w:rPr>
          <w:rFonts w:ascii="Times New Roman" w:hAnsi="Times New Roman" w:cs="Times New Roman"/>
          <w:i/>
          <w:iCs/>
          <w:sz w:val="24"/>
          <w:szCs w:val="24"/>
        </w:rPr>
        <w:t>a)</w:t>
      </w:r>
      <w:r w:rsidR="00F049DE">
        <w:rPr>
          <w:rFonts w:ascii="Times New Roman" w:hAnsi="Times New Roman" w:cs="Times New Roman"/>
          <w:sz w:val="24"/>
          <w:szCs w:val="24"/>
        </w:rPr>
        <w:t xml:space="preserve"> p</w:t>
      </w:r>
      <w:r w:rsidR="00F049DE" w:rsidRPr="00F049DE">
        <w:rPr>
          <w:rFonts w:ascii="Times New Roman" w:hAnsi="Times New Roman" w:cs="Times New Roman"/>
          <w:sz w:val="24"/>
          <w:szCs w:val="24"/>
        </w:rPr>
        <w:t xml:space="preserve">leitear abatimento proporcional no preço, por meio de ação </w:t>
      </w:r>
      <w:r w:rsidR="00F049DE" w:rsidRPr="00F049DE">
        <w:rPr>
          <w:rStyle w:val="italico"/>
          <w:rFonts w:ascii="Times New Roman" w:hAnsi="Times New Roman" w:cs="Times New Roman"/>
          <w:iCs/>
          <w:sz w:val="24"/>
          <w:szCs w:val="24"/>
        </w:rPr>
        <w:t xml:space="preserve">quanti </w:t>
      </w:r>
      <w:proofErr w:type="spellStart"/>
      <w:r w:rsidR="00F049DE" w:rsidRPr="00F049DE">
        <w:rPr>
          <w:rStyle w:val="italico"/>
          <w:rFonts w:ascii="Times New Roman" w:hAnsi="Times New Roman" w:cs="Times New Roman"/>
          <w:iCs/>
          <w:sz w:val="24"/>
          <w:szCs w:val="24"/>
        </w:rPr>
        <w:t>minoris</w:t>
      </w:r>
      <w:proofErr w:type="spellEnd"/>
      <w:r w:rsidR="00F049DE" w:rsidRPr="00F049DE">
        <w:rPr>
          <w:rFonts w:ascii="Times New Roman" w:hAnsi="Times New Roman" w:cs="Times New Roman"/>
          <w:sz w:val="24"/>
          <w:szCs w:val="24"/>
        </w:rPr>
        <w:t xml:space="preserve"> ou </w:t>
      </w:r>
      <w:r w:rsidR="00F049DE" w:rsidRPr="00F049DE">
        <w:rPr>
          <w:rStyle w:val="italico"/>
          <w:rFonts w:ascii="Times New Roman" w:hAnsi="Times New Roman" w:cs="Times New Roman"/>
          <w:iCs/>
          <w:sz w:val="24"/>
          <w:szCs w:val="24"/>
        </w:rPr>
        <w:t xml:space="preserve">ação </w:t>
      </w:r>
      <w:proofErr w:type="spellStart"/>
      <w:r w:rsidR="00F049DE" w:rsidRPr="00F049DE">
        <w:rPr>
          <w:rStyle w:val="italico"/>
          <w:rFonts w:ascii="Times New Roman" w:hAnsi="Times New Roman" w:cs="Times New Roman"/>
          <w:iCs/>
          <w:sz w:val="24"/>
          <w:szCs w:val="24"/>
        </w:rPr>
        <w:t>estimatória</w:t>
      </w:r>
      <w:proofErr w:type="spellEnd"/>
      <w:r w:rsidR="00F049DE">
        <w:rPr>
          <w:rStyle w:val="italico"/>
          <w:rFonts w:ascii="Times New Roman" w:hAnsi="Times New Roman" w:cs="Times New Roman"/>
          <w:iCs/>
          <w:sz w:val="24"/>
          <w:szCs w:val="24"/>
        </w:rPr>
        <w:t xml:space="preserve">; </w:t>
      </w:r>
      <w:r w:rsidR="00F049DE">
        <w:rPr>
          <w:rStyle w:val="italico"/>
          <w:rFonts w:ascii="Times New Roman" w:hAnsi="Times New Roman" w:cs="Times New Roman"/>
          <w:i w:val="0"/>
          <w:sz w:val="24"/>
          <w:szCs w:val="24"/>
        </w:rPr>
        <w:t xml:space="preserve">ou </w:t>
      </w:r>
      <w:r w:rsidR="00F049DE">
        <w:rPr>
          <w:rStyle w:val="italico"/>
          <w:rFonts w:ascii="Times New Roman" w:hAnsi="Times New Roman" w:cs="Times New Roman"/>
          <w:iCs/>
          <w:sz w:val="24"/>
          <w:szCs w:val="24"/>
        </w:rPr>
        <w:t xml:space="preserve">b) </w:t>
      </w:r>
      <w:r w:rsidR="00F049DE">
        <w:rPr>
          <w:rFonts w:ascii="Times New Roman" w:hAnsi="Times New Roman" w:cs="Times New Roman"/>
          <w:sz w:val="24"/>
          <w:szCs w:val="24"/>
        </w:rPr>
        <w:t>re</w:t>
      </w:r>
      <w:r w:rsidR="00F049DE" w:rsidRPr="00F049DE">
        <w:rPr>
          <w:rFonts w:ascii="Times New Roman" w:hAnsi="Times New Roman" w:cs="Times New Roman"/>
          <w:sz w:val="24"/>
          <w:szCs w:val="24"/>
        </w:rPr>
        <w:t xml:space="preserve">querer a resolução do contrato </w:t>
      </w:r>
      <w:r w:rsidR="00B02847">
        <w:rPr>
          <w:rFonts w:ascii="Times New Roman" w:hAnsi="Times New Roman" w:cs="Times New Roman"/>
          <w:sz w:val="24"/>
          <w:szCs w:val="24"/>
        </w:rPr>
        <w:t xml:space="preserve">– </w:t>
      </w:r>
      <w:r w:rsidR="00F049DE" w:rsidRPr="00F049DE">
        <w:rPr>
          <w:rFonts w:ascii="Times New Roman" w:hAnsi="Times New Roman" w:cs="Times New Roman"/>
          <w:sz w:val="24"/>
          <w:szCs w:val="24"/>
        </w:rPr>
        <w:t>devolvendo a coisa e recebendo de volta a quantia em dinheiro que desembolsou</w:t>
      </w:r>
      <w:r w:rsidR="00F049DE">
        <w:rPr>
          <w:rFonts w:ascii="Times New Roman" w:hAnsi="Times New Roman" w:cs="Times New Roman"/>
          <w:sz w:val="24"/>
          <w:szCs w:val="24"/>
        </w:rPr>
        <w:t xml:space="preserve"> </w:t>
      </w:r>
      <w:r w:rsidR="00B02847">
        <w:rPr>
          <w:rFonts w:ascii="Times New Roman" w:hAnsi="Times New Roman" w:cs="Times New Roman"/>
          <w:sz w:val="24"/>
          <w:szCs w:val="24"/>
        </w:rPr>
        <w:t>–</w:t>
      </w:r>
      <w:r w:rsidR="00B02847" w:rsidRPr="00F049DE">
        <w:rPr>
          <w:rFonts w:ascii="Times New Roman" w:hAnsi="Times New Roman" w:cs="Times New Roman"/>
          <w:sz w:val="24"/>
          <w:szCs w:val="24"/>
        </w:rPr>
        <w:t xml:space="preserve">, </w:t>
      </w:r>
      <w:r w:rsidR="00F049DE" w:rsidRPr="00F049DE">
        <w:rPr>
          <w:rFonts w:ascii="Times New Roman" w:hAnsi="Times New Roman" w:cs="Times New Roman"/>
          <w:sz w:val="24"/>
          <w:szCs w:val="24"/>
        </w:rPr>
        <w:t xml:space="preserve">sem prejuízo de perdas e danos, por meio de </w:t>
      </w:r>
      <w:r w:rsidR="00F049DE" w:rsidRPr="00F049DE">
        <w:rPr>
          <w:rStyle w:val="italico"/>
          <w:rFonts w:ascii="Times New Roman" w:hAnsi="Times New Roman" w:cs="Times New Roman"/>
          <w:iCs/>
          <w:sz w:val="24"/>
          <w:szCs w:val="24"/>
        </w:rPr>
        <w:t>ação redibitória</w:t>
      </w:r>
      <w:r>
        <w:rPr>
          <w:rFonts w:ascii="Times New Roman" w:hAnsi="Times New Roman" w:cs="Times New Roman"/>
          <w:sz w:val="24"/>
          <w:szCs w:val="24"/>
        </w:rPr>
        <w:t xml:space="preserve">, o que justifica a denominação atual da categoria. </w:t>
      </w:r>
    </w:p>
    <w:p w14:paraId="7784A295" w14:textId="1CFAFA93" w:rsidR="00F049DE" w:rsidRPr="00F049DE" w:rsidRDefault="00F049DE" w:rsidP="00F049DE">
      <w:pPr>
        <w:pStyle w:val="t"/>
        <w:spacing w:before="120" w:after="120" w:line="360" w:lineRule="auto"/>
        <w:ind w:firstLine="1701"/>
        <w:rPr>
          <w:rFonts w:ascii="Times New Roman" w:hAnsi="Times New Roman" w:cs="Times New Roman"/>
          <w:sz w:val="24"/>
          <w:szCs w:val="24"/>
        </w:rPr>
      </w:pPr>
      <w:r w:rsidRPr="00F049DE">
        <w:rPr>
          <w:rFonts w:ascii="Times New Roman" w:hAnsi="Times New Roman" w:cs="Times New Roman"/>
          <w:sz w:val="24"/>
          <w:szCs w:val="24"/>
        </w:rPr>
        <w:t xml:space="preserve">Para pleitear as perdas e danos, deverá </w:t>
      </w:r>
      <w:r w:rsidR="007B2E42">
        <w:rPr>
          <w:rFonts w:ascii="Times New Roman" w:hAnsi="Times New Roman" w:cs="Times New Roman"/>
          <w:sz w:val="24"/>
          <w:szCs w:val="24"/>
        </w:rPr>
        <w:t xml:space="preserve">o adquirente </w:t>
      </w:r>
      <w:r w:rsidRPr="00F049DE">
        <w:rPr>
          <w:rFonts w:ascii="Times New Roman" w:hAnsi="Times New Roman" w:cs="Times New Roman"/>
          <w:sz w:val="24"/>
          <w:szCs w:val="24"/>
        </w:rPr>
        <w:t xml:space="preserve">comprovar a má-fé do alienante, ou seja, que </w:t>
      </w:r>
      <w:r w:rsidR="00276D6A">
        <w:rPr>
          <w:rFonts w:ascii="Times New Roman" w:hAnsi="Times New Roman" w:cs="Times New Roman"/>
          <w:sz w:val="24"/>
          <w:szCs w:val="24"/>
        </w:rPr>
        <w:t>este</w:t>
      </w:r>
      <w:r w:rsidRPr="00F049DE">
        <w:rPr>
          <w:rFonts w:ascii="Times New Roman" w:hAnsi="Times New Roman" w:cs="Times New Roman"/>
          <w:sz w:val="24"/>
          <w:szCs w:val="24"/>
        </w:rPr>
        <w:t xml:space="preserve"> tinha conhecimento dos vícios redibitórios (art. 443 do C</w:t>
      </w:r>
      <w:r>
        <w:rPr>
          <w:rFonts w:ascii="Times New Roman" w:hAnsi="Times New Roman" w:cs="Times New Roman"/>
          <w:sz w:val="24"/>
          <w:szCs w:val="24"/>
        </w:rPr>
        <w:t>ódigo Civil</w:t>
      </w:r>
      <w:r w:rsidRPr="00F049DE">
        <w:rPr>
          <w:rFonts w:ascii="Times New Roman" w:hAnsi="Times New Roman" w:cs="Times New Roman"/>
          <w:sz w:val="24"/>
          <w:szCs w:val="24"/>
        </w:rPr>
        <w:t>). Todavia, a ação redibitória, com a devolução do valor pago e o ressarcimento das despesas contratuais, cabe mesmo se o alienante não tinha conhecimento do vício</w:t>
      </w:r>
      <w:r w:rsidR="007B2E42">
        <w:rPr>
          <w:rFonts w:ascii="Times New Roman" w:hAnsi="Times New Roman" w:cs="Times New Roman"/>
          <w:sz w:val="24"/>
          <w:szCs w:val="24"/>
        </w:rPr>
        <w:t>, pois trata-se de um vício objetivo e não subjetivo, conforme apontado neste texto</w:t>
      </w:r>
      <w:r w:rsidRPr="00F049DE">
        <w:rPr>
          <w:rFonts w:ascii="Times New Roman" w:hAnsi="Times New Roman" w:cs="Times New Roman"/>
          <w:sz w:val="24"/>
          <w:szCs w:val="24"/>
        </w:rPr>
        <w:t>.</w:t>
      </w:r>
    </w:p>
    <w:p w14:paraId="365E2C4F" w14:textId="757D63A5" w:rsidR="00F049DE" w:rsidRPr="00F049DE" w:rsidRDefault="00F049DE" w:rsidP="00F049DE">
      <w:pPr>
        <w:pStyle w:val="t"/>
        <w:spacing w:before="120" w:after="120" w:line="360" w:lineRule="auto"/>
        <w:ind w:firstLine="1701"/>
        <w:rPr>
          <w:rStyle w:val="elevado"/>
          <w:rFonts w:ascii="Times New Roman" w:hAnsi="Times New Roman" w:cs="Times New Roman"/>
          <w:sz w:val="24"/>
          <w:szCs w:val="24"/>
        </w:rPr>
      </w:pPr>
      <w:r w:rsidRPr="00F049DE">
        <w:rPr>
          <w:rFonts w:ascii="Times New Roman" w:hAnsi="Times New Roman" w:cs="Times New Roman"/>
          <w:sz w:val="24"/>
          <w:szCs w:val="24"/>
        </w:rPr>
        <w:t xml:space="preserve">Em relação a essas possibilidades, merece aplicação o princípio da conservação do contrato, anexo à </w:t>
      </w:r>
      <w:r w:rsidR="007B2E42">
        <w:rPr>
          <w:rFonts w:ascii="Times New Roman" w:hAnsi="Times New Roman" w:cs="Times New Roman"/>
          <w:sz w:val="24"/>
          <w:szCs w:val="24"/>
        </w:rPr>
        <w:t xml:space="preserve">sua </w:t>
      </w:r>
      <w:r w:rsidRPr="00F049DE">
        <w:rPr>
          <w:rFonts w:ascii="Times New Roman" w:hAnsi="Times New Roman" w:cs="Times New Roman"/>
          <w:sz w:val="24"/>
          <w:szCs w:val="24"/>
        </w:rPr>
        <w:t>função social</w:t>
      </w:r>
      <w:r w:rsidR="007B2E42">
        <w:rPr>
          <w:rFonts w:ascii="Times New Roman" w:hAnsi="Times New Roman" w:cs="Times New Roman"/>
          <w:sz w:val="24"/>
          <w:szCs w:val="24"/>
        </w:rPr>
        <w:t xml:space="preserve">, como prevê o Enunciado n. 22, aprovado na </w:t>
      </w:r>
      <w:r w:rsidR="007B2E42" w:rsidRPr="007B2E42">
        <w:rPr>
          <w:rFonts w:ascii="Times New Roman" w:hAnsi="Times New Roman" w:cs="Times New Roman"/>
          <w:i/>
          <w:iCs/>
          <w:sz w:val="24"/>
          <w:szCs w:val="24"/>
        </w:rPr>
        <w:t>I Jornada de Direito Civil</w:t>
      </w:r>
      <w:r w:rsidRPr="00F049DE">
        <w:rPr>
          <w:rFonts w:ascii="Times New Roman" w:hAnsi="Times New Roman" w:cs="Times New Roman"/>
          <w:sz w:val="24"/>
          <w:szCs w:val="24"/>
        </w:rPr>
        <w:t xml:space="preserve">. Sendo assim, deve-se entender que a resolução do contrato é o último caminho a ser percorrido. Nos casos em que os vícios não geram grandes repercussões em relação à utilidade da coisa, não cabe a ação redibitória, mas apenas a ação </w:t>
      </w:r>
      <w:r w:rsidRPr="00F049DE">
        <w:rPr>
          <w:rStyle w:val="italico"/>
          <w:rFonts w:ascii="Times New Roman" w:hAnsi="Times New Roman" w:cs="Times New Roman"/>
          <w:iCs/>
          <w:sz w:val="24"/>
          <w:szCs w:val="24"/>
        </w:rPr>
        <w:t xml:space="preserve">quanti </w:t>
      </w:r>
      <w:proofErr w:type="spellStart"/>
      <w:r w:rsidRPr="00F049DE">
        <w:rPr>
          <w:rStyle w:val="italico"/>
          <w:rFonts w:ascii="Times New Roman" w:hAnsi="Times New Roman" w:cs="Times New Roman"/>
          <w:iCs/>
          <w:sz w:val="24"/>
          <w:szCs w:val="24"/>
        </w:rPr>
        <w:t>minoris</w:t>
      </w:r>
      <w:proofErr w:type="spellEnd"/>
      <w:r w:rsidRPr="00F049DE">
        <w:rPr>
          <w:rFonts w:ascii="Times New Roman" w:hAnsi="Times New Roman" w:cs="Times New Roman"/>
          <w:sz w:val="24"/>
          <w:szCs w:val="24"/>
        </w:rPr>
        <w:t xml:space="preserve">, com o abatimento proporcional do preço. </w:t>
      </w:r>
      <w:r>
        <w:rPr>
          <w:rFonts w:ascii="Times New Roman" w:hAnsi="Times New Roman" w:cs="Times New Roman"/>
          <w:sz w:val="24"/>
          <w:szCs w:val="24"/>
        </w:rPr>
        <w:t>Se</w:t>
      </w:r>
      <w:r w:rsidRPr="00F049DE">
        <w:rPr>
          <w:rFonts w:ascii="Times New Roman" w:hAnsi="Times New Roman" w:cs="Times New Roman"/>
          <w:sz w:val="24"/>
          <w:szCs w:val="24"/>
        </w:rPr>
        <w:t xml:space="preserve"> o vício for insignificante ou ínfimo e não prejudicar as finalidades do contrato, não cabe sequer esse pedido de abatimento no preço.</w:t>
      </w:r>
    </w:p>
    <w:p w14:paraId="6798C3FD" w14:textId="17FA8435" w:rsidR="007B2E42" w:rsidRDefault="00F049DE" w:rsidP="007B2E42">
      <w:pPr>
        <w:pStyle w:val="t"/>
        <w:spacing w:before="120" w:after="120" w:line="360" w:lineRule="auto"/>
        <w:ind w:firstLine="1701"/>
        <w:rPr>
          <w:rFonts w:ascii="Times New Roman" w:hAnsi="Times New Roman" w:cs="Times New Roman"/>
          <w:sz w:val="24"/>
          <w:szCs w:val="24"/>
        </w:rPr>
      </w:pPr>
      <w:r w:rsidRPr="00F049DE">
        <w:rPr>
          <w:rFonts w:ascii="Times New Roman" w:hAnsi="Times New Roman" w:cs="Times New Roman"/>
          <w:sz w:val="24"/>
          <w:szCs w:val="24"/>
        </w:rPr>
        <w:t xml:space="preserve">Como outra opção plausível, pode-se cogitar a </w:t>
      </w:r>
      <w:r>
        <w:rPr>
          <w:rFonts w:ascii="Times New Roman" w:hAnsi="Times New Roman" w:cs="Times New Roman"/>
          <w:sz w:val="24"/>
          <w:szCs w:val="24"/>
        </w:rPr>
        <w:t>viabilidade</w:t>
      </w:r>
      <w:r w:rsidRPr="00F049DE">
        <w:rPr>
          <w:rFonts w:ascii="Times New Roman" w:hAnsi="Times New Roman" w:cs="Times New Roman"/>
          <w:sz w:val="24"/>
          <w:szCs w:val="24"/>
        </w:rPr>
        <w:t xml:space="preserve"> de o adquirente ficar com o próprio bem, sanado o vício oculto. No Projeto de Reforma do Código Civil </w:t>
      </w:r>
      <w:r>
        <w:rPr>
          <w:rFonts w:ascii="Times New Roman" w:hAnsi="Times New Roman" w:cs="Times New Roman"/>
          <w:sz w:val="24"/>
          <w:szCs w:val="24"/>
        </w:rPr>
        <w:t xml:space="preserve">(PL n. 4/2025) </w:t>
      </w:r>
      <w:r w:rsidRPr="00F049DE">
        <w:rPr>
          <w:rFonts w:ascii="Times New Roman" w:hAnsi="Times New Roman" w:cs="Times New Roman"/>
          <w:sz w:val="24"/>
          <w:szCs w:val="24"/>
        </w:rPr>
        <w:t>há proposição de se incluir no art. 442 essa possibilidade, passando a norma a prever que, “caracterizado o vício oculto, o adquirente pode, à sua escolha: I – rejeitar a coisa, resolvendo o contrato, sem prejuízo das perdas e danos; II – reclamar o abatimento no preço ou; III – salvo pacto em contrário, exigir seja sanado o vício da coisa, mediante o custeio de reparos, salvo se o alienante dispuser-se a realizá-los diretamente ou por terceiro”. No que diz respeito a esses reparos, também se pretende incluir um parágrafo único no art. 442, enunciando que, quando eles ficarem a cargo do alienante e não forem realizados no prazo de até trinta dias ou prazo superior que tenha sido pactuado pelas partes, o adquirente poderá optar pela resolução do contrato ou pelo abatimento no preço.</w:t>
      </w:r>
      <w:r w:rsidR="007B2E42">
        <w:rPr>
          <w:rFonts w:ascii="Times New Roman" w:hAnsi="Times New Roman" w:cs="Times New Roman"/>
          <w:sz w:val="24"/>
          <w:szCs w:val="24"/>
        </w:rPr>
        <w:t xml:space="preserve"> Vejamos as </w:t>
      </w:r>
      <w:r w:rsidRPr="00F049DE">
        <w:rPr>
          <w:rFonts w:ascii="Times New Roman" w:hAnsi="Times New Roman" w:cs="Times New Roman"/>
          <w:sz w:val="24"/>
          <w:szCs w:val="24"/>
        </w:rPr>
        <w:t>justificativas da Subcomissão de Direito Contratual</w:t>
      </w:r>
      <w:r w:rsidR="007B2E42">
        <w:rPr>
          <w:rFonts w:ascii="Times New Roman" w:hAnsi="Times New Roman" w:cs="Times New Roman"/>
          <w:sz w:val="24"/>
          <w:szCs w:val="24"/>
        </w:rPr>
        <w:t xml:space="preserve"> para essas proposições, que vêm em boa hora: </w:t>
      </w:r>
    </w:p>
    <w:p w14:paraId="225D5EF3" w14:textId="77777777" w:rsidR="007B2E42" w:rsidRPr="007B2E42" w:rsidRDefault="00F049DE" w:rsidP="007B2E42">
      <w:pPr>
        <w:pStyle w:val="t"/>
        <w:spacing w:before="120" w:after="120" w:line="360" w:lineRule="auto"/>
        <w:ind w:left="567" w:firstLine="0"/>
        <w:rPr>
          <w:rFonts w:ascii="Times New Roman" w:hAnsi="Times New Roman" w:cs="Times New Roman"/>
          <w:sz w:val="22"/>
          <w:szCs w:val="22"/>
        </w:rPr>
      </w:pPr>
      <w:r w:rsidRPr="007B2E42">
        <w:rPr>
          <w:rFonts w:ascii="Times New Roman" w:hAnsi="Times New Roman" w:cs="Times New Roman"/>
          <w:sz w:val="22"/>
          <w:szCs w:val="22"/>
        </w:rPr>
        <w:t>“</w:t>
      </w:r>
      <w:r w:rsidR="007B2E42" w:rsidRPr="007B2E42">
        <w:rPr>
          <w:rFonts w:ascii="Times New Roman" w:hAnsi="Times New Roman" w:cs="Times New Roman"/>
          <w:sz w:val="22"/>
          <w:szCs w:val="22"/>
        </w:rPr>
        <w:t>A</w:t>
      </w:r>
      <w:r w:rsidRPr="007B2E42">
        <w:rPr>
          <w:rFonts w:ascii="Times New Roman" w:hAnsi="Times New Roman" w:cs="Times New Roman"/>
          <w:sz w:val="22"/>
          <w:szCs w:val="22"/>
        </w:rPr>
        <w:t xml:space="preserve"> proposta de reforma do regime de vícios redibitórios se pauta na tendência internacional de permitir o saneamento dos vícios, e não apenas a redibição ou o abatimento do preço. Exemplos dessa tendência são a CISG, em seu regime de desconformidade das mercadorias, e o Código Civil e Comercial da Nação Argentina. Embora a redibição e o abatimento do preço se mantenham como alternativas para o adquirente, mantendo fidelidade à tradição do Direito Civil brasileiro, inclui-se a possibilidade de exigir custeio de reparos – assegurando-se a possibilidade de o alienante realizá-los”. </w:t>
      </w:r>
    </w:p>
    <w:p w14:paraId="26F98391" w14:textId="6AA3A0D1" w:rsidR="00F049DE" w:rsidRPr="00F049DE" w:rsidRDefault="00F049DE" w:rsidP="007B2E42">
      <w:pPr>
        <w:pStyle w:val="t"/>
        <w:spacing w:before="120" w:after="120" w:line="360" w:lineRule="auto"/>
        <w:ind w:firstLine="1701"/>
        <w:rPr>
          <w:rFonts w:ascii="Times New Roman" w:hAnsi="Times New Roman" w:cs="Times New Roman"/>
          <w:sz w:val="24"/>
          <w:szCs w:val="24"/>
        </w:rPr>
      </w:pPr>
      <w:r w:rsidRPr="00F049DE">
        <w:rPr>
          <w:rFonts w:ascii="Times New Roman" w:hAnsi="Times New Roman" w:cs="Times New Roman"/>
          <w:sz w:val="24"/>
          <w:szCs w:val="24"/>
        </w:rPr>
        <w:t xml:space="preserve">A sugestão teve apoio unânime da Relatoria-Geral e da Comissão de Juristas, </w:t>
      </w:r>
      <w:r w:rsidR="00BF45D8">
        <w:rPr>
          <w:rFonts w:ascii="Times New Roman" w:hAnsi="Times New Roman" w:cs="Times New Roman"/>
          <w:sz w:val="24"/>
          <w:szCs w:val="24"/>
        </w:rPr>
        <w:t xml:space="preserve">formada por mim e pela Professora Rosa Maria de Andrade Nery, </w:t>
      </w:r>
      <w:r w:rsidRPr="00F049DE">
        <w:rPr>
          <w:rFonts w:ascii="Times New Roman" w:hAnsi="Times New Roman" w:cs="Times New Roman"/>
          <w:sz w:val="24"/>
          <w:szCs w:val="24"/>
        </w:rPr>
        <w:t>sendo necessária a sua inclusão na Lei Geral Privada.</w:t>
      </w:r>
    </w:p>
    <w:p w14:paraId="0CA572A5" w14:textId="00AEB49B" w:rsidR="00BF45D8" w:rsidRDefault="00F049DE" w:rsidP="00BF45D8">
      <w:pPr>
        <w:pStyle w:val="t"/>
        <w:spacing w:before="120" w:after="120" w:line="360" w:lineRule="auto"/>
        <w:ind w:firstLine="1701"/>
        <w:rPr>
          <w:rFonts w:ascii="Times New Roman" w:hAnsi="Times New Roman" w:cs="Times New Roman"/>
          <w:sz w:val="24"/>
          <w:szCs w:val="24"/>
        </w:rPr>
      </w:pPr>
      <w:r w:rsidRPr="00F049DE">
        <w:rPr>
          <w:rFonts w:ascii="Times New Roman" w:hAnsi="Times New Roman" w:cs="Times New Roman"/>
          <w:sz w:val="24"/>
          <w:szCs w:val="24"/>
        </w:rPr>
        <w:t>Como as ações edilícias são constitutivas negativas, os prazos previstos no art. 445 do C</w:t>
      </w:r>
      <w:r w:rsidR="00BF45D8">
        <w:rPr>
          <w:rFonts w:ascii="Times New Roman" w:hAnsi="Times New Roman" w:cs="Times New Roman"/>
          <w:sz w:val="24"/>
          <w:szCs w:val="24"/>
        </w:rPr>
        <w:t xml:space="preserve">ódigo Civil </w:t>
      </w:r>
      <w:r w:rsidRPr="00F049DE">
        <w:rPr>
          <w:rFonts w:ascii="Times New Roman" w:hAnsi="Times New Roman" w:cs="Times New Roman"/>
          <w:sz w:val="24"/>
          <w:szCs w:val="24"/>
        </w:rPr>
        <w:t>para tais demandas são decadenciais. Nesse sentido, o Enunciado n. 28</w:t>
      </w:r>
      <w:r w:rsidR="007B2E42">
        <w:rPr>
          <w:rFonts w:ascii="Times New Roman" w:hAnsi="Times New Roman" w:cs="Times New Roman"/>
          <w:sz w:val="24"/>
          <w:szCs w:val="24"/>
        </w:rPr>
        <w:t xml:space="preserve"> da </w:t>
      </w:r>
      <w:r w:rsidR="007B2E42" w:rsidRPr="007B2E42">
        <w:rPr>
          <w:rFonts w:ascii="Times New Roman" w:hAnsi="Times New Roman" w:cs="Times New Roman"/>
          <w:i/>
          <w:iCs/>
          <w:sz w:val="24"/>
          <w:szCs w:val="24"/>
        </w:rPr>
        <w:t>I Jornada de Direito Civil</w:t>
      </w:r>
      <w:r w:rsidR="00954C6F" w:rsidRPr="00C94ADB">
        <w:rPr>
          <w:rFonts w:ascii="Times New Roman" w:hAnsi="Times New Roman" w:cs="Times New Roman"/>
          <w:sz w:val="24"/>
          <w:szCs w:val="24"/>
        </w:rPr>
        <w:t>,</w:t>
      </w:r>
      <w:r w:rsidR="007B2E42">
        <w:rPr>
          <w:rFonts w:ascii="Times New Roman" w:hAnsi="Times New Roman" w:cs="Times New Roman"/>
          <w:sz w:val="24"/>
          <w:szCs w:val="24"/>
        </w:rPr>
        <w:t xml:space="preserve"> que igualmente traduz a posição majoritária: </w:t>
      </w:r>
      <w:r w:rsidRPr="00F049DE">
        <w:rPr>
          <w:rFonts w:ascii="Times New Roman" w:hAnsi="Times New Roman" w:cs="Times New Roman"/>
          <w:sz w:val="24"/>
          <w:szCs w:val="24"/>
        </w:rPr>
        <w:t xml:space="preserve">“o disposto no art. 445, §§ 1.º e 2.º, do Código Civil reflete a consagração da doutrina e da jurisprudência quanto à natureza decadencial das ações edilícias”. </w:t>
      </w:r>
      <w:r w:rsidR="00BF45D8">
        <w:rPr>
          <w:rFonts w:ascii="Times New Roman" w:hAnsi="Times New Roman" w:cs="Times New Roman"/>
          <w:sz w:val="24"/>
          <w:szCs w:val="24"/>
        </w:rPr>
        <w:t xml:space="preserve"> </w:t>
      </w:r>
    </w:p>
    <w:p w14:paraId="30C1DF8B" w14:textId="384D0720" w:rsidR="00BF45D8" w:rsidRDefault="00BF45D8" w:rsidP="00BF45D8">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No que diz respeito aos prazos em si, n</w:t>
      </w:r>
      <w:r w:rsidR="00F049DE" w:rsidRPr="00F049DE">
        <w:rPr>
          <w:rFonts w:ascii="Times New Roman" w:hAnsi="Times New Roman" w:cs="Times New Roman"/>
          <w:sz w:val="24"/>
          <w:szCs w:val="24"/>
        </w:rPr>
        <w:t>as hipóteses de vício que pode ser percebido imediatamente</w:t>
      </w:r>
      <w:r>
        <w:rPr>
          <w:rFonts w:ascii="Times New Roman" w:hAnsi="Times New Roman" w:cs="Times New Roman"/>
          <w:sz w:val="24"/>
          <w:szCs w:val="24"/>
        </w:rPr>
        <w:t>,</w:t>
      </w:r>
      <w:r w:rsidR="007B2E42">
        <w:rPr>
          <w:rFonts w:ascii="Times New Roman" w:hAnsi="Times New Roman" w:cs="Times New Roman"/>
          <w:sz w:val="24"/>
          <w:szCs w:val="24"/>
        </w:rPr>
        <w:t xml:space="preserve"> conforme o </w:t>
      </w:r>
      <w:r w:rsidR="00F049DE" w:rsidRPr="00F049DE">
        <w:rPr>
          <w:rFonts w:ascii="Times New Roman" w:hAnsi="Times New Roman" w:cs="Times New Roman"/>
          <w:sz w:val="24"/>
          <w:szCs w:val="24"/>
        </w:rPr>
        <w:t xml:space="preserve">art. 445, </w:t>
      </w:r>
      <w:r w:rsidR="00F049DE" w:rsidRPr="00F049DE">
        <w:rPr>
          <w:rStyle w:val="italico"/>
          <w:rFonts w:ascii="Times New Roman" w:hAnsi="Times New Roman" w:cs="Times New Roman"/>
          <w:iCs/>
          <w:sz w:val="24"/>
          <w:szCs w:val="24"/>
        </w:rPr>
        <w:t>caput</w:t>
      </w:r>
      <w:r w:rsidR="00F049DE" w:rsidRPr="00F049DE">
        <w:rPr>
          <w:rFonts w:ascii="Times New Roman" w:hAnsi="Times New Roman" w:cs="Times New Roman"/>
          <w:sz w:val="24"/>
          <w:szCs w:val="24"/>
        </w:rPr>
        <w:t>, do CC</w:t>
      </w:r>
      <w:r>
        <w:rPr>
          <w:rFonts w:ascii="Times New Roman" w:hAnsi="Times New Roman" w:cs="Times New Roman"/>
          <w:sz w:val="24"/>
          <w:szCs w:val="24"/>
        </w:rPr>
        <w:t>/2002, o</w:t>
      </w:r>
      <w:r w:rsidR="00F049DE" w:rsidRPr="00F049DE">
        <w:rPr>
          <w:rFonts w:ascii="Times New Roman" w:hAnsi="Times New Roman" w:cs="Times New Roman"/>
          <w:sz w:val="24"/>
          <w:szCs w:val="24"/>
        </w:rPr>
        <w:t xml:space="preserve"> adquirente decai do direito de obter a redibição ou abatimento no preço no prazo de trinta dias se a coisa for móvel, e de um ano se for imóvel, contado da entrega efetiva. Porém, se já estava na posse do bem, o prazo conta-se da alienação da coisa, reduzido à metade</w:t>
      </w:r>
      <w:r>
        <w:rPr>
          <w:rFonts w:ascii="Times New Roman" w:hAnsi="Times New Roman" w:cs="Times New Roman"/>
          <w:sz w:val="24"/>
          <w:szCs w:val="24"/>
        </w:rPr>
        <w:t>, ou seja, para quinze</w:t>
      </w:r>
      <w:r w:rsidR="00F049DE" w:rsidRPr="00F049DE">
        <w:rPr>
          <w:rFonts w:ascii="Times New Roman" w:hAnsi="Times New Roman" w:cs="Times New Roman"/>
          <w:sz w:val="24"/>
          <w:szCs w:val="24"/>
        </w:rPr>
        <w:t xml:space="preserve"> dias para móvel e seis meses para imóvel. Cite-se como exemplo da última regra o caso de um locatário que adquire o bem, havendo uma tradição ficta</w:t>
      </w:r>
      <w:r>
        <w:rPr>
          <w:rFonts w:ascii="Times New Roman" w:hAnsi="Times New Roman" w:cs="Times New Roman"/>
          <w:sz w:val="24"/>
          <w:szCs w:val="24"/>
        </w:rPr>
        <w:t xml:space="preserve">, a </w:t>
      </w:r>
      <w:proofErr w:type="spellStart"/>
      <w:r w:rsidR="00F049DE" w:rsidRPr="00F049DE">
        <w:rPr>
          <w:rStyle w:val="italico"/>
          <w:rFonts w:ascii="Times New Roman" w:hAnsi="Times New Roman" w:cs="Times New Roman"/>
          <w:iCs/>
          <w:sz w:val="24"/>
          <w:szCs w:val="24"/>
        </w:rPr>
        <w:t>traditio</w:t>
      </w:r>
      <w:proofErr w:type="spellEnd"/>
      <w:r w:rsidR="00F049DE" w:rsidRPr="00F049DE">
        <w:rPr>
          <w:rStyle w:val="italico"/>
          <w:rFonts w:ascii="Times New Roman" w:hAnsi="Times New Roman" w:cs="Times New Roman"/>
          <w:iCs/>
          <w:sz w:val="24"/>
          <w:szCs w:val="24"/>
        </w:rPr>
        <w:t xml:space="preserve"> </w:t>
      </w:r>
      <w:proofErr w:type="spellStart"/>
      <w:r w:rsidR="00F049DE" w:rsidRPr="00F049DE">
        <w:rPr>
          <w:rStyle w:val="italico"/>
          <w:rFonts w:ascii="Times New Roman" w:hAnsi="Times New Roman" w:cs="Times New Roman"/>
          <w:iCs/>
          <w:sz w:val="24"/>
          <w:szCs w:val="24"/>
        </w:rPr>
        <w:t>brevi</w:t>
      </w:r>
      <w:proofErr w:type="spellEnd"/>
      <w:r w:rsidR="00F049DE" w:rsidRPr="00F049DE">
        <w:rPr>
          <w:rStyle w:val="italico"/>
          <w:rFonts w:ascii="Times New Roman" w:hAnsi="Times New Roman" w:cs="Times New Roman"/>
          <w:iCs/>
          <w:sz w:val="24"/>
          <w:szCs w:val="24"/>
        </w:rPr>
        <w:t xml:space="preserve"> </w:t>
      </w:r>
      <w:proofErr w:type="spellStart"/>
      <w:r w:rsidR="00F049DE" w:rsidRPr="00F049DE">
        <w:rPr>
          <w:rStyle w:val="italico"/>
          <w:rFonts w:ascii="Times New Roman" w:hAnsi="Times New Roman" w:cs="Times New Roman"/>
          <w:iCs/>
          <w:sz w:val="24"/>
          <w:szCs w:val="24"/>
        </w:rPr>
        <w:t>manu</w:t>
      </w:r>
      <w:proofErr w:type="spellEnd"/>
      <w:r>
        <w:rPr>
          <w:rFonts w:ascii="Times New Roman" w:hAnsi="Times New Roman" w:cs="Times New Roman"/>
          <w:sz w:val="24"/>
          <w:szCs w:val="24"/>
        </w:rPr>
        <w:t xml:space="preserve">, pois ele </w:t>
      </w:r>
      <w:r w:rsidR="00F049DE" w:rsidRPr="00F049DE">
        <w:rPr>
          <w:rFonts w:ascii="Times New Roman" w:hAnsi="Times New Roman" w:cs="Times New Roman"/>
          <w:sz w:val="24"/>
          <w:szCs w:val="24"/>
        </w:rPr>
        <w:t>possuía em nome alheio</w:t>
      </w:r>
      <w:r>
        <w:rPr>
          <w:rFonts w:ascii="Times New Roman" w:hAnsi="Times New Roman" w:cs="Times New Roman"/>
          <w:sz w:val="24"/>
          <w:szCs w:val="24"/>
        </w:rPr>
        <w:t xml:space="preserve"> e</w:t>
      </w:r>
      <w:r w:rsidR="00F049DE" w:rsidRPr="00F049DE">
        <w:rPr>
          <w:rFonts w:ascii="Times New Roman" w:hAnsi="Times New Roman" w:cs="Times New Roman"/>
          <w:sz w:val="24"/>
          <w:szCs w:val="24"/>
        </w:rPr>
        <w:t xml:space="preserve"> agora possui em nome próprio.</w:t>
      </w:r>
      <w:r>
        <w:rPr>
          <w:rFonts w:ascii="Times New Roman" w:hAnsi="Times New Roman" w:cs="Times New Roman"/>
          <w:sz w:val="24"/>
          <w:szCs w:val="24"/>
        </w:rPr>
        <w:t xml:space="preserve"> </w:t>
      </w:r>
    </w:p>
    <w:p w14:paraId="53A35A60" w14:textId="6DD60FCE" w:rsidR="00F049DE" w:rsidRPr="00F049DE" w:rsidRDefault="00BF45D8" w:rsidP="00BF45D8">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Todavia, q</w:t>
      </w:r>
      <w:r w:rsidR="00F049DE" w:rsidRPr="00F049DE">
        <w:rPr>
          <w:rFonts w:ascii="Times New Roman" w:hAnsi="Times New Roman" w:cs="Times New Roman"/>
          <w:spacing w:val="-2"/>
          <w:sz w:val="24"/>
          <w:szCs w:val="24"/>
        </w:rPr>
        <w:t>uando o vício, por sua natureza, só puder ser conhecido mais tarde</w:t>
      </w:r>
      <w:r>
        <w:rPr>
          <w:rFonts w:ascii="Times New Roman" w:hAnsi="Times New Roman" w:cs="Times New Roman"/>
          <w:spacing w:val="-2"/>
          <w:sz w:val="24"/>
          <w:szCs w:val="24"/>
        </w:rPr>
        <w:t xml:space="preserve">, consoante o </w:t>
      </w:r>
      <w:r w:rsidR="00F049DE" w:rsidRPr="00F049DE">
        <w:rPr>
          <w:rFonts w:ascii="Times New Roman" w:hAnsi="Times New Roman" w:cs="Times New Roman"/>
          <w:spacing w:val="-2"/>
          <w:sz w:val="24"/>
          <w:szCs w:val="24"/>
        </w:rPr>
        <w:t>art. 445, § 1.º, do C</w:t>
      </w:r>
      <w:r>
        <w:rPr>
          <w:rFonts w:ascii="Times New Roman" w:hAnsi="Times New Roman" w:cs="Times New Roman"/>
          <w:spacing w:val="-2"/>
          <w:sz w:val="24"/>
          <w:szCs w:val="24"/>
        </w:rPr>
        <w:t xml:space="preserve">ódigo Civil, o </w:t>
      </w:r>
      <w:r w:rsidR="00F049DE" w:rsidRPr="00F049DE">
        <w:rPr>
          <w:rFonts w:ascii="Times New Roman" w:hAnsi="Times New Roman" w:cs="Times New Roman"/>
          <w:spacing w:val="-2"/>
          <w:sz w:val="24"/>
          <w:szCs w:val="24"/>
        </w:rPr>
        <w:t>praz</w:t>
      </w:r>
      <w:r w:rsidR="00F049DE" w:rsidRPr="00F049DE">
        <w:rPr>
          <w:rFonts w:ascii="Times New Roman" w:hAnsi="Times New Roman" w:cs="Times New Roman"/>
          <w:sz w:val="24"/>
          <w:szCs w:val="24"/>
        </w:rPr>
        <w:t>o contar-se-á do momento em que dele tiver ciência, até o prazo máximo de cento e oitenta dias, em se tratando de bens móveis; e de um ano, para os imóveis.</w:t>
      </w:r>
      <w:r>
        <w:rPr>
          <w:rFonts w:ascii="Times New Roman" w:hAnsi="Times New Roman" w:cs="Times New Roman"/>
          <w:sz w:val="24"/>
          <w:szCs w:val="24"/>
        </w:rPr>
        <w:t xml:space="preserve"> </w:t>
      </w:r>
    </w:p>
    <w:p w14:paraId="07D5DB59" w14:textId="2F424D33" w:rsidR="00F049DE" w:rsidRPr="00F049DE" w:rsidRDefault="00BF45D8" w:rsidP="00F049DE">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Essas normas quanto aos prazos são confusas e geraram muito</w:t>
      </w:r>
      <w:r w:rsidR="007B2E42">
        <w:rPr>
          <w:rFonts w:ascii="Times New Roman" w:hAnsi="Times New Roman" w:cs="Times New Roman"/>
          <w:sz w:val="24"/>
          <w:szCs w:val="24"/>
        </w:rPr>
        <w:t>s</w:t>
      </w:r>
      <w:r>
        <w:rPr>
          <w:rFonts w:ascii="Times New Roman" w:hAnsi="Times New Roman" w:cs="Times New Roman"/>
          <w:sz w:val="24"/>
          <w:szCs w:val="24"/>
        </w:rPr>
        <w:t xml:space="preserve"> debate</w:t>
      </w:r>
      <w:r w:rsidR="007B2E42">
        <w:rPr>
          <w:rFonts w:ascii="Times New Roman" w:hAnsi="Times New Roman" w:cs="Times New Roman"/>
          <w:sz w:val="24"/>
          <w:szCs w:val="24"/>
        </w:rPr>
        <w:t>s</w:t>
      </w:r>
      <w:r>
        <w:rPr>
          <w:rFonts w:ascii="Times New Roman" w:hAnsi="Times New Roman" w:cs="Times New Roman"/>
          <w:sz w:val="24"/>
          <w:szCs w:val="24"/>
        </w:rPr>
        <w:t xml:space="preserve"> e incertezas nos mais de vinte anos de vigência do Código Civil. A propósito dessa afirmação, q</w:t>
      </w:r>
      <w:r w:rsidR="00F049DE" w:rsidRPr="00F049DE">
        <w:rPr>
          <w:rFonts w:ascii="Times New Roman" w:hAnsi="Times New Roman" w:cs="Times New Roman"/>
          <w:sz w:val="24"/>
          <w:szCs w:val="24"/>
        </w:rPr>
        <w:t xml:space="preserve">uando da </w:t>
      </w:r>
      <w:r w:rsidR="00F049DE" w:rsidRPr="00F049DE">
        <w:rPr>
          <w:rStyle w:val="italico"/>
          <w:rFonts w:ascii="Times New Roman" w:hAnsi="Times New Roman" w:cs="Times New Roman"/>
          <w:iCs/>
          <w:sz w:val="24"/>
          <w:szCs w:val="24"/>
        </w:rPr>
        <w:t xml:space="preserve">III Jornada de Direito Civil, </w:t>
      </w:r>
      <w:r w:rsidR="00F049DE" w:rsidRPr="00F049DE">
        <w:rPr>
          <w:rFonts w:ascii="Times New Roman" w:hAnsi="Times New Roman" w:cs="Times New Roman"/>
          <w:sz w:val="24"/>
          <w:szCs w:val="24"/>
        </w:rPr>
        <w:t>do Conselho da Justiça Federal e do Superior Tribunal de</w:t>
      </w:r>
      <w:r w:rsidR="00F049DE" w:rsidRPr="00F049DE">
        <w:rPr>
          <w:rStyle w:val="italico"/>
          <w:rFonts w:ascii="Times New Roman" w:hAnsi="Times New Roman" w:cs="Times New Roman"/>
          <w:iCs/>
          <w:sz w:val="24"/>
          <w:szCs w:val="24"/>
        </w:rPr>
        <w:t xml:space="preserve"> </w:t>
      </w:r>
      <w:r w:rsidR="00F049DE" w:rsidRPr="00F049DE">
        <w:rPr>
          <w:rFonts w:ascii="Times New Roman" w:hAnsi="Times New Roman" w:cs="Times New Roman"/>
          <w:sz w:val="24"/>
          <w:szCs w:val="24"/>
        </w:rPr>
        <w:t xml:space="preserve">Justiça, foi aprovado o Enunciado n. 174, com </w:t>
      </w:r>
      <w:r w:rsidR="007B2E42">
        <w:rPr>
          <w:rFonts w:ascii="Times New Roman" w:hAnsi="Times New Roman" w:cs="Times New Roman"/>
          <w:sz w:val="24"/>
          <w:szCs w:val="24"/>
        </w:rPr>
        <w:t xml:space="preserve">conteúdo muito </w:t>
      </w:r>
      <w:r w:rsidR="00F049DE" w:rsidRPr="00F049DE">
        <w:rPr>
          <w:rFonts w:ascii="Times New Roman" w:hAnsi="Times New Roman" w:cs="Times New Roman"/>
          <w:sz w:val="24"/>
          <w:szCs w:val="24"/>
        </w:rPr>
        <w:t xml:space="preserve">controvertido, a saber: “em se tratando de vício oculto, o adquirente tem os prazos do </w:t>
      </w:r>
      <w:r w:rsidR="00F049DE" w:rsidRPr="00F049DE">
        <w:rPr>
          <w:rStyle w:val="italico"/>
          <w:rFonts w:ascii="Times New Roman" w:hAnsi="Times New Roman" w:cs="Times New Roman"/>
          <w:iCs/>
          <w:sz w:val="24"/>
          <w:szCs w:val="24"/>
        </w:rPr>
        <w:t>caput</w:t>
      </w:r>
      <w:r w:rsidR="00F049DE" w:rsidRPr="00F049DE">
        <w:rPr>
          <w:rFonts w:ascii="Times New Roman" w:hAnsi="Times New Roman" w:cs="Times New Roman"/>
          <w:sz w:val="24"/>
          <w:szCs w:val="24"/>
        </w:rPr>
        <w:t xml:space="preserve"> do art. 445 para obter redibição ou abatimento de preço, desde que os vícios se revelem nos prazos estabelecidos no parágrafo primeiro, fluindo, entretanto, a partir do conhecimento do defeito”. </w:t>
      </w:r>
    </w:p>
    <w:p w14:paraId="3C3CA9EE" w14:textId="77777777" w:rsidR="008D391A" w:rsidRDefault="00F049DE" w:rsidP="00F049DE">
      <w:pPr>
        <w:pStyle w:val="t"/>
        <w:spacing w:before="120" w:after="120" w:line="360" w:lineRule="auto"/>
        <w:ind w:firstLine="1701"/>
        <w:rPr>
          <w:rFonts w:ascii="Times New Roman" w:hAnsi="Times New Roman" w:cs="Times New Roman"/>
          <w:sz w:val="24"/>
          <w:szCs w:val="24"/>
        </w:rPr>
      </w:pPr>
      <w:r w:rsidRPr="00F049DE">
        <w:rPr>
          <w:rFonts w:ascii="Times New Roman" w:hAnsi="Times New Roman" w:cs="Times New Roman"/>
          <w:sz w:val="24"/>
          <w:szCs w:val="24"/>
        </w:rPr>
        <w:t>Esclarecendo o teor d</w:t>
      </w:r>
      <w:r w:rsidR="00BF45D8">
        <w:rPr>
          <w:rFonts w:ascii="Times New Roman" w:hAnsi="Times New Roman" w:cs="Times New Roman"/>
          <w:sz w:val="24"/>
          <w:szCs w:val="24"/>
        </w:rPr>
        <w:t>esse</w:t>
      </w:r>
      <w:r w:rsidRPr="00F049DE">
        <w:rPr>
          <w:rFonts w:ascii="Times New Roman" w:hAnsi="Times New Roman" w:cs="Times New Roman"/>
          <w:sz w:val="24"/>
          <w:szCs w:val="24"/>
        </w:rPr>
        <w:t xml:space="preserve"> enunciado doutrinário, ele está prevendo que, nos casos de vícios ocultos, o adquirente terá contra si os prazos de </w:t>
      </w:r>
      <w:r w:rsidR="00BF45D8">
        <w:rPr>
          <w:rFonts w:ascii="Times New Roman" w:hAnsi="Times New Roman" w:cs="Times New Roman"/>
          <w:sz w:val="24"/>
          <w:szCs w:val="24"/>
        </w:rPr>
        <w:t>trinta</w:t>
      </w:r>
      <w:r w:rsidRPr="00F049DE">
        <w:rPr>
          <w:rFonts w:ascii="Times New Roman" w:hAnsi="Times New Roman" w:cs="Times New Roman"/>
          <w:sz w:val="24"/>
          <w:szCs w:val="24"/>
        </w:rPr>
        <w:t xml:space="preserve"> dias para móveis e</w:t>
      </w:r>
      <w:r w:rsidR="00276D6A">
        <w:rPr>
          <w:rFonts w:ascii="Times New Roman" w:hAnsi="Times New Roman" w:cs="Times New Roman"/>
          <w:sz w:val="24"/>
          <w:szCs w:val="24"/>
        </w:rPr>
        <w:t xml:space="preserve"> de</w:t>
      </w:r>
      <w:r w:rsidRPr="00F049DE">
        <w:rPr>
          <w:rFonts w:ascii="Times New Roman" w:hAnsi="Times New Roman" w:cs="Times New Roman"/>
          <w:sz w:val="24"/>
          <w:szCs w:val="24"/>
        </w:rPr>
        <w:t xml:space="preserve"> </w:t>
      </w:r>
      <w:r w:rsidR="00BF45D8">
        <w:rPr>
          <w:rFonts w:ascii="Times New Roman" w:hAnsi="Times New Roman" w:cs="Times New Roman"/>
          <w:sz w:val="24"/>
          <w:szCs w:val="24"/>
        </w:rPr>
        <w:t>um</w:t>
      </w:r>
      <w:r w:rsidRPr="00F049DE">
        <w:rPr>
          <w:rFonts w:ascii="Times New Roman" w:hAnsi="Times New Roman" w:cs="Times New Roman"/>
          <w:sz w:val="24"/>
          <w:szCs w:val="24"/>
        </w:rPr>
        <w:t xml:space="preserve"> ano para imóveis (art. 445, </w:t>
      </w:r>
      <w:r w:rsidRPr="00F049DE">
        <w:rPr>
          <w:rStyle w:val="italico"/>
          <w:rFonts w:ascii="Times New Roman" w:hAnsi="Times New Roman" w:cs="Times New Roman"/>
          <w:iCs/>
          <w:sz w:val="24"/>
          <w:szCs w:val="24"/>
        </w:rPr>
        <w:t>caput,</w:t>
      </w:r>
      <w:r w:rsidRPr="00F049DE">
        <w:rPr>
          <w:rFonts w:ascii="Times New Roman" w:hAnsi="Times New Roman" w:cs="Times New Roman"/>
          <w:sz w:val="24"/>
          <w:szCs w:val="24"/>
        </w:rPr>
        <w:t xml:space="preserve"> do CC), desde que os vícios surjam nos prazos de </w:t>
      </w:r>
      <w:r w:rsidR="00BF45D8">
        <w:rPr>
          <w:rFonts w:ascii="Times New Roman" w:hAnsi="Times New Roman" w:cs="Times New Roman"/>
          <w:sz w:val="24"/>
          <w:szCs w:val="24"/>
        </w:rPr>
        <w:t>cento</w:t>
      </w:r>
      <w:r w:rsidRPr="00F049DE">
        <w:rPr>
          <w:rFonts w:ascii="Times New Roman" w:hAnsi="Times New Roman" w:cs="Times New Roman"/>
          <w:sz w:val="24"/>
          <w:szCs w:val="24"/>
        </w:rPr>
        <w:t xml:space="preserve"> </w:t>
      </w:r>
      <w:r w:rsidR="00C94ADB">
        <w:rPr>
          <w:rFonts w:ascii="Times New Roman" w:hAnsi="Times New Roman" w:cs="Times New Roman"/>
          <w:sz w:val="24"/>
          <w:szCs w:val="24"/>
        </w:rPr>
        <w:t xml:space="preserve">e  oitenta </w:t>
      </w:r>
      <w:r w:rsidRPr="00F049DE">
        <w:rPr>
          <w:rFonts w:ascii="Times New Roman" w:hAnsi="Times New Roman" w:cs="Times New Roman"/>
          <w:sz w:val="24"/>
          <w:szCs w:val="24"/>
        </w:rPr>
        <w:t>dias para móveis e</w:t>
      </w:r>
      <w:r w:rsidR="00276D6A">
        <w:rPr>
          <w:rFonts w:ascii="Times New Roman" w:hAnsi="Times New Roman" w:cs="Times New Roman"/>
          <w:sz w:val="24"/>
          <w:szCs w:val="24"/>
        </w:rPr>
        <w:t xml:space="preserve"> de</w:t>
      </w:r>
      <w:r w:rsidRPr="00F049DE">
        <w:rPr>
          <w:rFonts w:ascii="Times New Roman" w:hAnsi="Times New Roman" w:cs="Times New Roman"/>
          <w:sz w:val="24"/>
          <w:szCs w:val="24"/>
        </w:rPr>
        <w:t xml:space="preserve"> </w:t>
      </w:r>
      <w:r w:rsidR="00BF45D8">
        <w:rPr>
          <w:rFonts w:ascii="Times New Roman" w:hAnsi="Times New Roman" w:cs="Times New Roman"/>
          <w:sz w:val="24"/>
          <w:szCs w:val="24"/>
        </w:rPr>
        <w:t>um</w:t>
      </w:r>
      <w:r w:rsidRPr="00F049DE">
        <w:rPr>
          <w:rFonts w:ascii="Times New Roman" w:hAnsi="Times New Roman" w:cs="Times New Roman"/>
          <w:sz w:val="24"/>
          <w:szCs w:val="24"/>
        </w:rPr>
        <w:t xml:space="preserve"> ano para imóveis (art. 445, § 1.º, do CC), a contar da aquisição desses bens. </w:t>
      </w:r>
    </w:p>
    <w:p w14:paraId="324C979C" w14:textId="612AA65A" w:rsidR="00F049DE" w:rsidRPr="00F049DE" w:rsidRDefault="00BF45D8" w:rsidP="00F049DE">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Seguindo essa linha de interpretação das normas, a</w:t>
      </w:r>
      <w:r w:rsidR="00F049DE" w:rsidRPr="00F049DE">
        <w:rPr>
          <w:rFonts w:ascii="Times New Roman" w:hAnsi="Times New Roman" w:cs="Times New Roman"/>
          <w:sz w:val="24"/>
          <w:szCs w:val="24"/>
        </w:rPr>
        <w:t>o final de 2014, surgiu decisão do Superior Tribunal de Justiça aplicando esse enunciado, sendo pertinente transcrever sua breve e objetiva ementa</w:t>
      </w:r>
      <w:r>
        <w:rPr>
          <w:rFonts w:ascii="Times New Roman" w:hAnsi="Times New Roman" w:cs="Times New Roman"/>
          <w:sz w:val="24"/>
          <w:szCs w:val="24"/>
        </w:rPr>
        <w:t>, que orientou e ainda orienta outros acórdãos estaduais</w:t>
      </w:r>
      <w:r w:rsidR="00F049DE" w:rsidRPr="00F049DE">
        <w:rPr>
          <w:rFonts w:ascii="Times New Roman" w:hAnsi="Times New Roman" w:cs="Times New Roman"/>
          <w:sz w:val="24"/>
          <w:szCs w:val="24"/>
        </w:rPr>
        <w:t xml:space="preserve">: </w:t>
      </w:r>
    </w:p>
    <w:p w14:paraId="3F6110F1" w14:textId="77777777" w:rsidR="00F049DE" w:rsidRPr="00BF45D8" w:rsidRDefault="00F049DE" w:rsidP="00BF45D8">
      <w:pPr>
        <w:pStyle w:val="recmenor"/>
        <w:spacing w:before="120" w:after="120" w:line="360" w:lineRule="auto"/>
        <w:ind w:left="567"/>
        <w:rPr>
          <w:rFonts w:ascii="Times New Roman" w:hAnsi="Times New Roman" w:cs="Times New Roman"/>
          <w:sz w:val="22"/>
          <w:szCs w:val="22"/>
        </w:rPr>
      </w:pPr>
      <w:r w:rsidRPr="00F049DE">
        <w:rPr>
          <w:rFonts w:ascii="Times New Roman" w:hAnsi="Times New Roman" w:cs="Times New Roman"/>
          <w:sz w:val="24"/>
          <w:szCs w:val="24"/>
        </w:rPr>
        <w:t>“</w:t>
      </w:r>
      <w:r w:rsidRPr="00BF45D8">
        <w:rPr>
          <w:rFonts w:ascii="Times New Roman" w:hAnsi="Times New Roman" w:cs="Times New Roman"/>
          <w:sz w:val="22"/>
          <w:szCs w:val="22"/>
        </w:rPr>
        <w:t xml:space="preserve">Recurso especial. Vício redibitório. Bem móvel. Prazo decadencial. Art. 445 do Código Civil. 1. O prazo decadencial para o exercício da pretensão redibitória ou de abatimento do preço de bem móvel é de 30 dias (art. 445 do CC). Caso o vício, por sua natureza, somente possa ser conhecido mais tarde, o § 1.º do art. 445 estabelece, em se tratando de coisa móvel, o prazo máximo de 180 dias para que se revele, correndo o prazo decadencial de 30 dias a partir de sua ciência. 2. Recurso especial a que se nega provimento” (STJ, REsp 1.095.882/SP, 4.ª Turma, Rel. Min. Maria Isabel Gallotti, j. 09.12.2014, </w:t>
      </w:r>
      <w:r w:rsidRPr="00BF45D8">
        <w:rPr>
          <w:rStyle w:val="italico"/>
          <w:rFonts w:ascii="Times New Roman" w:hAnsi="Times New Roman" w:cs="Times New Roman"/>
          <w:iCs/>
          <w:sz w:val="22"/>
          <w:szCs w:val="22"/>
        </w:rPr>
        <w:t>DJe</w:t>
      </w:r>
      <w:r w:rsidRPr="00BF45D8">
        <w:rPr>
          <w:rFonts w:ascii="Times New Roman" w:hAnsi="Times New Roman" w:cs="Times New Roman"/>
          <w:sz w:val="22"/>
          <w:szCs w:val="22"/>
        </w:rPr>
        <w:t xml:space="preserve"> 19.12.2014).</w:t>
      </w:r>
    </w:p>
    <w:p w14:paraId="77B521FD" w14:textId="776608AE" w:rsidR="00F049DE" w:rsidRPr="00F049DE" w:rsidRDefault="00BF45D8" w:rsidP="00F049DE">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Com o devido respeito, não concordo </w:t>
      </w:r>
      <w:r w:rsidR="008D391A">
        <w:rPr>
          <w:rFonts w:ascii="Times New Roman" w:hAnsi="Times New Roman" w:cs="Times New Roman"/>
          <w:sz w:val="24"/>
          <w:szCs w:val="24"/>
        </w:rPr>
        <w:t xml:space="preserve">doutrinariamente </w:t>
      </w:r>
      <w:r>
        <w:rPr>
          <w:rFonts w:ascii="Times New Roman" w:hAnsi="Times New Roman" w:cs="Times New Roman"/>
          <w:sz w:val="24"/>
          <w:szCs w:val="24"/>
        </w:rPr>
        <w:t>com essa solução, no sistema atual. Para ilustrar alguns dos seus problemas, i</w:t>
      </w:r>
      <w:r w:rsidR="00F049DE" w:rsidRPr="00F049DE">
        <w:rPr>
          <w:rFonts w:ascii="Times New Roman" w:hAnsi="Times New Roman" w:cs="Times New Roman"/>
          <w:sz w:val="24"/>
          <w:szCs w:val="24"/>
        </w:rPr>
        <w:t xml:space="preserve">magine-se a situação em que alguém vende um imóvel </w:t>
      </w:r>
      <w:r w:rsidR="00F049DE" w:rsidRPr="00F049DE">
        <w:rPr>
          <w:rStyle w:val="italico"/>
          <w:rFonts w:ascii="Times New Roman" w:hAnsi="Times New Roman" w:cs="Times New Roman"/>
          <w:iCs/>
          <w:sz w:val="24"/>
          <w:szCs w:val="24"/>
        </w:rPr>
        <w:t xml:space="preserve">mascarando </w:t>
      </w:r>
      <w:r w:rsidR="00F049DE" w:rsidRPr="00F049DE">
        <w:rPr>
          <w:rFonts w:ascii="Times New Roman" w:hAnsi="Times New Roman" w:cs="Times New Roman"/>
          <w:sz w:val="24"/>
          <w:szCs w:val="24"/>
        </w:rPr>
        <w:t>um problema no encanamento, que somente estourará depois de um ano e meio da venda. Ora, seria ilógico pensar que não cabe a alegação de vício redibitório, principalmente levando-se em conta que um dos princípios contratuais do Código</w:t>
      </w:r>
      <w:r>
        <w:rPr>
          <w:rFonts w:ascii="Times New Roman" w:hAnsi="Times New Roman" w:cs="Times New Roman"/>
          <w:sz w:val="24"/>
          <w:szCs w:val="24"/>
        </w:rPr>
        <w:t xml:space="preserve"> Civil</w:t>
      </w:r>
      <w:r w:rsidR="00F049DE" w:rsidRPr="00F049DE">
        <w:rPr>
          <w:rFonts w:ascii="Times New Roman" w:hAnsi="Times New Roman" w:cs="Times New Roman"/>
          <w:sz w:val="24"/>
          <w:szCs w:val="24"/>
        </w:rPr>
        <w:t xml:space="preserve"> de 2002 é a boa-fé objetiva. </w:t>
      </w:r>
      <w:r w:rsidR="007B2E42">
        <w:rPr>
          <w:rFonts w:ascii="Times New Roman" w:hAnsi="Times New Roman" w:cs="Times New Roman"/>
          <w:sz w:val="24"/>
          <w:szCs w:val="24"/>
        </w:rPr>
        <w:t xml:space="preserve">Em casos tais, penso eu, outras circunstâncias devem ser consideradas. </w:t>
      </w:r>
    </w:p>
    <w:p w14:paraId="7AE5DF9E" w14:textId="0497C38A" w:rsidR="00F049DE" w:rsidRPr="00F049DE" w:rsidRDefault="00F049DE" w:rsidP="00F049DE">
      <w:pPr>
        <w:pStyle w:val="t"/>
        <w:spacing w:before="120" w:after="120" w:line="360" w:lineRule="auto"/>
        <w:ind w:firstLine="1701"/>
        <w:rPr>
          <w:rFonts w:ascii="Times New Roman" w:hAnsi="Times New Roman" w:cs="Times New Roman"/>
          <w:sz w:val="24"/>
          <w:szCs w:val="24"/>
        </w:rPr>
      </w:pPr>
      <w:r w:rsidRPr="00F049DE">
        <w:rPr>
          <w:rFonts w:ascii="Times New Roman" w:hAnsi="Times New Roman" w:cs="Times New Roman"/>
          <w:sz w:val="24"/>
          <w:szCs w:val="24"/>
        </w:rPr>
        <w:t xml:space="preserve">Em síntese, mesmo respeitando o teor do enunciado doutrinário, a ele não me filio, pois é confuso metodologicamente, podendo gerar </w:t>
      </w:r>
      <w:r w:rsidR="00BF45D8">
        <w:rPr>
          <w:rFonts w:ascii="Times New Roman" w:hAnsi="Times New Roman" w:cs="Times New Roman"/>
          <w:sz w:val="24"/>
          <w:szCs w:val="24"/>
        </w:rPr>
        <w:t xml:space="preserve">injustas </w:t>
      </w:r>
      <w:r w:rsidRPr="00F049DE">
        <w:rPr>
          <w:rFonts w:ascii="Times New Roman" w:hAnsi="Times New Roman" w:cs="Times New Roman"/>
          <w:sz w:val="24"/>
          <w:szCs w:val="24"/>
        </w:rPr>
        <w:t xml:space="preserve">implicações de ordem prática no caso de sua </w:t>
      </w:r>
      <w:r w:rsidR="007B2E42">
        <w:rPr>
          <w:rFonts w:ascii="Times New Roman" w:hAnsi="Times New Roman" w:cs="Times New Roman"/>
          <w:sz w:val="24"/>
          <w:szCs w:val="24"/>
        </w:rPr>
        <w:t>incidência</w:t>
      </w:r>
      <w:r w:rsidRPr="00F049DE">
        <w:rPr>
          <w:rFonts w:ascii="Times New Roman" w:hAnsi="Times New Roman" w:cs="Times New Roman"/>
          <w:sz w:val="24"/>
          <w:szCs w:val="24"/>
        </w:rPr>
        <w:t xml:space="preserve">. Em conclusão, </w:t>
      </w:r>
      <w:r w:rsidR="007B2E42">
        <w:rPr>
          <w:rFonts w:ascii="Times New Roman" w:hAnsi="Times New Roman" w:cs="Times New Roman"/>
          <w:sz w:val="24"/>
          <w:szCs w:val="24"/>
        </w:rPr>
        <w:t xml:space="preserve">entendo </w:t>
      </w:r>
      <w:r w:rsidRPr="00F049DE">
        <w:rPr>
          <w:rFonts w:ascii="Times New Roman" w:hAnsi="Times New Roman" w:cs="Times New Roman"/>
          <w:sz w:val="24"/>
          <w:szCs w:val="24"/>
        </w:rPr>
        <w:t>que os dois comandos legais previstos na ementa do Enunciado n. 174 não se complementam, tendo aplicação isolada de acordo com o tipo de vício no caso concreto</w:t>
      </w:r>
      <w:r w:rsidR="00BF45D8">
        <w:rPr>
          <w:rFonts w:ascii="Times New Roman" w:hAnsi="Times New Roman" w:cs="Times New Roman"/>
          <w:sz w:val="24"/>
          <w:szCs w:val="24"/>
        </w:rPr>
        <w:t xml:space="preserve">, até porque estão em parágrafos totalmente </w:t>
      </w:r>
      <w:r w:rsidR="007B2E42">
        <w:rPr>
          <w:rFonts w:ascii="Times New Roman" w:hAnsi="Times New Roman" w:cs="Times New Roman"/>
          <w:sz w:val="24"/>
          <w:szCs w:val="24"/>
        </w:rPr>
        <w:t xml:space="preserve">desconectados. </w:t>
      </w:r>
      <w:r w:rsidRPr="00F049DE">
        <w:rPr>
          <w:rFonts w:ascii="Times New Roman" w:hAnsi="Times New Roman" w:cs="Times New Roman"/>
          <w:sz w:val="24"/>
          <w:szCs w:val="24"/>
        </w:rPr>
        <w:t xml:space="preserve"> </w:t>
      </w:r>
    </w:p>
    <w:p w14:paraId="5FC0A237" w14:textId="74AB0D81" w:rsidR="00F049DE" w:rsidRPr="00F049DE" w:rsidRDefault="00F049DE" w:rsidP="00F049DE">
      <w:pPr>
        <w:pStyle w:val="t"/>
        <w:spacing w:before="120" w:after="120" w:line="360" w:lineRule="auto"/>
        <w:ind w:firstLine="1701"/>
        <w:rPr>
          <w:rFonts w:ascii="Times New Roman" w:hAnsi="Times New Roman" w:cs="Times New Roman"/>
          <w:sz w:val="24"/>
          <w:szCs w:val="24"/>
        </w:rPr>
      </w:pPr>
      <w:r w:rsidRPr="00F049DE">
        <w:rPr>
          <w:rFonts w:ascii="Times New Roman" w:hAnsi="Times New Roman" w:cs="Times New Roman"/>
          <w:sz w:val="24"/>
          <w:szCs w:val="24"/>
        </w:rPr>
        <w:t>A propósito</w:t>
      </w:r>
      <w:r w:rsidR="007B2E42">
        <w:rPr>
          <w:rFonts w:ascii="Times New Roman" w:hAnsi="Times New Roman" w:cs="Times New Roman"/>
          <w:sz w:val="24"/>
          <w:szCs w:val="24"/>
        </w:rPr>
        <w:t xml:space="preserve"> dessas minhas afirmações</w:t>
      </w:r>
      <w:r w:rsidRPr="00F049DE">
        <w:rPr>
          <w:rFonts w:ascii="Times New Roman" w:hAnsi="Times New Roman" w:cs="Times New Roman"/>
          <w:sz w:val="24"/>
          <w:szCs w:val="24"/>
        </w:rPr>
        <w:t>, com relação a bens imóveis, igualmente no âmbito do Superior Tribunal de Justiça há um outro aresto mais remoto, que traz interpretação diferente, e por mim seguida, apesar de se referir ao Código Civil de 1916. Trata-se do julgamento do Recurso Especial 431.353/SP, analisado pela Segunda Seção da Corte, e que foi assim resumido:</w:t>
      </w:r>
    </w:p>
    <w:p w14:paraId="7C1BEE85" w14:textId="77777777" w:rsidR="00F049DE" w:rsidRPr="00BF45D8" w:rsidRDefault="00F049DE" w:rsidP="00BF45D8">
      <w:pPr>
        <w:pStyle w:val="recmenor"/>
        <w:spacing w:before="120" w:after="120" w:line="360" w:lineRule="auto"/>
        <w:ind w:left="567"/>
        <w:rPr>
          <w:rFonts w:ascii="Times New Roman" w:hAnsi="Times New Roman" w:cs="Times New Roman"/>
          <w:sz w:val="22"/>
          <w:szCs w:val="22"/>
        </w:rPr>
      </w:pPr>
      <w:r w:rsidRPr="00BF45D8">
        <w:rPr>
          <w:rFonts w:ascii="Times New Roman" w:hAnsi="Times New Roman" w:cs="Times New Roman"/>
          <w:sz w:val="22"/>
          <w:szCs w:val="22"/>
        </w:rPr>
        <w:t xml:space="preserve">“Embargos de divergência no recurso especial. Admissibilidade. Compromisso de compra e venda. Possibilidade de rescisão fundada em vício redibitório. Prescrição. Termo inicial. Data do conhecimento do vício oculto. Se o vício, por sua natureza, não podia ser percebido no ato da tradição, o prazo, estabelecido no art. 178, § 5.º, inc. IV, do CC de 1916, para ajuizar ação reclamando o defeito conta-se do momento que o adquirente do bem toma conhecimento de sua existência, prevalecendo o entendimento dominante na Terceira Turma (REsp n. 489.867/SP, de minha relatoria, pub. no </w:t>
      </w:r>
      <w:r w:rsidRPr="00BF45D8">
        <w:rPr>
          <w:rStyle w:val="italico"/>
          <w:rFonts w:ascii="Times New Roman" w:hAnsi="Times New Roman" w:cs="Times New Roman"/>
          <w:iCs/>
          <w:sz w:val="22"/>
          <w:szCs w:val="22"/>
        </w:rPr>
        <w:t>DJ</w:t>
      </w:r>
      <w:r w:rsidRPr="00BF45D8">
        <w:rPr>
          <w:rFonts w:ascii="Times New Roman" w:hAnsi="Times New Roman" w:cs="Times New Roman"/>
          <w:sz w:val="22"/>
          <w:szCs w:val="22"/>
        </w:rPr>
        <w:t xml:space="preserve"> de 23.06.2003). Dado provimento aos embargos de divergência” (STJ, EREsp 431.353/SP, 2.ª Seção, Rel. Min. Nancy Andrighi, j. 23.02.2005, </w:t>
      </w:r>
      <w:r w:rsidRPr="00BF45D8">
        <w:rPr>
          <w:rStyle w:val="italico"/>
          <w:rFonts w:ascii="Times New Roman" w:hAnsi="Times New Roman" w:cs="Times New Roman"/>
          <w:iCs/>
          <w:sz w:val="22"/>
          <w:szCs w:val="22"/>
        </w:rPr>
        <w:t>DJ</w:t>
      </w:r>
      <w:r w:rsidRPr="00BF45D8">
        <w:rPr>
          <w:rFonts w:ascii="Times New Roman" w:hAnsi="Times New Roman" w:cs="Times New Roman"/>
          <w:sz w:val="22"/>
          <w:szCs w:val="22"/>
        </w:rPr>
        <w:t xml:space="preserve"> 1.º.07.2005, p. 363). </w:t>
      </w:r>
    </w:p>
    <w:p w14:paraId="569A5CA6" w14:textId="3D77F4BB" w:rsidR="00F049DE" w:rsidRPr="00F049DE" w:rsidRDefault="00F049DE" w:rsidP="00F049DE">
      <w:pPr>
        <w:pStyle w:val="t"/>
        <w:spacing w:before="120" w:after="120" w:line="360" w:lineRule="auto"/>
        <w:ind w:firstLine="1701"/>
        <w:rPr>
          <w:rFonts w:ascii="Times New Roman" w:hAnsi="Times New Roman" w:cs="Times New Roman"/>
          <w:sz w:val="24"/>
          <w:szCs w:val="24"/>
        </w:rPr>
      </w:pPr>
      <w:r w:rsidRPr="00F049DE">
        <w:rPr>
          <w:rFonts w:ascii="Times New Roman" w:hAnsi="Times New Roman" w:cs="Times New Roman"/>
          <w:sz w:val="24"/>
          <w:szCs w:val="24"/>
        </w:rPr>
        <w:t>Trat</w:t>
      </w:r>
      <w:r w:rsidR="00BF45D8">
        <w:rPr>
          <w:rFonts w:ascii="Times New Roman" w:hAnsi="Times New Roman" w:cs="Times New Roman"/>
          <w:sz w:val="24"/>
          <w:szCs w:val="24"/>
        </w:rPr>
        <w:t>ou</w:t>
      </w:r>
      <w:r w:rsidRPr="00F049DE">
        <w:rPr>
          <w:rFonts w:ascii="Times New Roman" w:hAnsi="Times New Roman" w:cs="Times New Roman"/>
          <w:sz w:val="24"/>
          <w:szCs w:val="24"/>
        </w:rPr>
        <w:t>-se de um julgamento de pacificação do tema na Corte, decidido por maioria e com citação de outro precedente. Votaram com a Relatora os Ministros Castro Filho, Antônio de Pádua Ribeiro, Humberto Gomes de Barros e Jorge Scartezzini. Foram vencidos os Ministros Cesar Asfor Rocha, Fernando Gonçalves e Aldir Passarinho Junior, sendo a votação final 5 a 3. Os magistrados vencidos pretendiam afastar a aplicação da regra da contagem do prazo a partir da ciência do vício. No final do seu voto, conclui a Ministra Nancy Andrighi, citando a norma em debate: “a solução que ora se propõe visa proteger o direito de ação da parte lesada, considerando como termo inicial para o cômputo do prazo decadencial o momento em que efetivamente tomou conhecimento dos vícios até então ocultos. Esta, inclusive, foi a solução adotada pelo Código Civil/2002, que assim dispõe em seu art. 445, § 1.º (...)”.</w:t>
      </w:r>
    </w:p>
    <w:p w14:paraId="7AE141B7" w14:textId="1B6208A8" w:rsidR="00F049DE" w:rsidRPr="00F049DE" w:rsidRDefault="007B2E42" w:rsidP="00F049DE">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Assim, p</w:t>
      </w:r>
      <w:r w:rsidR="00BF45D8">
        <w:rPr>
          <w:rFonts w:ascii="Times New Roman" w:hAnsi="Times New Roman" w:cs="Times New Roman"/>
          <w:sz w:val="24"/>
          <w:szCs w:val="24"/>
        </w:rPr>
        <w:t xml:space="preserve">enso </w:t>
      </w:r>
      <w:r w:rsidR="00F049DE" w:rsidRPr="00F049DE">
        <w:rPr>
          <w:rFonts w:ascii="Times New Roman" w:hAnsi="Times New Roman" w:cs="Times New Roman"/>
          <w:sz w:val="24"/>
          <w:szCs w:val="24"/>
        </w:rPr>
        <w:t>haver divergência na Corte Superior</w:t>
      </w:r>
      <w:r w:rsidR="00BF45D8">
        <w:rPr>
          <w:rFonts w:ascii="Times New Roman" w:hAnsi="Times New Roman" w:cs="Times New Roman"/>
          <w:sz w:val="24"/>
          <w:szCs w:val="24"/>
        </w:rPr>
        <w:t xml:space="preserve"> a respeito do assunto</w:t>
      </w:r>
      <w:r w:rsidR="00F049DE" w:rsidRPr="00F049DE">
        <w:rPr>
          <w:rFonts w:ascii="Times New Roman" w:hAnsi="Times New Roman" w:cs="Times New Roman"/>
          <w:sz w:val="24"/>
          <w:szCs w:val="24"/>
        </w:rPr>
        <w:t xml:space="preserve">, com dois julgados em posições conflitantes: um mais remoto, que segue a interpretação por mim compartilhada quanto a imóveis, de que o início do prazo para alegar o vício deve ser contado da sua ciência; outro mais recente, que segue a interpretação do art. 445, § 1.º, do Código Civil, guiada pelo Enunciado n. 174 da </w:t>
      </w:r>
      <w:r w:rsidR="00F049DE" w:rsidRPr="00F049DE">
        <w:rPr>
          <w:rStyle w:val="italico"/>
          <w:rFonts w:ascii="Times New Roman" w:hAnsi="Times New Roman" w:cs="Times New Roman"/>
          <w:iCs/>
          <w:sz w:val="24"/>
          <w:szCs w:val="24"/>
        </w:rPr>
        <w:t>III Jornada de Direito Civil</w:t>
      </w:r>
      <w:r w:rsidR="00F049DE" w:rsidRPr="00F049DE">
        <w:rPr>
          <w:rFonts w:ascii="Times New Roman" w:hAnsi="Times New Roman" w:cs="Times New Roman"/>
          <w:sz w:val="24"/>
          <w:szCs w:val="24"/>
        </w:rPr>
        <w:t xml:space="preserve">. A divergência repete-se na doutrina. José Fernando Simão, Jones Figueirêdo Alves, Mário Luiz Delgado, Pablo Stolze e Rodolfo Pamplona </w:t>
      </w:r>
      <w:r w:rsidR="00BF45D8">
        <w:rPr>
          <w:rFonts w:ascii="Times New Roman" w:hAnsi="Times New Roman" w:cs="Times New Roman"/>
          <w:sz w:val="24"/>
          <w:szCs w:val="24"/>
        </w:rPr>
        <w:t xml:space="preserve">Filho </w:t>
      </w:r>
      <w:r w:rsidR="00F049DE" w:rsidRPr="00F049DE">
        <w:rPr>
          <w:rFonts w:ascii="Times New Roman" w:hAnsi="Times New Roman" w:cs="Times New Roman"/>
          <w:sz w:val="24"/>
          <w:szCs w:val="24"/>
        </w:rPr>
        <w:t>estão com a primeira corrente</w:t>
      </w:r>
      <w:r w:rsidR="00954C6F">
        <w:rPr>
          <w:rFonts w:ascii="Times New Roman" w:hAnsi="Times New Roman" w:cs="Times New Roman"/>
          <w:sz w:val="24"/>
          <w:szCs w:val="24"/>
        </w:rPr>
        <w:t>,</w:t>
      </w:r>
      <w:r w:rsidR="00954C6F" w:rsidRPr="00F049DE">
        <w:rPr>
          <w:rFonts w:ascii="Times New Roman" w:hAnsi="Times New Roman" w:cs="Times New Roman"/>
          <w:sz w:val="24"/>
          <w:szCs w:val="24"/>
        </w:rPr>
        <w:t xml:space="preserve"> </w:t>
      </w:r>
      <w:r w:rsidR="00F049DE" w:rsidRPr="00F049DE">
        <w:rPr>
          <w:rFonts w:ascii="Times New Roman" w:hAnsi="Times New Roman" w:cs="Times New Roman"/>
          <w:sz w:val="24"/>
          <w:szCs w:val="24"/>
        </w:rPr>
        <w:t xml:space="preserve">compartilhada por mim. Além dos autores já citados, Cristiano Chaves de Farias, Nelson Rosenvald e Marco Aurélio Bezerra de Melo perfilham-se ao enunciado doutrinário. </w:t>
      </w:r>
    </w:p>
    <w:p w14:paraId="2EA2FB86" w14:textId="1AF40BFA" w:rsidR="00F049DE" w:rsidRPr="00F049DE" w:rsidRDefault="00F049DE" w:rsidP="00F049DE">
      <w:pPr>
        <w:pStyle w:val="t"/>
        <w:spacing w:before="120" w:after="120" w:line="360" w:lineRule="auto"/>
        <w:ind w:firstLine="1701"/>
        <w:rPr>
          <w:rFonts w:ascii="Times New Roman" w:hAnsi="Times New Roman" w:cs="Times New Roman"/>
          <w:sz w:val="24"/>
          <w:szCs w:val="24"/>
        </w:rPr>
      </w:pPr>
      <w:r w:rsidRPr="00F049DE">
        <w:rPr>
          <w:rFonts w:ascii="Times New Roman" w:hAnsi="Times New Roman" w:cs="Times New Roman"/>
          <w:sz w:val="24"/>
          <w:szCs w:val="24"/>
        </w:rPr>
        <w:t>Todos os meus comentários e anotações jurisprudenciais demonstram a necessidade urgente de resolver esses dilemas, com a necessária alteração legislativa. Cumprindo a sua missão, a Comissão de Juristas nomeada para a Reforma do Código Civil sugere aperfeiçoamentos no art. 445 da Lei Geral Privada</w:t>
      </w:r>
      <w:r w:rsidR="00BF45D8">
        <w:rPr>
          <w:rFonts w:ascii="Times New Roman" w:hAnsi="Times New Roman" w:cs="Times New Roman"/>
          <w:sz w:val="24"/>
          <w:szCs w:val="24"/>
        </w:rPr>
        <w:t>, o que consta do atual Projeto de Lei n. 4/2025</w:t>
      </w:r>
      <w:r w:rsidRPr="00F049DE">
        <w:rPr>
          <w:rFonts w:ascii="Times New Roman" w:hAnsi="Times New Roman" w:cs="Times New Roman"/>
          <w:sz w:val="24"/>
          <w:szCs w:val="24"/>
        </w:rPr>
        <w:t>.</w:t>
      </w:r>
    </w:p>
    <w:p w14:paraId="3D9808D7" w14:textId="467D1C63" w:rsidR="00F049DE" w:rsidRPr="00F049DE" w:rsidRDefault="00F049DE" w:rsidP="00F049DE">
      <w:pPr>
        <w:pStyle w:val="t"/>
        <w:spacing w:before="120" w:after="120" w:line="360" w:lineRule="auto"/>
        <w:ind w:firstLine="1701"/>
        <w:rPr>
          <w:rFonts w:ascii="Times New Roman" w:hAnsi="Times New Roman" w:cs="Times New Roman"/>
          <w:sz w:val="24"/>
          <w:szCs w:val="24"/>
        </w:rPr>
      </w:pPr>
      <w:r w:rsidRPr="00F049DE">
        <w:rPr>
          <w:rFonts w:ascii="Times New Roman" w:hAnsi="Times New Roman" w:cs="Times New Roman"/>
          <w:sz w:val="24"/>
          <w:szCs w:val="24"/>
        </w:rPr>
        <w:t xml:space="preserve">Após muitas discussões, acabou prevalecendo a proposta de se positivar, pelo menos em parte, o teor do Enunciado n. 174 da </w:t>
      </w:r>
      <w:r w:rsidRPr="00F049DE">
        <w:rPr>
          <w:rStyle w:val="italico"/>
          <w:rFonts w:ascii="Times New Roman" w:hAnsi="Times New Roman" w:cs="Times New Roman"/>
          <w:iCs/>
          <w:sz w:val="24"/>
          <w:szCs w:val="24"/>
        </w:rPr>
        <w:t>III Jornada de Direito Civil</w:t>
      </w:r>
      <w:r w:rsidRPr="00F049DE">
        <w:rPr>
          <w:rFonts w:ascii="Times New Roman" w:hAnsi="Times New Roman" w:cs="Times New Roman"/>
          <w:sz w:val="24"/>
          <w:szCs w:val="24"/>
        </w:rPr>
        <w:t xml:space="preserve">, vencidas as minhas ressalvas doutrinárias hoje existentes. Nesse contexto, o </w:t>
      </w:r>
      <w:r w:rsidRPr="00F049DE">
        <w:rPr>
          <w:rStyle w:val="italico"/>
          <w:rFonts w:ascii="Times New Roman" w:hAnsi="Times New Roman" w:cs="Times New Roman"/>
          <w:iCs/>
          <w:sz w:val="24"/>
          <w:szCs w:val="24"/>
        </w:rPr>
        <w:t xml:space="preserve">caput </w:t>
      </w:r>
      <w:r w:rsidRPr="00F049DE">
        <w:rPr>
          <w:rFonts w:ascii="Times New Roman" w:hAnsi="Times New Roman" w:cs="Times New Roman"/>
          <w:sz w:val="24"/>
          <w:szCs w:val="24"/>
        </w:rPr>
        <w:t>do art. 445 passará a prever que “os prazos de garantia legal contra vícios ocultos, contados da data da entrega efetiva do bem, são de: I – sessenta dias, se a coisa for móvel e tiver sido adquirida por valor inferior a dez salários mínimos; II – um ano, se a coisa for móvel e tiver sido adquirida por valor igual ou superior a dez salários mínimos; III – dois anos, se a coisa for imóvel”. Como se pode perceber, incluem-se na lei regras diferenciadoras para bens móveis de valores superiores, o que é louvável</w:t>
      </w:r>
      <w:r w:rsidR="009F1929">
        <w:rPr>
          <w:rFonts w:ascii="Times New Roman" w:hAnsi="Times New Roman" w:cs="Times New Roman"/>
          <w:sz w:val="24"/>
          <w:szCs w:val="24"/>
        </w:rPr>
        <w:t xml:space="preserve">, com vistas a </w:t>
      </w:r>
      <w:r w:rsidR="00B20870">
        <w:rPr>
          <w:rFonts w:ascii="Times New Roman" w:hAnsi="Times New Roman" w:cs="Times New Roman"/>
          <w:sz w:val="24"/>
          <w:szCs w:val="24"/>
        </w:rPr>
        <w:t>conferir</w:t>
      </w:r>
      <w:r w:rsidR="009F1929">
        <w:rPr>
          <w:rFonts w:ascii="Times New Roman" w:hAnsi="Times New Roman" w:cs="Times New Roman"/>
          <w:sz w:val="24"/>
          <w:szCs w:val="24"/>
        </w:rPr>
        <w:t xml:space="preserve"> maior segurança jurídica</w:t>
      </w:r>
      <w:r w:rsidR="008D391A">
        <w:rPr>
          <w:rFonts w:ascii="Times New Roman" w:hAnsi="Times New Roman" w:cs="Times New Roman"/>
          <w:sz w:val="24"/>
          <w:szCs w:val="24"/>
        </w:rPr>
        <w:t>, mesmo vencida a minha posição doutrinária nos debates que gerou o anteprojeto de reforma</w:t>
      </w:r>
      <w:r w:rsidRPr="00F049DE">
        <w:rPr>
          <w:rFonts w:ascii="Times New Roman" w:hAnsi="Times New Roman" w:cs="Times New Roman"/>
          <w:sz w:val="24"/>
          <w:szCs w:val="24"/>
        </w:rPr>
        <w:t>.</w:t>
      </w:r>
      <w:r w:rsidR="007B2E42">
        <w:rPr>
          <w:rFonts w:ascii="Times New Roman" w:hAnsi="Times New Roman" w:cs="Times New Roman"/>
          <w:sz w:val="24"/>
          <w:szCs w:val="24"/>
        </w:rPr>
        <w:t xml:space="preserve"> </w:t>
      </w:r>
    </w:p>
    <w:p w14:paraId="0C97ECB0" w14:textId="083A48AA" w:rsidR="00F049DE" w:rsidRPr="00F049DE" w:rsidRDefault="00F049DE" w:rsidP="00F049DE">
      <w:pPr>
        <w:pStyle w:val="t"/>
        <w:spacing w:before="120" w:after="120" w:line="360" w:lineRule="auto"/>
        <w:ind w:firstLine="1701"/>
        <w:rPr>
          <w:rFonts w:ascii="Times New Roman" w:hAnsi="Times New Roman" w:cs="Times New Roman"/>
          <w:sz w:val="24"/>
          <w:szCs w:val="24"/>
        </w:rPr>
      </w:pPr>
      <w:r w:rsidRPr="00F049DE">
        <w:rPr>
          <w:rFonts w:ascii="Times New Roman" w:hAnsi="Times New Roman" w:cs="Times New Roman"/>
          <w:sz w:val="24"/>
          <w:szCs w:val="24"/>
        </w:rPr>
        <w:t>Seguindo</w:t>
      </w:r>
      <w:r w:rsidR="009F1929">
        <w:rPr>
          <w:rFonts w:ascii="Times New Roman" w:hAnsi="Times New Roman" w:cs="Times New Roman"/>
          <w:sz w:val="24"/>
          <w:szCs w:val="24"/>
        </w:rPr>
        <w:t>-se</w:t>
      </w:r>
      <w:r w:rsidRPr="00F049DE">
        <w:rPr>
          <w:rFonts w:ascii="Times New Roman" w:hAnsi="Times New Roman" w:cs="Times New Roman"/>
          <w:sz w:val="24"/>
          <w:szCs w:val="24"/>
        </w:rPr>
        <w:t xml:space="preserve"> no estudo das propostas, consoante o seu projetado § 1.º, com melhor técnica, “se o adquirente já estava na posse da coisa, os prazos de garantia contam-se da data do contrato e serão reduzidos à metade”. Além disso, transcorridos os prazos previstos neste artigo, cessa a garantia legal por vícios ocultos (art. 445, § 2.º). E, limitando-se um lapso temporal para que o vício apareça, na linha do enunciado doutrinário citado: “o adquirente tem o prazo decadencial de sessenta dias, tratando-se de bem móvel, e de um ano, tratando-se de bem imóvel, para o exercício dos direitos previstos no art. 442, contado da data final do prazo de garantia, desde que o vício tenha aparecido antes de findo esse prazo” (§ 3.º).</w:t>
      </w:r>
    </w:p>
    <w:p w14:paraId="3B5FC17A" w14:textId="63E1EC89" w:rsidR="00F049DE" w:rsidRPr="00F049DE" w:rsidRDefault="00F049DE" w:rsidP="00F049DE">
      <w:pPr>
        <w:pStyle w:val="t"/>
        <w:spacing w:before="120" w:after="120" w:line="360" w:lineRule="auto"/>
        <w:ind w:firstLine="1701"/>
        <w:rPr>
          <w:rFonts w:ascii="Times New Roman" w:hAnsi="Times New Roman" w:cs="Times New Roman"/>
          <w:sz w:val="24"/>
          <w:szCs w:val="24"/>
        </w:rPr>
      </w:pPr>
      <w:r w:rsidRPr="00F049DE">
        <w:rPr>
          <w:rFonts w:ascii="Times New Roman" w:hAnsi="Times New Roman" w:cs="Times New Roman"/>
          <w:sz w:val="24"/>
          <w:szCs w:val="24"/>
        </w:rPr>
        <w:t>Vencida a posição por mim seguida, a verdade é que o texto da norma jurídica precisa adotar uma das soluções hoje trilhadas pela doutrina e pela jurisprudência, em prol da segurança jurídica e da estabilidade dos negócios civis. Espera-se, portanto, que o Congresso Nacional aprove as alterações propostas para o art. 445 do Código Civil.</w:t>
      </w:r>
    </w:p>
    <w:sectPr w:rsidR="00F049DE" w:rsidRPr="00F049DE" w:rsidSect="007F14FB">
      <w:foot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A7CFEB" w14:textId="77777777" w:rsidR="00521C79" w:rsidRDefault="00521C79" w:rsidP="00B15AD0">
      <w:pPr>
        <w:spacing w:after="0" w:line="240" w:lineRule="auto"/>
      </w:pPr>
      <w:r>
        <w:separator/>
      </w:r>
    </w:p>
  </w:endnote>
  <w:endnote w:type="continuationSeparator" w:id="0">
    <w:p w14:paraId="3394EC0F" w14:textId="77777777" w:rsidR="00521C79" w:rsidRDefault="00521C79" w:rsidP="00B15A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nionPro-Regular">
    <w:altName w:val="Calibri"/>
    <w:panose1 w:val="00000000000000000000"/>
    <w:charset w:val="00"/>
    <w:family w:val="auto"/>
    <w:notTrueType/>
    <w:pitch w:val="default"/>
    <w:sig w:usb0="00000003" w:usb1="00000000" w:usb2="00000000" w:usb3="00000000" w:csb0="00000001" w:csb1="00000000"/>
  </w:font>
  <w:font w:name="Yu Mincho">
    <w:altName w:val="游明朝"/>
    <w:panose1 w:val="02020400000000000000"/>
    <w:charset w:val="80"/>
    <w:family w:val="roman"/>
    <w:pitch w:val="variable"/>
    <w:sig w:usb0="800002E7" w:usb1="2AC7FCFF" w:usb2="00000012" w:usb3="00000000" w:csb0="0002009F" w:csb1="00000000"/>
  </w:font>
  <w:font w:name="MyriadPro-Regular">
    <w:altName w:val="Calibri"/>
    <w:panose1 w:val="00000000000000000000"/>
    <w:charset w:val="00"/>
    <w:family w:val="auto"/>
    <w:notTrueType/>
    <w:pitch w:val="default"/>
    <w:sig w:usb0="000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59919016"/>
      <w:docPartObj>
        <w:docPartGallery w:val="Page Numbers (Bottom of Page)"/>
        <w:docPartUnique/>
      </w:docPartObj>
    </w:sdtPr>
    <w:sdtContent>
      <w:p w14:paraId="66580D56" w14:textId="19A756F5" w:rsidR="00E25C3F" w:rsidRDefault="00B80F6E">
        <w:pPr>
          <w:pStyle w:val="Rodap"/>
          <w:jc w:val="right"/>
        </w:pPr>
        <w:r>
          <w:fldChar w:fldCharType="begin"/>
        </w:r>
        <w:r>
          <w:instrText xml:space="preserve"> PAGE   \* MERGEFORMAT </w:instrText>
        </w:r>
        <w:r>
          <w:fldChar w:fldCharType="separate"/>
        </w:r>
        <w:r w:rsidR="00AA1666">
          <w:rPr>
            <w:noProof/>
          </w:rPr>
          <w:t>1</w:t>
        </w:r>
        <w:r>
          <w:rPr>
            <w:noProof/>
          </w:rPr>
          <w:fldChar w:fldCharType="end"/>
        </w:r>
      </w:p>
    </w:sdtContent>
  </w:sdt>
  <w:p w14:paraId="5B047E2C" w14:textId="77777777" w:rsidR="00E25C3F" w:rsidRDefault="00E25C3F">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59E1C4" w14:textId="77777777" w:rsidR="00521C79" w:rsidRDefault="00521C79" w:rsidP="00B15AD0">
      <w:pPr>
        <w:spacing w:after="0" w:line="240" w:lineRule="auto"/>
      </w:pPr>
      <w:r>
        <w:separator/>
      </w:r>
    </w:p>
  </w:footnote>
  <w:footnote w:type="continuationSeparator" w:id="0">
    <w:p w14:paraId="5DE39FB3" w14:textId="77777777" w:rsidR="00521C79" w:rsidRDefault="00521C79" w:rsidP="00B15AD0">
      <w:pPr>
        <w:spacing w:after="0" w:line="240" w:lineRule="auto"/>
      </w:pPr>
      <w:r>
        <w:continuationSeparator/>
      </w:r>
    </w:p>
  </w:footnote>
  <w:footnote w:id="1">
    <w:p w14:paraId="4D04C7E9" w14:textId="77777777" w:rsidR="00E25C3F" w:rsidRPr="00197971" w:rsidRDefault="00E25C3F" w:rsidP="00B15AD0">
      <w:pPr>
        <w:pStyle w:val="Textodenotaderodap"/>
        <w:jc w:val="both"/>
      </w:pPr>
      <w:r w:rsidRPr="003B2F06">
        <w:rPr>
          <w:rStyle w:val="Refdenotaderodap"/>
        </w:rPr>
        <w:footnoteRef/>
      </w:r>
      <w:r w:rsidRPr="003B2F06">
        <w:t xml:space="preserve"> </w:t>
      </w:r>
      <w:r>
        <w:t xml:space="preserve">Pós-Doutor e </w:t>
      </w:r>
      <w:r w:rsidRPr="003B2F06">
        <w:t xml:space="preserve">Doutor em Direito Civil pela USP. Mestre em Direito Civil Comparado pela PUCSP. Professor </w:t>
      </w:r>
      <w:r>
        <w:t>T</w:t>
      </w:r>
      <w:r w:rsidRPr="003B2F06">
        <w:t xml:space="preserve">itular permanente </w:t>
      </w:r>
      <w:r>
        <w:t xml:space="preserve">e coordenador do mestrado da Escola Paulista de Direito (EPD). </w:t>
      </w:r>
      <w:r w:rsidRPr="003B2F06">
        <w:t xml:space="preserve">Professor </w:t>
      </w:r>
      <w:r>
        <w:t xml:space="preserve">e coordenador </w:t>
      </w:r>
      <w:r w:rsidRPr="003B2F06">
        <w:t xml:space="preserve">dos cursos de pós-graduação </w:t>
      </w:r>
      <w:r w:rsidRPr="00511B17">
        <w:rPr>
          <w:i/>
        </w:rPr>
        <w:t>lato sensu</w:t>
      </w:r>
      <w:r w:rsidRPr="003B2F06">
        <w:t xml:space="preserve"> </w:t>
      </w:r>
      <w:r>
        <w:t xml:space="preserve">em Direito Privado </w:t>
      </w:r>
      <w:r w:rsidRPr="003B2F06">
        <w:t>da EPD.</w:t>
      </w:r>
      <w:r>
        <w:t xml:space="preserve"> Relator do Projeto de Reforma do Código Civil. Primeiro Presidente e Fundador do Instituto Brasileiro de Direito Contratual (IBDCONT). Conselheiro Federal da OAB, pela OABSP. </w:t>
      </w:r>
      <w:r w:rsidRPr="003B2F06">
        <w:t xml:space="preserve">Advogado </w:t>
      </w:r>
      <w:r>
        <w:t xml:space="preserve">em São Paulo, parecerista, árbitro </w:t>
      </w:r>
      <w:r w:rsidRPr="003B2F06">
        <w:t>e consultor jurídico</w:t>
      </w:r>
      <w:r w:rsidRPr="00197971">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666753"/>
    <w:multiLevelType w:val="hybridMultilevel"/>
    <w:tmpl w:val="54162384"/>
    <w:lvl w:ilvl="0" w:tplc="F97CC47C">
      <w:start w:val="1"/>
      <w:numFmt w:val="decimal"/>
      <w:lvlText w:val="%1)"/>
      <w:lvlJc w:val="left"/>
      <w:pPr>
        <w:ind w:left="1020" w:hanging="360"/>
      </w:pPr>
    </w:lvl>
    <w:lvl w:ilvl="1" w:tplc="4D3C6446">
      <w:start w:val="1"/>
      <w:numFmt w:val="decimal"/>
      <w:lvlText w:val="%2)"/>
      <w:lvlJc w:val="left"/>
      <w:pPr>
        <w:ind w:left="1020" w:hanging="360"/>
      </w:pPr>
    </w:lvl>
    <w:lvl w:ilvl="2" w:tplc="579EAB1A">
      <w:start w:val="1"/>
      <w:numFmt w:val="decimal"/>
      <w:lvlText w:val="%3)"/>
      <w:lvlJc w:val="left"/>
      <w:pPr>
        <w:ind w:left="1020" w:hanging="360"/>
      </w:pPr>
    </w:lvl>
    <w:lvl w:ilvl="3" w:tplc="952E9B12">
      <w:start w:val="1"/>
      <w:numFmt w:val="decimal"/>
      <w:lvlText w:val="%4)"/>
      <w:lvlJc w:val="left"/>
      <w:pPr>
        <w:ind w:left="1020" w:hanging="360"/>
      </w:pPr>
    </w:lvl>
    <w:lvl w:ilvl="4" w:tplc="6D360AEA">
      <w:start w:val="1"/>
      <w:numFmt w:val="decimal"/>
      <w:lvlText w:val="%5)"/>
      <w:lvlJc w:val="left"/>
      <w:pPr>
        <w:ind w:left="1020" w:hanging="360"/>
      </w:pPr>
    </w:lvl>
    <w:lvl w:ilvl="5" w:tplc="2E0E23EA">
      <w:start w:val="1"/>
      <w:numFmt w:val="decimal"/>
      <w:lvlText w:val="%6)"/>
      <w:lvlJc w:val="left"/>
      <w:pPr>
        <w:ind w:left="1020" w:hanging="360"/>
      </w:pPr>
    </w:lvl>
    <w:lvl w:ilvl="6" w:tplc="4BD0F8E6">
      <w:start w:val="1"/>
      <w:numFmt w:val="decimal"/>
      <w:lvlText w:val="%7)"/>
      <w:lvlJc w:val="left"/>
      <w:pPr>
        <w:ind w:left="1020" w:hanging="360"/>
      </w:pPr>
    </w:lvl>
    <w:lvl w:ilvl="7" w:tplc="4296E6EA">
      <w:start w:val="1"/>
      <w:numFmt w:val="decimal"/>
      <w:lvlText w:val="%8)"/>
      <w:lvlJc w:val="left"/>
      <w:pPr>
        <w:ind w:left="1020" w:hanging="360"/>
      </w:pPr>
    </w:lvl>
    <w:lvl w:ilvl="8" w:tplc="3DD4651E">
      <w:start w:val="1"/>
      <w:numFmt w:val="decimal"/>
      <w:lvlText w:val="%9)"/>
      <w:lvlJc w:val="left"/>
      <w:pPr>
        <w:ind w:left="1020" w:hanging="360"/>
      </w:pPr>
    </w:lvl>
  </w:abstractNum>
  <w:abstractNum w:abstractNumId="1" w15:restartNumberingAfterBreak="0">
    <w:nsid w:val="6C6E78FF"/>
    <w:multiLevelType w:val="hybridMultilevel"/>
    <w:tmpl w:val="3A94B62E"/>
    <w:lvl w:ilvl="0" w:tplc="04160001">
      <w:start w:val="1"/>
      <w:numFmt w:val="bullet"/>
      <w:lvlText w:val=""/>
      <w:lvlJc w:val="left"/>
      <w:pPr>
        <w:ind w:left="1287" w:hanging="360"/>
      </w:pPr>
      <w:rPr>
        <w:rFonts w:ascii="Symbol" w:hAnsi="Symbol"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num w:numId="1" w16cid:durableId="1806656550">
    <w:abstractNumId w:val="1"/>
  </w:num>
  <w:num w:numId="2" w16cid:durableId="13591183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684D"/>
    <w:rsid w:val="00002059"/>
    <w:rsid w:val="00004278"/>
    <w:rsid w:val="00010B62"/>
    <w:rsid w:val="00012D24"/>
    <w:rsid w:val="00014A13"/>
    <w:rsid w:val="000163F9"/>
    <w:rsid w:val="000165B6"/>
    <w:rsid w:val="0002246D"/>
    <w:rsid w:val="000272D3"/>
    <w:rsid w:val="00042DD9"/>
    <w:rsid w:val="0006022B"/>
    <w:rsid w:val="000618D8"/>
    <w:rsid w:val="00061D24"/>
    <w:rsid w:val="00061D89"/>
    <w:rsid w:val="00065809"/>
    <w:rsid w:val="00081B5A"/>
    <w:rsid w:val="00084038"/>
    <w:rsid w:val="00090984"/>
    <w:rsid w:val="00091C4D"/>
    <w:rsid w:val="00092468"/>
    <w:rsid w:val="000967F8"/>
    <w:rsid w:val="000A0500"/>
    <w:rsid w:val="000A1BE1"/>
    <w:rsid w:val="000A1DAE"/>
    <w:rsid w:val="000A4AFE"/>
    <w:rsid w:val="000A6A8E"/>
    <w:rsid w:val="000B0D00"/>
    <w:rsid w:val="000B199E"/>
    <w:rsid w:val="000B3C12"/>
    <w:rsid w:val="000B4F9A"/>
    <w:rsid w:val="000C5F8E"/>
    <w:rsid w:val="000D4EB5"/>
    <w:rsid w:val="000D6AB7"/>
    <w:rsid w:val="000D7B84"/>
    <w:rsid w:val="000E69A0"/>
    <w:rsid w:val="000E7C7A"/>
    <w:rsid w:val="000F397F"/>
    <w:rsid w:val="00101681"/>
    <w:rsid w:val="001115BE"/>
    <w:rsid w:val="001164E8"/>
    <w:rsid w:val="00121038"/>
    <w:rsid w:val="001257FC"/>
    <w:rsid w:val="00127619"/>
    <w:rsid w:val="00130044"/>
    <w:rsid w:val="0013242A"/>
    <w:rsid w:val="00140F1A"/>
    <w:rsid w:val="001431C6"/>
    <w:rsid w:val="0014589B"/>
    <w:rsid w:val="00147FD2"/>
    <w:rsid w:val="0015250A"/>
    <w:rsid w:val="00154A54"/>
    <w:rsid w:val="00155FF7"/>
    <w:rsid w:val="0015785B"/>
    <w:rsid w:val="001604A2"/>
    <w:rsid w:val="00162445"/>
    <w:rsid w:val="00174761"/>
    <w:rsid w:val="00176E7D"/>
    <w:rsid w:val="001A1246"/>
    <w:rsid w:val="001A33D9"/>
    <w:rsid w:val="001A3BB7"/>
    <w:rsid w:val="001A3C52"/>
    <w:rsid w:val="001B0CD7"/>
    <w:rsid w:val="001B36E1"/>
    <w:rsid w:val="001B45D7"/>
    <w:rsid w:val="001B648E"/>
    <w:rsid w:val="001C0743"/>
    <w:rsid w:val="001C0BF5"/>
    <w:rsid w:val="001C20B6"/>
    <w:rsid w:val="001C3F9C"/>
    <w:rsid w:val="001D10F0"/>
    <w:rsid w:val="001D23C5"/>
    <w:rsid w:val="001D26B5"/>
    <w:rsid w:val="001D2D3A"/>
    <w:rsid w:val="001D2FCE"/>
    <w:rsid w:val="001D4C59"/>
    <w:rsid w:val="001E3A72"/>
    <w:rsid w:val="001E5FD0"/>
    <w:rsid w:val="001F0B30"/>
    <w:rsid w:val="001F7416"/>
    <w:rsid w:val="00204797"/>
    <w:rsid w:val="00216BE4"/>
    <w:rsid w:val="002173DE"/>
    <w:rsid w:val="00223883"/>
    <w:rsid w:val="00231DBA"/>
    <w:rsid w:val="00234405"/>
    <w:rsid w:val="00240103"/>
    <w:rsid w:val="00240B32"/>
    <w:rsid w:val="002628DD"/>
    <w:rsid w:val="0027030E"/>
    <w:rsid w:val="00270AAC"/>
    <w:rsid w:val="00275DC5"/>
    <w:rsid w:val="0027678B"/>
    <w:rsid w:val="00276D6A"/>
    <w:rsid w:val="0027700F"/>
    <w:rsid w:val="002809A2"/>
    <w:rsid w:val="00283C6E"/>
    <w:rsid w:val="0028639A"/>
    <w:rsid w:val="002876ED"/>
    <w:rsid w:val="00295705"/>
    <w:rsid w:val="00295C84"/>
    <w:rsid w:val="00296B3B"/>
    <w:rsid w:val="00297F8D"/>
    <w:rsid w:val="002A1A09"/>
    <w:rsid w:val="002A471D"/>
    <w:rsid w:val="002A4A94"/>
    <w:rsid w:val="002A60FF"/>
    <w:rsid w:val="002B12EB"/>
    <w:rsid w:val="002B7539"/>
    <w:rsid w:val="002B77B1"/>
    <w:rsid w:val="002B7E62"/>
    <w:rsid w:val="002C0424"/>
    <w:rsid w:val="002C20BD"/>
    <w:rsid w:val="002C5F94"/>
    <w:rsid w:val="002D2CA8"/>
    <w:rsid w:val="002D7126"/>
    <w:rsid w:val="002D75F5"/>
    <w:rsid w:val="002E0A51"/>
    <w:rsid w:val="002E174E"/>
    <w:rsid w:val="002E2013"/>
    <w:rsid w:val="002F013F"/>
    <w:rsid w:val="002F1032"/>
    <w:rsid w:val="002F1121"/>
    <w:rsid w:val="002F1277"/>
    <w:rsid w:val="002F6BCE"/>
    <w:rsid w:val="00310780"/>
    <w:rsid w:val="00311DC8"/>
    <w:rsid w:val="003156EB"/>
    <w:rsid w:val="00316B68"/>
    <w:rsid w:val="00325274"/>
    <w:rsid w:val="00331477"/>
    <w:rsid w:val="003358E3"/>
    <w:rsid w:val="00341469"/>
    <w:rsid w:val="00341F09"/>
    <w:rsid w:val="00351820"/>
    <w:rsid w:val="00353FDF"/>
    <w:rsid w:val="00354174"/>
    <w:rsid w:val="00356BC1"/>
    <w:rsid w:val="00357109"/>
    <w:rsid w:val="0037094A"/>
    <w:rsid w:val="0038223F"/>
    <w:rsid w:val="003869F0"/>
    <w:rsid w:val="00394C9F"/>
    <w:rsid w:val="003964F7"/>
    <w:rsid w:val="00396C5B"/>
    <w:rsid w:val="003A2D67"/>
    <w:rsid w:val="003B0F36"/>
    <w:rsid w:val="003C0ADC"/>
    <w:rsid w:val="003D1130"/>
    <w:rsid w:val="003D758C"/>
    <w:rsid w:val="003E6BFA"/>
    <w:rsid w:val="00416565"/>
    <w:rsid w:val="00416BAE"/>
    <w:rsid w:val="00420F7D"/>
    <w:rsid w:val="00421AAD"/>
    <w:rsid w:val="004231D8"/>
    <w:rsid w:val="004263CC"/>
    <w:rsid w:val="00440E97"/>
    <w:rsid w:val="0044129B"/>
    <w:rsid w:val="00451CC8"/>
    <w:rsid w:val="00461BBB"/>
    <w:rsid w:val="00463CAE"/>
    <w:rsid w:val="0046464F"/>
    <w:rsid w:val="00465B35"/>
    <w:rsid w:val="004702C9"/>
    <w:rsid w:val="00473561"/>
    <w:rsid w:val="00475A7F"/>
    <w:rsid w:val="004B0CC8"/>
    <w:rsid w:val="004B1ABA"/>
    <w:rsid w:val="004C28CC"/>
    <w:rsid w:val="004C2B01"/>
    <w:rsid w:val="004C6CAD"/>
    <w:rsid w:val="004D192A"/>
    <w:rsid w:val="004D3C8B"/>
    <w:rsid w:val="004E68BF"/>
    <w:rsid w:val="004F108D"/>
    <w:rsid w:val="004F5A0C"/>
    <w:rsid w:val="00505C0B"/>
    <w:rsid w:val="00505F81"/>
    <w:rsid w:val="00510D5E"/>
    <w:rsid w:val="0051186F"/>
    <w:rsid w:val="00513172"/>
    <w:rsid w:val="00520F3F"/>
    <w:rsid w:val="00521AD5"/>
    <w:rsid w:val="00521C79"/>
    <w:rsid w:val="00525923"/>
    <w:rsid w:val="005264F9"/>
    <w:rsid w:val="00540A1C"/>
    <w:rsid w:val="00550067"/>
    <w:rsid w:val="00551126"/>
    <w:rsid w:val="00552DBC"/>
    <w:rsid w:val="00554A9A"/>
    <w:rsid w:val="00555174"/>
    <w:rsid w:val="00560AB1"/>
    <w:rsid w:val="00565371"/>
    <w:rsid w:val="00572FB3"/>
    <w:rsid w:val="005803EC"/>
    <w:rsid w:val="00581D80"/>
    <w:rsid w:val="00582E0D"/>
    <w:rsid w:val="0058340B"/>
    <w:rsid w:val="005937B9"/>
    <w:rsid w:val="005A0224"/>
    <w:rsid w:val="005A1CA7"/>
    <w:rsid w:val="005A5D67"/>
    <w:rsid w:val="005A6CC3"/>
    <w:rsid w:val="005B6FDC"/>
    <w:rsid w:val="005C2B81"/>
    <w:rsid w:val="005C3438"/>
    <w:rsid w:val="005C3619"/>
    <w:rsid w:val="005C4502"/>
    <w:rsid w:val="005D3299"/>
    <w:rsid w:val="005D6822"/>
    <w:rsid w:val="005E4456"/>
    <w:rsid w:val="005E5BC0"/>
    <w:rsid w:val="005F164A"/>
    <w:rsid w:val="005F1820"/>
    <w:rsid w:val="005F25C9"/>
    <w:rsid w:val="005F41FE"/>
    <w:rsid w:val="006067E7"/>
    <w:rsid w:val="00606C96"/>
    <w:rsid w:val="00610691"/>
    <w:rsid w:val="00613516"/>
    <w:rsid w:val="0063474C"/>
    <w:rsid w:val="00635A77"/>
    <w:rsid w:val="0063631C"/>
    <w:rsid w:val="00637D4E"/>
    <w:rsid w:val="0064646B"/>
    <w:rsid w:val="006503ED"/>
    <w:rsid w:val="0065126D"/>
    <w:rsid w:val="0065327B"/>
    <w:rsid w:val="00653C19"/>
    <w:rsid w:val="00653FEF"/>
    <w:rsid w:val="006551BA"/>
    <w:rsid w:val="0065579F"/>
    <w:rsid w:val="00664651"/>
    <w:rsid w:val="00666DBB"/>
    <w:rsid w:val="00667AAB"/>
    <w:rsid w:val="00674CF0"/>
    <w:rsid w:val="00684049"/>
    <w:rsid w:val="00684EAE"/>
    <w:rsid w:val="00687D4D"/>
    <w:rsid w:val="00687F6F"/>
    <w:rsid w:val="00692442"/>
    <w:rsid w:val="006931D3"/>
    <w:rsid w:val="00693231"/>
    <w:rsid w:val="0069517F"/>
    <w:rsid w:val="00696537"/>
    <w:rsid w:val="006A1DE3"/>
    <w:rsid w:val="006A24C2"/>
    <w:rsid w:val="006A3397"/>
    <w:rsid w:val="006A4626"/>
    <w:rsid w:val="006A67A7"/>
    <w:rsid w:val="006B0194"/>
    <w:rsid w:val="006B4DC9"/>
    <w:rsid w:val="006B64C9"/>
    <w:rsid w:val="006D2259"/>
    <w:rsid w:val="006D389F"/>
    <w:rsid w:val="006E0C8C"/>
    <w:rsid w:val="006E1F16"/>
    <w:rsid w:val="006E434B"/>
    <w:rsid w:val="006F666B"/>
    <w:rsid w:val="006F7018"/>
    <w:rsid w:val="007018A3"/>
    <w:rsid w:val="0070682D"/>
    <w:rsid w:val="00711BF6"/>
    <w:rsid w:val="0071408C"/>
    <w:rsid w:val="007154AD"/>
    <w:rsid w:val="007161E4"/>
    <w:rsid w:val="007318C7"/>
    <w:rsid w:val="00741F35"/>
    <w:rsid w:val="00747200"/>
    <w:rsid w:val="0075158E"/>
    <w:rsid w:val="007522CF"/>
    <w:rsid w:val="00752FEE"/>
    <w:rsid w:val="00757C32"/>
    <w:rsid w:val="00771074"/>
    <w:rsid w:val="007745E9"/>
    <w:rsid w:val="00777567"/>
    <w:rsid w:val="00777A2F"/>
    <w:rsid w:val="0078277B"/>
    <w:rsid w:val="00783334"/>
    <w:rsid w:val="00786CE4"/>
    <w:rsid w:val="007914E9"/>
    <w:rsid w:val="0079684D"/>
    <w:rsid w:val="007A0FB1"/>
    <w:rsid w:val="007A1060"/>
    <w:rsid w:val="007A54E4"/>
    <w:rsid w:val="007A6C76"/>
    <w:rsid w:val="007B113F"/>
    <w:rsid w:val="007B2E42"/>
    <w:rsid w:val="007B3258"/>
    <w:rsid w:val="007B5E1B"/>
    <w:rsid w:val="007C17F4"/>
    <w:rsid w:val="007C1C26"/>
    <w:rsid w:val="007C517C"/>
    <w:rsid w:val="007D0849"/>
    <w:rsid w:val="007D7E1C"/>
    <w:rsid w:val="007E25B9"/>
    <w:rsid w:val="007E6471"/>
    <w:rsid w:val="007F14FB"/>
    <w:rsid w:val="00801384"/>
    <w:rsid w:val="00802F39"/>
    <w:rsid w:val="00805969"/>
    <w:rsid w:val="0080683F"/>
    <w:rsid w:val="00806EDD"/>
    <w:rsid w:val="00811723"/>
    <w:rsid w:val="00830464"/>
    <w:rsid w:val="00831927"/>
    <w:rsid w:val="00832AE4"/>
    <w:rsid w:val="00851514"/>
    <w:rsid w:val="00852DEB"/>
    <w:rsid w:val="008674E3"/>
    <w:rsid w:val="00867E84"/>
    <w:rsid w:val="00880709"/>
    <w:rsid w:val="00880ACE"/>
    <w:rsid w:val="00880B27"/>
    <w:rsid w:val="00885120"/>
    <w:rsid w:val="00895E9B"/>
    <w:rsid w:val="008A46FF"/>
    <w:rsid w:val="008A6200"/>
    <w:rsid w:val="008B65F8"/>
    <w:rsid w:val="008C19E7"/>
    <w:rsid w:val="008D1456"/>
    <w:rsid w:val="008D1E6F"/>
    <w:rsid w:val="008D391A"/>
    <w:rsid w:val="008E513D"/>
    <w:rsid w:val="008F63CA"/>
    <w:rsid w:val="0090223A"/>
    <w:rsid w:val="00902BB5"/>
    <w:rsid w:val="00907993"/>
    <w:rsid w:val="0091232E"/>
    <w:rsid w:val="00920A9B"/>
    <w:rsid w:val="00920C6E"/>
    <w:rsid w:val="0092561C"/>
    <w:rsid w:val="00925730"/>
    <w:rsid w:val="00932490"/>
    <w:rsid w:val="009368C3"/>
    <w:rsid w:val="009464A7"/>
    <w:rsid w:val="00946888"/>
    <w:rsid w:val="00953982"/>
    <w:rsid w:val="00954C6F"/>
    <w:rsid w:val="00955726"/>
    <w:rsid w:val="00956D2B"/>
    <w:rsid w:val="00960F98"/>
    <w:rsid w:val="00961295"/>
    <w:rsid w:val="00964A37"/>
    <w:rsid w:val="00965DB6"/>
    <w:rsid w:val="009661A3"/>
    <w:rsid w:val="009667C7"/>
    <w:rsid w:val="00971484"/>
    <w:rsid w:val="009715B4"/>
    <w:rsid w:val="00975C0F"/>
    <w:rsid w:val="0097659D"/>
    <w:rsid w:val="00977772"/>
    <w:rsid w:val="0098731E"/>
    <w:rsid w:val="009B666C"/>
    <w:rsid w:val="009B75BF"/>
    <w:rsid w:val="009C00DA"/>
    <w:rsid w:val="009C3361"/>
    <w:rsid w:val="009C4399"/>
    <w:rsid w:val="009C5018"/>
    <w:rsid w:val="009D12E8"/>
    <w:rsid w:val="009D17EF"/>
    <w:rsid w:val="009D6C03"/>
    <w:rsid w:val="009E1D79"/>
    <w:rsid w:val="009E65DC"/>
    <w:rsid w:val="009F1929"/>
    <w:rsid w:val="009F594A"/>
    <w:rsid w:val="009F6476"/>
    <w:rsid w:val="00A01D37"/>
    <w:rsid w:val="00A02347"/>
    <w:rsid w:val="00A07A6F"/>
    <w:rsid w:val="00A1091B"/>
    <w:rsid w:val="00A109C6"/>
    <w:rsid w:val="00A10A11"/>
    <w:rsid w:val="00A15C1C"/>
    <w:rsid w:val="00A17286"/>
    <w:rsid w:val="00A20C07"/>
    <w:rsid w:val="00A21CE5"/>
    <w:rsid w:val="00A2489D"/>
    <w:rsid w:val="00A327F6"/>
    <w:rsid w:val="00A43AFD"/>
    <w:rsid w:val="00A442CF"/>
    <w:rsid w:val="00A44ECC"/>
    <w:rsid w:val="00A51146"/>
    <w:rsid w:val="00A57D4B"/>
    <w:rsid w:val="00A62ABF"/>
    <w:rsid w:val="00A73016"/>
    <w:rsid w:val="00A76A82"/>
    <w:rsid w:val="00A76C5C"/>
    <w:rsid w:val="00A80308"/>
    <w:rsid w:val="00A81FFC"/>
    <w:rsid w:val="00A82E3B"/>
    <w:rsid w:val="00A84FDB"/>
    <w:rsid w:val="00A86B2F"/>
    <w:rsid w:val="00A8793F"/>
    <w:rsid w:val="00A90F25"/>
    <w:rsid w:val="00A97842"/>
    <w:rsid w:val="00AA00C0"/>
    <w:rsid w:val="00AA1666"/>
    <w:rsid w:val="00AA56AC"/>
    <w:rsid w:val="00AB0E85"/>
    <w:rsid w:val="00AB462C"/>
    <w:rsid w:val="00AC193D"/>
    <w:rsid w:val="00AC7940"/>
    <w:rsid w:val="00AD19E0"/>
    <w:rsid w:val="00AD4060"/>
    <w:rsid w:val="00AD4158"/>
    <w:rsid w:val="00AD4464"/>
    <w:rsid w:val="00AE2D47"/>
    <w:rsid w:val="00AE43D6"/>
    <w:rsid w:val="00AE6358"/>
    <w:rsid w:val="00AE6736"/>
    <w:rsid w:val="00AF079D"/>
    <w:rsid w:val="00AF3E95"/>
    <w:rsid w:val="00AF41E1"/>
    <w:rsid w:val="00AF5CA9"/>
    <w:rsid w:val="00B005B5"/>
    <w:rsid w:val="00B01459"/>
    <w:rsid w:val="00B02847"/>
    <w:rsid w:val="00B11339"/>
    <w:rsid w:val="00B15AD0"/>
    <w:rsid w:val="00B15C5A"/>
    <w:rsid w:val="00B20870"/>
    <w:rsid w:val="00B23807"/>
    <w:rsid w:val="00B24B08"/>
    <w:rsid w:val="00B26B79"/>
    <w:rsid w:val="00B30B9D"/>
    <w:rsid w:val="00B3241B"/>
    <w:rsid w:val="00B35B11"/>
    <w:rsid w:val="00B36E19"/>
    <w:rsid w:val="00B40CF5"/>
    <w:rsid w:val="00B41824"/>
    <w:rsid w:val="00B46C1C"/>
    <w:rsid w:val="00B47D6E"/>
    <w:rsid w:val="00B5085B"/>
    <w:rsid w:val="00B5467F"/>
    <w:rsid w:val="00B57D95"/>
    <w:rsid w:val="00B61C0C"/>
    <w:rsid w:val="00B62174"/>
    <w:rsid w:val="00B65451"/>
    <w:rsid w:val="00B70649"/>
    <w:rsid w:val="00B70904"/>
    <w:rsid w:val="00B80F6E"/>
    <w:rsid w:val="00B82C9B"/>
    <w:rsid w:val="00B83A19"/>
    <w:rsid w:val="00B87B12"/>
    <w:rsid w:val="00B92183"/>
    <w:rsid w:val="00B92548"/>
    <w:rsid w:val="00B92F1F"/>
    <w:rsid w:val="00B96D42"/>
    <w:rsid w:val="00B975F2"/>
    <w:rsid w:val="00BA5F05"/>
    <w:rsid w:val="00BB1251"/>
    <w:rsid w:val="00BB144D"/>
    <w:rsid w:val="00BB541E"/>
    <w:rsid w:val="00BB60D6"/>
    <w:rsid w:val="00BB7705"/>
    <w:rsid w:val="00BC1801"/>
    <w:rsid w:val="00BC23E3"/>
    <w:rsid w:val="00BC3E67"/>
    <w:rsid w:val="00BD35D8"/>
    <w:rsid w:val="00BD40C8"/>
    <w:rsid w:val="00BD437B"/>
    <w:rsid w:val="00BE1CB2"/>
    <w:rsid w:val="00BE49BF"/>
    <w:rsid w:val="00BE77F7"/>
    <w:rsid w:val="00BE7A99"/>
    <w:rsid w:val="00BF00AE"/>
    <w:rsid w:val="00BF18DC"/>
    <w:rsid w:val="00BF45D8"/>
    <w:rsid w:val="00BF7D04"/>
    <w:rsid w:val="00C002DB"/>
    <w:rsid w:val="00C06F0A"/>
    <w:rsid w:val="00C11874"/>
    <w:rsid w:val="00C31189"/>
    <w:rsid w:val="00C404EB"/>
    <w:rsid w:val="00C45AC9"/>
    <w:rsid w:val="00C53FB9"/>
    <w:rsid w:val="00C55C23"/>
    <w:rsid w:val="00C55F21"/>
    <w:rsid w:val="00C5797D"/>
    <w:rsid w:val="00C650C5"/>
    <w:rsid w:val="00C73DE8"/>
    <w:rsid w:val="00C75E3D"/>
    <w:rsid w:val="00C81C6B"/>
    <w:rsid w:val="00C81D18"/>
    <w:rsid w:val="00C82083"/>
    <w:rsid w:val="00C92E87"/>
    <w:rsid w:val="00C94ADB"/>
    <w:rsid w:val="00CA24B4"/>
    <w:rsid w:val="00CA27DC"/>
    <w:rsid w:val="00CA41F7"/>
    <w:rsid w:val="00CA5D25"/>
    <w:rsid w:val="00CA6F54"/>
    <w:rsid w:val="00CA7E3B"/>
    <w:rsid w:val="00CB34BC"/>
    <w:rsid w:val="00CC320E"/>
    <w:rsid w:val="00CC5417"/>
    <w:rsid w:val="00CC5480"/>
    <w:rsid w:val="00CD2BEF"/>
    <w:rsid w:val="00CD50B1"/>
    <w:rsid w:val="00CE43E1"/>
    <w:rsid w:val="00CE442A"/>
    <w:rsid w:val="00CE63DB"/>
    <w:rsid w:val="00CE7C6D"/>
    <w:rsid w:val="00CF55C8"/>
    <w:rsid w:val="00D01AB6"/>
    <w:rsid w:val="00D0211A"/>
    <w:rsid w:val="00D046C6"/>
    <w:rsid w:val="00D046F1"/>
    <w:rsid w:val="00D04F1C"/>
    <w:rsid w:val="00D07EB8"/>
    <w:rsid w:val="00D13683"/>
    <w:rsid w:val="00D146BD"/>
    <w:rsid w:val="00D166F9"/>
    <w:rsid w:val="00D167BF"/>
    <w:rsid w:val="00D22AC7"/>
    <w:rsid w:val="00D2308A"/>
    <w:rsid w:val="00D26334"/>
    <w:rsid w:val="00D31F45"/>
    <w:rsid w:val="00D35C63"/>
    <w:rsid w:val="00D373E2"/>
    <w:rsid w:val="00D4240B"/>
    <w:rsid w:val="00D44E5A"/>
    <w:rsid w:val="00D57E74"/>
    <w:rsid w:val="00D57F00"/>
    <w:rsid w:val="00D623D8"/>
    <w:rsid w:val="00D63892"/>
    <w:rsid w:val="00D70256"/>
    <w:rsid w:val="00D73535"/>
    <w:rsid w:val="00D75992"/>
    <w:rsid w:val="00D76315"/>
    <w:rsid w:val="00D81FAD"/>
    <w:rsid w:val="00D84097"/>
    <w:rsid w:val="00D8419E"/>
    <w:rsid w:val="00D85EFE"/>
    <w:rsid w:val="00D85FDA"/>
    <w:rsid w:val="00D87DAF"/>
    <w:rsid w:val="00D91A06"/>
    <w:rsid w:val="00D9380E"/>
    <w:rsid w:val="00D94656"/>
    <w:rsid w:val="00D97E3F"/>
    <w:rsid w:val="00DA104A"/>
    <w:rsid w:val="00DA5F58"/>
    <w:rsid w:val="00DB1C32"/>
    <w:rsid w:val="00DB2F2A"/>
    <w:rsid w:val="00DC0085"/>
    <w:rsid w:val="00DC17C3"/>
    <w:rsid w:val="00DC2D95"/>
    <w:rsid w:val="00DC49FD"/>
    <w:rsid w:val="00DC5ACF"/>
    <w:rsid w:val="00DD25AE"/>
    <w:rsid w:val="00DD4193"/>
    <w:rsid w:val="00DD4DDC"/>
    <w:rsid w:val="00DD65DA"/>
    <w:rsid w:val="00DE4010"/>
    <w:rsid w:val="00DF5F89"/>
    <w:rsid w:val="00DF7B7C"/>
    <w:rsid w:val="00E03BC8"/>
    <w:rsid w:val="00E0689A"/>
    <w:rsid w:val="00E10301"/>
    <w:rsid w:val="00E1042B"/>
    <w:rsid w:val="00E10CC7"/>
    <w:rsid w:val="00E10FD6"/>
    <w:rsid w:val="00E12C52"/>
    <w:rsid w:val="00E144F9"/>
    <w:rsid w:val="00E154BB"/>
    <w:rsid w:val="00E16C47"/>
    <w:rsid w:val="00E209D4"/>
    <w:rsid w:val="00E24444"/>
    <w:rsid w:val="00E25C3F"/>
    <w:rsid w:val="00E25D63"/>
    <w:rsid w:val="00E32682"/>
    <w:rsid w:val="00E35493"/>
    <w:rsid w:val="00E35E71"/>
    <w:rsid w:val="00E36342"/>
    <w:rsid w:val="00E405B6"/>
    <w:rsid w:val="00E4119F"/>
    <w:rsid w:val="00E41630"/>
    <w:rsid w:val="00E44CDE"/>
    <w:rsid w:val="00E52B01"/>
    <w:rsid w:val="00E53BFA"/>
    <w:rsid w:val="00E5446C"/>
    <w:rsid w:val="00E577F6"/>
    <w:rsid w:val="00E611F8"/>
    <w:rsid w:val="00E621E1"/>
    <w:rsid w:val="00E62628"/>
    <w:rsid w:val="00E64137"/>
    <w:rsid w:val="00E67C9F"/>
    <w:rsid w:val="00E74015"/>
    <w:rsid w:val="00E75ACA"/>
    <w:rsid w:val="00E80E0C"/>
    <w:rsid w:val="00E821F9"/>
    <w:rsid w:val="00E827C1"/>
    <w:rsid w:val="00E83783"/>
    <w:rsid w:val="00E84574"/>
    <w:rsid w:val="00E866C6"/>
    <w:rsid w:val="00E97DED"/>
    <w:rsid w:val="00E97E60"/>
    <w:rsid w:val="00EA72D1"/>
    <w:rsid w:val="00EB139C"/>
    <w:rsid w:val="00EC15F6"/>
    <w:rsid w:val="00EC5820"/>
    <w:rsid w:val="00EC6D8C"/>
    <w:rsid w:val="00EC6F29"/>
    <w:rsid w:val="00ED029D"/>
    <w:rsid w:val="00ED11CD"/>
    <w:rsid w:val="00ED7CE4"/>
    <w:rsid w:val="00EE402C"/>
    <w:rsid w:val="00EE4E8D"/>
    <w:rsid w:val="00EE5673"/>
    <w:rsid w:val="00EE56AE"/>
    <w:rsid w:val="00EE67EA"/>
    <w:rsid w:val="00EF7463"/>
    <w:rsid w:val="00F049DE"/>
    <w:rsid w:val="00F11002"/>
    <w:rsid w:val="00F17013"/>
    <w:rsid w:val="00F215A0"/>
    <w:rsid w:val="00F24B9B"/>
    <w:rsid w:val="00F2527F"/>
    <w:rsid w:val="00F265DF"/>
    <w:rsid w:val="00F27A97"/>
    <w:rsid w:val="00F327F5"/>
    <w:rsid w:val="00F33B33"/>
    <w:rsid w:val="00F36722"/>
    <w:rsid w:val="00F374A4"/>
    <w:rsid w:val="00F37CBA"/>
    <w:rsid w:val="00F4508D"/>
    <w:rsid w:val="00F47016"/>
    <w:rsid w:val="00F63D06"/>
    <w:rsid w:val="00F67913"/>
    <w:rsid w:val="00F6792C"/>
    <w:rsid w:val="00F857F3"/>
    <w:rsid w:val="00F95D83"/>
    <w:rsid w:val="00F97FE1"/>
    <w:rsid w:val="00FA4B9B"/>
    <w:rsid w:val="00FA5943"/>
    <w:rsid w:val="00FB11D8"/>
    <w:rsid w:val="00FB52CB"/>
    <w:rsid w:val="00FC17DC"/>
    <w:rsid w:val="00FC70DB"/>
    <w:rsid w:val="00FD72D8"/>
    <w:rsid w:val="00FE20A8"/>
    <w:rsid w:val="00FE3106"/>
    <w:rsid w:val="00FE55D2"/>
    <w:rsid w:val="00FF1A0B"/>
    <w:rsid w:val="00FF2F67"/>
    <w:rsid w:val="00FF3081"/>
    <w:rsid w:val="00FF4191"/>
    <w:rsid w:val="00FF6E58"/>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DDB0FB"/>
  <w15:docId w15:val="{7DBDE63F-6112-4EBD-AE54-78E5DEB27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5FDA"/>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C81C6B"/>
    <w:rPr>
      <w:color w:val="0563C1" w:themeColor="hyperlink"/>
      <w:u w:val="single"/>
    </w:rPr>
  </w:style>
  <w:style w:type="character" w:customStyle="1" w:styleId="MenoPendente1">
    <w:name w:val="Menção Pendente1"/>
    <w:basedOn w:val="Fontepargpadro"/>
    <w:uiPriority w:val="99"/>
    <w:semiHidden/>
    <w:unhideWhenUsed/>
    <w:rsid w:val="00C81C6B"/>
    <w:rPr>
      <w:color w:val="605E5C"/>
      <w:shd w:val="clear" w:color="auto" w:fill="E1DFDD"/>
    </w:rPr>
  </w:style>
  <w:style w:type="paragraph" w:styleId="Textodenotaderodap">
    <w:name w:val="footnote text"/>
    <w:aliases w:val=" Char Char,Char Char, Char Char Char Char,Nota de rodapé,fn,ALTS FOOTNOTE,Footnote Text Char,footnote text char, Char3,Char3,Texto de rodapé,Char3 Char Char Char Char, Char3 Char Char Char Char, Char3 Char Char,Char3 Char Char,f"/>
    <w:basedOn w:val="Normal"/>
    <w:link w:val="TextodenotaderodapChar"/>
    <w:uiPriority w:val="99"/>
    <w:qFormat/>
    <w:rsid w:val="00B15AD0"/>
    <w:pPr>
      <w:spacing w:after="0" w:line="240" w:lineRule="auto"/>
    </w:pPr>
    <w:rPr>
      <w:rFonts w:ascii="Times New Roman" w:eastAsia="Times New Roman" w:hAnsi="Times New Roman" w:cs="Times New Roman"/>
      <w:sz w:val="20"/>
      <w:szCs w:val="20"/>
      <w:lang w:eastAsia="pt-BR"/>
    </w:rPr>
  </w:style>
  <w:style w:type="character" w:customStyle="1" w:styleId="TextodenotaderodapChar">
    <w:name w:val="Texto de nota de rodapé Char"/>
    <w:aliases w:val=" Char Char Char,Char Char Char, Char Char Char Char Char,Nota de rodapé Char,fn Char,ALTS FOOTNOTE Char,Footnote Text Char Char,footnote text char Char, Char3 Char,Char3 Char,Texto de rodapé Char, Char3 Char Char Char,f Char"/>
    <w:basedOn w:val="Fontepargpadro"/>
    <w:link w:val="Textodenotaderodap"/>
    <w:uiPriority w:val="99"/>
    <w:qFormat/>
    <w:rsid w:val="00B15AD0"/>
    <w:rPr>
      <w:rFonts w:ascii="Times New Roman" w:eastAsia="Times New Roman" w:hAnsi="Times New Roman" w:cs="Times New Roman"/>
      <w:sz w:val="20"/>
      <w:szCs w:val="20"/>
      <w:lang w:eastAsia="pt-BR"/>
    </w:rPr>
  </w:style>
  <w:style w:type="character" w:styleId="Refdenotaderodap">
    <w:name w:val="footnote reference"/>
    <w:aliases w:val="sobrescrito,Ref,de nota al pie,FC,_Footnote Reference,_Footnote text,_Footnote,_Footnote Text,_Footnote base Reference,Footnote symbol,Style 12,(NECG) Footnote Reference,Referência de rodapé,Ref. de nota de rodapé monografia.,fr,o"/>
    <w:link w:val="frCharChar1"/>
    <w:uiPriority w:val="99"/>
    <w:qFormat/>
    <w:rsid w:val="00B15AD0"/>
    <w:rPr>
      <w:vertAlign w:val="superscript"/>
    </w:rPr>
  </w:style>
  <w:style w:type="paragraph" w:styleId="Cabealho">
    <w:name w:val="header"/>
    <w:basedOn w:val="Normal"/>
    <w:link w:val="CabealhoChar"/>
    <w:uiPriority w:val="99"/>
    <w:unhideWhenUsed/>
    <w:rsid w:val="00A327F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327F6"/>
  </w:style>
  <w:style w:type="paragraph" w:styleId="Rodap">
    <w:name w:val="footer"/>
    <w:basedOn w:val="Normal"/>
    <w:link w:val="RodapChar"/>
    <w:uiPriority w:val="99"/>
    <w:unhideWhenUsed/>
    <w:rsid w:val="00A327F6"/>
    <w:pPr>
      <w:tabs>
        <w:tab w:val="center" w:pos="4252"/>
        <w:tab w:val="right" w:pos="8504"/>
      </w:tabs>
      <w:spacing w:after="0" w:line="240" w:lineRule="auto"/>
    </w:pPr>
  </w:style>
  <w:style w:type="character" w:customStyle="1" w:styleId="RodapChar">
    <w:name w:val="Rodapé Char"/>
    <w:basedOn w:val="Fontepargpadro"/>
    <w:link w:val="Rodap"/>
    <w:uiPriority w:val="99"/>
    <w:rsid w:val="00A327F6"/>
  </w:style>
  <w:style w:type="character" w:styleId="Refdecomentrio">
    <w:name w:val="annotation reference"/>
    <w:basedOn w:val="Fontepargpadro"/>
    <w:uiPriority w:val="99"/>
    <w:semiHidden/>
    <w:unhideWhenUsed/>
    <w:rsid w:val="00D87DAF"/>
    <w:rPr>
      <w:sz w:val="16"/>
      <w:szCs w:val="16"/>
    </w:rPr>
  </w:style>
  <w:style w:type="paragraph" w:styleId="Textodecomentrio">
    <w:name w:val="annotation text"/>
    <w:basedOn w:val="Normal"/>
    <w:link w:val="TextodecomentrioChar"/>
    <w:uiPriority w:val="99"/>
    <w:unhideWhenUsed/>
    <w:rsid w:val="00D87DAF"/>
    <w:pPr>
      <w:spacing w:line="240" w:lineRule="auto"/>
    </w:pPr>
    <w:rPr>
      <w:sz w:val="20"/>
      <w:szCs w:val="20"/>
    </w:rPr>
  </w:style>
  <w:style w:type="character" w:customStyle="1" w:styleId="TextodecomentrioChar">
    <w:name w:val="Texto de comentário Char"/>
    <w:basedOn w:val="Fontepargpadro"/>
    <w:link w:val="Textodecomentrio"/>
    <w:uiPriority w:val="99"/>
    <w:rsid w:val="00D87DAF"/>
    <w:rPr>
      <w:sz w:val="20"/>
      <w:szCs w:val="20"/>
    </w:rPr>
  </w:style>
  <w:style w:type="paragraph" w:styleId="Assuntodocomentrio">
    <w:name w:val="annotation subject"/>
    <w:basedOn w:val="Textodecomentrio"/>
    <w:next w:val="Textodecomentrio"/>
    <w:link w:val="AssuntodocomentrioChar"/>
    <w:uiPriority w:val="99"/>
    <w:semiHidden/>
    <w:unhideWhenUsed/>
    <w:rsid w:val="00D87DAF"/>
    <w:rPr>
      <w:b/>
      <w:bCs/>
    </w:rPr>
  </w:style>
  <w:style w:type="character" w:customStyle="1" w:styleId="AssuntodocomentrioChar">
    <w:name w:val="Assunto do comentário Char"/>
    <w:basedOn w:val="TextodecomentrioChar"/>
    <w:link w:val="Assuntodocomentrio"/>
    <w:uiPriority w:val="99"/>
    <w:semiHidden/>
    <w:rsid w:val="00D87DAF"/>
    <w:rPr>
      <w:b/>
      <w:bCs/>
      <w:sz w:val="20"/>
      <w:szCs w:val="20"/>
    </w:rPr>
  </w:style>
  <w:style w:type="paragraph" w:styleId="Textodebalo">
    <w:name w:val="Balloon Text"/>
    <w:basedOn w:val="Normal"/>
    <w:link w:val="TextodebaloChar"/>
    <w:uiPriority w:val="99"/>
    <w:semiHidden/>
    <w:unhideWhenUsed/>
    <w:rsid w:val="002628D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2628DD"/>
    <w:rPr>
      <w:rFonts w:ascii="Segoe UI" w:hAnsi="Segoe UI" w:cs="Segoe UI"/>
      <w:sz w:val="18"/>
      <w:szCs w:val="18"/>
    </w:rPr>
  </w:style>
  <w:style w:type="paragraph" w:customStyle="1" w:styleId="recmenor">
    <w:name w:val="rec menor"/>
    <w:basedOn w:val="Normal"/>
    <w:uiPriority w:val="99"/>
    <w:rsid w:val="00C92E87"/>
    <w:pPr>
      <w:widowControl w:val="0"/>
      <w:suppressAutoHyphens/>
      <w:autoSpaceDE w:val="0"/>
      <w:autoSpaceDN w:val="0"/>
      <w:adjustRightInd w:val="0"/>
      <w:spacing w:before="170" w:after="283" w:line="220" w:lineRule="atLeast"/>
      <w:ind w:left="454" w:right="397"/>
      <w:jc w:val="both"/>
      <w:textAlignment w:val="center"/>
    </w:pPr>
    <w:rPr>
      <w:rFonts w:ascii="MinionPro-Regular" w:eastAsiaTheme="minorEastAsia" w:hAnsi="MinionPro-Regular" w:cs="MinionPro-Regular"/>
      <w:color w:val="000000"/>
      <w:w w:val="101"/>
      <w:sz w:val="20"/>
      <w:szCs w:val="20"/>
      <w:lang w:eastAsia="pt-BR"/>
    </w:rPr>
  </w:style>
  <w:style w:type="paragraph" w:customStyle="1" w:styleId="nota">
    <w:name w:val="nota"/>
    <w:basedOn w:val="Normal"/>
    <w:uiPriority w:val="99"/>
    <w:rsid w:val="00C92E87"/>
    <w:pPr>
      <w:widowControl w:val="0"/>
      <w:tabs>
        <w:tab w:val="left" w:pos="320"/>
      </w:tabs>
      <w:autoSpaceDE w:val="0"/>
      <w:autoSpaceDN w:val="0"/>
      <w:adjustRightInd w:val="0"/>
      <w:spacing w:after="57" w:line="200" w:lineRule="atLeast"/>
      <w:ind w:left="227" w:hanging="227"/>
      <w:jc w:val="both"/>
      <w:textAlignment w:val="center"/>
    </w:pPr>
    <w:rPr>
      <w:rFonts w:ascii="MyriadPro-Regular" w:eastAsiaTheme="minorEastAsia" w:hAnsi="MyriadPro-Regular" w:cs="MyriadPro-Regular"/>
      <w:color w:val="000000"/>
      <w:sz w:val="17"/>
      <w:szCs w:val="17"/>
      <w:lang w:eastAsia="pt-BR"/>
    </w:rPr>
  </w:style>
  <w:style w:type="character" w:customStyle="1" w:styleId="italico">
    <w:name w:val="italico"/>
    <w:uiPriority w:val="99"/>
    <w:rsid w:val="00C92E87"/>
    <w:rPr>
      <w:i/>
      <w:color w:val="000000"/>
    </w:rPr>
  </w:style>
  <w:style w:type="character" w:customStyle="1" w:styleId="elevado">
    <w:name w:val="elevado"/>
    <w:uiPriority w:val="99"/>
    <w:rsid w:val="00C92E87"/>
    <w:rPr>
      <w:color w:val="000000"/>
      <w:vertAlign w:val="superscript"/>
    </w:rPr>
  </w:style>
  <w:style w:type="paragraph" w:customStyle="1" w:styleId="t">
    <w:name w:val="t"/>
    <w:basedOn w:val="Normal"/>
    <w:next w:val="Normal"/>
    <w:uiPriority w:val="99"/>
    <w:rsid w:val="00D167BF"/>
    <w:pPr>
      <w:widowControl w:val="0"/>
      <w:autoSpaceDE w:val="0"/>
      <w:autoSpaceDN w:val="0"/>
      <w:adjustRightInd w:val="0"/>
      <w:spacing w:after="57" w:line="240" w:lineRule="atLeast"/>
      <w:ind w:firstLine="454"/>
      <w:jc w:val="both"/>
      <w:textAlignment w:val="center"/>
    </w:pPr>
    <w:rPr>
      <w:rFonts w:ascii="MinionPro-Regular" w:eastAsiaTheme="minorEastAsia" w:hAnsi="MinionPro-Regular" w:cs="MinionPro-Regular"/>
      <w:color w:val="000000"/>
      <w:sz w:val="21"/>
      <w:szCs w:val="21"/>
      <w:lang w:eastAsia="pt-BR"/>
    </w:rPr>
  </w:style>
  <w:style w:type="paragraph" w:styleId="PargrafodaLista">
    <w:name w:val="List Paragraph"/>
    <w:basedOn w:val="Normal"/>
    <w:uiPriority w:val="34"/>
    <w:qFormat/>
    <w:rsid w:val="00FC17DC"/>
    <w:pPr>
      <w:ind w:left="720"/>
      <w:contextualSpacing/>
    </w:pPr>
  </w:style>
  <w:style w:type="paragraph" w:styleId="Reviso">
    <w:name w:val="Revision"/>
    <w:hidden/>
    <w:uiPriority w:val="99"/>
    <w:semiHidden/>
    <w:rsid w:val="00174761"/>
    <w:pPr>
      <w:spacing w:after="0" w:line="240" w:lineRule="auto"/>
    </w:pPr>
  </w:style>
  <w:style w:type="paragraph" w:customStyle="1" w:styleId="recmenorfim">
    <w:name w:val="rec menor fim"/>
    <w:basedOn w:val="t"/>
    <w:uiPriority w:val="99"/>
    <w:rsid w:val="00A97842"/>
    <w:pPr>
      <w:suppressAutoHyphens/>
      <w:spacing w:after="283" w:line="220" w:lineRule="atLeast"/>
      <w:ind w:left="454" w:right="397" w:firstLine="0"/>
    </w:pPr>
    <w:rPr>
      <w:rFonts w:eastAsia="Times New Roman"/>
      <w:sz w:val="20"/>
      <w:szCs w:val="20"/>
    </w:rPr>
  </w:style>
  <w:style w:type="paragraph" w:customStyle="1" w:styleId="recmenorinicio">
    <w:name w:val="rec menor inicio"/>
    <w:basedOn w:val="t"/>
    <w:uiPriority w:val="99"/>
    <w:rsid w:val="00A97842"/>
    <w:pPr>
      <w:suppressAutoHyphens/>
      <w:spacing w:before="170" w:line="220" w:lineRule="atLeast"/>
      <w:ind w:left="454" w:right="397" w:firstLine="0"/>
    </w:pPr>
    <w:rPr>
      <w:rFonts w:eastAsia="Times New Roman"/>
      <w:sz w:val="20"/>
      <w:szCs w:val="20"/>
    </w:rPr>
  </w:style>
  <w:style w:type="paragraph" w:customStyle="1" w:styleId="recmenormeio">
    <w:name w:val="rec menor meio"/>
    <w:basedOn w:val="t"/>
    <w:uiPriority w:val="99"/>
    <w:rsid w:val="00A97842"/>
    <w:pPr>
      <w:suppressAutoHyphens/>
      <w:spacing w:line="220" w:lineRule="atLeast"/>
      <w:ind w:left="454" w:right="397" w:firstLine="0"/>
    </w:pPr>
    <w:rPr>
      <w:rFonts w:eastAsia="Times New Roman"/>
      <w:sz w:val="20"/>
      <w:szCs w:val="20"/>
    </w:rPr>
  </w:style>
  <w:style w:type="paragraph" w:customStyle="1" w:styleId="07-Citaolegal-CLG">
    <w:name w:val="07 - Citação legal - CLG"/>
    <w:qFormat/>
    <w:rsid w:val="00E5446C"/>
    <w:pPr>
      <w:spacing w:after="120" w:line="240" w:lineRule="auto"/>
      <w:ind w:left="1985" w:firstLine="567"/>
      <w:jc w:val="both"/>
    </w:pPr>
    <w:rPr>
      <w:rFonts w:ascii="Times New Roman" w:eastAsia="Times New Roman" w:hAnsi="Times New Roman" w:cs="Times New Roman"/>
      <w:bCs/>
      <w:sz w:val="24"/>
      <w:szCs w:val="20"/>
      <w:lang w:eastAsia="pt-BR"/>
    </w:rPr>
  </w:style>
  <w:style w:type="character" w:customStyle="1" w:styleId="MenoPendente2">
    <w:name w:val="Menção Pendente2"/>
    <w:basedOn w:val="Fontepargpadro"/>
    <w:uiPriority w:val="99"/>
    <w:semiHidden/>
    <w:unhideWhenUsed/>
    <w:rsid w:val="008B65F8"/>
    <w:rPr>
      <w:color w:val="605E5C"/>
      <w:shd w:val="clear" w:color="auto" w:fill="E1DFDD"/>
    </w:rPr>
  </w:style>
  <w:style w:type="paragraph" w:customStyle="1" w:styleId="05-PargrafodetextoPROJETO-CLG">
    <w:name w:val="05 - Parágrafo de texto PROJETO- CLG"/>
    <w:qFormat/>
    <w:rsid w:val="00B62174"/>
    <w:pPr>
      <w:spacing w:after="360" w:line="240" w:lineRule="auto"/>
      <w:ind w:firstLine="1418"/>
      <w:jc w:val="both"/>
    </w:pPr>
    <w:rPr>
      <w:rFonts w:ascii="Times New Roman" w:eastAsia="Times New Roman" w:hAnsi="Times New Roman" w:cs="Times New Roman"/>
      <w:sz w:val="28"/>
      <w:szCs w:val="20"/>
      <w:lang w:eastAsia="pt-BR"/>
    </w:rPr>
  </w:style>
  <w:style w:type="paragraph" w:customStyle="1" w:styleId="frCharChar1">
    <w:name w:val="fr Char Char1"/>
    <w:aliases w:val="fr Char Char Char, Char Char6 Char Char Char Char Char Char Char Char Char Char Char, Char6 Char Char Char Char Char Char Char Char Char Char Char Char,Char Char6 Char Char Char Char Char Char Char Char Char Char Char"/>
    <w:basedOn w:val="Normal"/>
    <w:link w:val="Refdenotaderodap"/>
    <w:uiPriority w:val="99"/>
    <w:rsid w:val="00B62174"/>
    <w:pPr>
      <w:spacing w:after="120" w:line="360" w:lineRule="auto"/>
      <w:jc w:val="center"/>
    </w:pPr>
    <w:rPr>
      <w:vertAlign w:val="superscript"/>
    </w:rPr>
  </w:style>
  <w:style w:type="paragraph" w:styleId="Textodenotadefim">
    <w:name w:val="endnote text"/>
    <w:basedOn w:val="Normal"/>
    <w:link w:val="TextodenotadefimChar"/>
    <w:uiPriority w:val="99"/>
    <w:semiHidden/>
    <w:unhideWhenUsed/>
    <w:rsid w:val="00E4119F"/>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E4119F"/>
    <w:rPr>
      <w:sz w:val="20"/>
      <w:szCs w:val="20"/>
    </w:rPr>
  </w:style>
  <w:style w:type="character" w:styleId="Refdenotadefim">
    <w:name w:val="endnote reference"/>
    <w:basedOn w:val="Fontepargpadro"/>
    <w:uiPriority w:val="99"/>
    <w:semiHidden/>
    <w:unhideWhenUsed/>
    <w:rsid w:val="00E4119F"/>
    <w:rPr>
      <w:vertAlign w:val="superscript"/>
    </w:rPr>
  </w:style>
  <w:style w:type="paragraph" w:customStyle="1" w:styleId="boxiniciorec">
    <w:name w:val="box inicio_rec"/>
    <w:basedOn w:val="Normal"/>
    <w:uiPriority w:val="99"/>
    <w:rsid w:val="00F049DE"/>
    <w:pPr>
      <w:widowControl w:val="0"/>
      <w:shd w:val="clear" w:color="auto" w:fill="000000"/>
      <w:autoSpaceDE w:val="0"/>
      <w:autoSpaceDN w:val="0"/>
      <w:adjustRightInd w:val="0"/>
      <w:spacing w:before="283" w:after="57" w:line="220" w:lineRule="atLeast"/>
      <w:ind w:left="850" w:right="454" w:hanging="283"/>
      <w:jc w:val="both"/>
      <w:textAlignment w:val="center"/>
    </w:pPr>
    <w:rPr>
      <w:rFonts w:ascii="MyriadPro-Regular" w:eastAsia="Times New Roman" w:hAnsi="MyriadPro-Regular" w:cs="MyriadPro-Regular"/>
      <w:color w:val="000000"/>
      <w:sz w:val="20"/>
      <w:szCs w:val="20"/>
      <w:lang w:eastAsia="pt-BR"/>
    </w:rPr>
  </w:style>
  <w:style w:type="paragraph" w:customStyle="1" w:styleId="boxfinalrec">
    <w:name w:val="box final_rec"/>
    <w:basedOn w:val="Normal"/>
    <w:uiPriority w:val="99"/>
    <w:rsid w:val="00F049DE"/>
    <w:pPr>
      <w:widowControl w:val="0"/>
      <w:shd w:val="clear" w:color="auto" w:fill="000000"/>
      <w:autoSpaceDE w:val="0"/>
      <w:autoSpaceDN w:val="0"/>
      <w:adjustRightInd w:val="0"/>
      <w:spacing w:after="283" w:line="220" w:lineRule="atLeast"/>
      <w:ind w:left="850" w:right="454" w:hanging="283"/>
      <w:jc w:val="both"/>
      <w:textAlignment w:val="center"/>
    </w:pPr>
    <w:rPr>
      <w:rFonts w:ascii="MyriadPro-Regular" w:eastAsia="Times New Roman" w:hAnsi="MyriadPro-Regular" w:cs="MyriadPro-Regular"/>
      <w:color w:val="000000"/>
      <w:sz w:val="20"/>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9480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FC5C3F-2610-4274-8AF9-279BA172EF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2840</Words>
  <Characters>14431</Characters>
  <Application>Microsoft Office Word</Application>
  <DocSecurity>0</DocSecurity>
  <Lines>229</Lines>
  <Paragraphs>39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lider</dc:creator>
  <cp:lastModifiedBy>Flávio Tartuce</cp:lastModifiedBy>
  <cp:revision>2</cp:revision>
  <dcterms:created xsi:type="dcterms:W3CDTF">2026-02-03T12:35:00Z</dcterms:created>
  <dcterms:modified xsi:type="dcterms:W3CDTF">2026-02-03T12:35:00Z</dcterms:modified>
</cp:coreProperties>
</file>