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5992" w:rsidRDefault="00D63892" w:rsidP="001F0B30">
      <w:pPr>
        <w:spacing w:before="120" w:after="120" w:line="360" w:lineRule="auto"/>
        <w:jc w:val="center"/>
        <w:rPr>
          <w:rFonts w:ascii="Times New Roman" w:hAnsi="Times New Roman" w:cs="Times New Roman"/>
          <w:b/>
          <w:bCs/>
          <w:sz w:val="24"/>
          <w:szCs w:val="24"/>
        </w:rPr>
      </w:pPr>
      <w:r>
        <w:rPr>
          <w:rFonts w:ascii="Times New Roman" w:hAnsi="Times New Roman" w:cs="Times New Roman"/>
          <w:b/>
          <w:bCs/>
          <w:sz w:val="24"/>
          <w:szCs w:val="24"/>
        </w:rPr>
        <w:t>A REFORMA DO CÓDIGO CIVIL</w:t>
      </w:r>
      <w:r w:rsidR="00925730">
        <w:rPr>
          <w:rFonts w:ascii="Times New Roman" w:hAnsi="Times New Roman" w:cs="Times New Roman"/>
          <w:b/>
          <w:bCs/>
          <w:sz w:val="24"/>
          <w:szCs w:val="24"/>
        </w:rPr>
        <w:t xml:space="preserve"> E</w:t>
      </w:r>
      <w:r w:rsidR="00831927">
        <w:rPr>
          <w:rFonts w:ascii="Times New Roman" w:hAnsi="Times New Roman" w:cs="Times New Roman"/>
          <w:b/>
          <w:bCs/>
          <w:sz w:val="24"/>
          <w:szCs w:val="24"/>
        </w:rPr>
        <w:t xml:space="preserve"> </w:t>
      </w:r>
      <w:r w:rsidR="00CD2BEF">
        <w:rPr>
          <w:rFonts w:ascii="Times New Roman" w:hAnsi="Times New Roman" w:cs="Times New Roman"/>
          <w:b/>
          <w:bCs/>
          <w:sz w:val="24"/>
          <w:szCs w:val="24"/>
        </w:rPr>
        <w:t xml:space="preserve">AS </w:t>
      </w:r>
      <w:r w:rsidR="00231DBA">
        <w:rPr>
          <w:rFonts w:ascii="Times New Roman" w:hAnsi="Times New Roman" w:cs="Times New Roman"/>
          <w:b/>
          <w:bCs/>
          <w:sz w:val="24"/>
          <w:szCs w:val="24"/>
        </w:rPr>
        <w:t xml:space="preserve">REGRAS FUNDAMENTAIS </w:t>
      </w:r>
      <w:r w:rsidR="00331477">
        <w:rPr>
          <w:rFonts w:ascii="Times New Roman" w:hAnsi="Times New Roman" w:cs="Times New Roman"/>
          <w:b/>
          <w:bCs/>
          <w:sz w:val="24"/>
          <w:szCs w:val="24"/>
        </w:rPr>
        <w:t xml:space="preserve">A RESPEITO DO </w:t>
      </w:r>
      <w:r w:rsidR="00331477" w:rsidRPr="005A0224">
        <w:rPr>
          <w:rFonts w:ascii="Times New Roman" w:hAnsi="Times New Roman" w:cs="Times New Roman"/>
          <w:b/>
          <w:bCs/>
          <w:i/>
          <w:sz w:val="24"/>
          <w:szCs w:val="24"/>
        </w:rPr>
        <w:t>DIREITO DE CONSTITUIR FAMÍLIA</w:t>
      </w:r>
      <w:r w:rsidR="00331477">
        <w:rPr>
          <w:rFonts w:ascii="Times New Roman" w:hAnsi="Times New Roman" w:cs="Times New Roman"/>
          <w:b/>
          <w:bCs/>
          <w:sz w:val="24"/>
          <w:szCs w:val="24"/>
        </w:rPr>
        <w:t xml:space="preserve"> </w:t>
      </w:r>
    </w:p>
    <w:p w:rsidR="001B0CD7" w:rsidRDefault="001B0CD7" w:rsidP="00B15AD0">
      <w:pPr>
        <w:spacing w:before="120" w:after="120" w:line="360" w:lineRule="auto"/>
        <w:jc w:val="right"/>
        <w:rPr>
          <w:rFonts w:ascii="Times New Roman" w:hAnsi="Times New Roman" w:cs="Times New Roman"/>
          <w:bCs/>
          <w:sz w:val="24"/>
          <w:szCs w:val="24"/>
        </w:rPr>
      </w:pPr>
    </w:p>
    <w:p w:rsidR="00B15AD0" w:rsidRPr="0027030E" w:rsidRDefault="00B15AD0" w:rsidP="00B15AD0">
      <w:pPr>
        <w:spacing w:before="120" w:after="120" w:line="360" w:lineRule="auto"/>
        <w:jc w:val="right"/>
        <w:rPr>
          <w:rFonts w:ascii="Times New Roman" w:hAnsi="Times New Roman" w:cs="Times New Roman"/>
          <w:bCs/>
          <w:sz w:val="24"/>
          <w:szCs w:val="24"/>
        </w:rPr>
      </w:pPr>
      <w:r w:rsidRPr="0027030E">
        <w:rPr>
          <w:rFonts w:ascii="Times New Roman" w:hAnsi="Times New Roman" w:cs="Times New Roman"/>
          <w:bCs/>
          <w:sz w:val="24"/>
          <w:szCs w:val="24"/>
        </w:rPr>
        <w:t>Flávio Tartuce</w:t>
      </w:r>
      <w:r w:rsidRPr="0027030E">
        <w:rPr>
          <w:rFonts w:ascii="Times New Roman" w:hAnsi="Times New Roman" w:cs="Times New Roman"/>
          <w:bCs/>
          <w:sz w:val="24"/>
          <w:szCs w:val="24"/>
          <w:vertAlign w:val="superscript"/>
        </w:rPr>
        <w:footnoteReference w:id="1"/>
      </w:r>
    </w:p>
    <w:p w:rsidR="00B26B79" w:rsidRDefault="00B26B79" w:rsidP="00B26B79">
      <w:pPr>
        <w:pStyle w:val="t"/>
        <w:spacing w:before="120" w:after="120" w:line="360" w:lineRule="auto"/>
        <w:ind w:firstLine="1701"/>
        <w:rPr>
          <w:rFonts w:ascii="Times New Roman" w:hAnsi="Times New Roman" w:cs="Times New Roman"/>
          <w:sz w:val="24"/>
          <w:szCs w:val="24"/>
        </w:rPr>
      </w:pPr>
    </w:p>
    <w:p w:rsidR="00231DBA" w:rsidRDefault="00416BAE" w:rsidP="005F41FE">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Dando seguimento à</w:t>
      </w:r>
      <w:r w:rsidR="00231DBA">
        <w:rPr>
          <w:rFonts w:ascii="Times New Roman" w:hAnsi="Times New Roman" w:cs="Times New Roman"/>
          <w:sz w:val="24"/>
          <w:szCs w:val="24"/>
        </w:rPr>
        <w:t xml:space="preserve"> análise das propostas do Projeto de Reforma do Código Civil </w:t>
      </w:r>
      <w:r>
        <w:rPr>
          <w:rFonts w:ascii="Times New Roman" w:hAnsi="Times New Roman" w:cs="Times New Roman"/>
          <w:sz w:val="24"/>
          <w:szCs w:val="24"/>
        </w:rPr>
        <w:t>–</w:t>
      </w:r>
      <w:r w:rsidR="00231DBA">
        <w:rPr>
          <w:rFonts w:ascii="Times New Roman" w:hAnsi="Times New Roman" w:cs="Times New Roman"/>
          <w:sz w:val="24"/>
          <w:szCs w:val="24"/>
        </w:rPr>
        <w:t xml:space="preserve"> agora</w:t>
      </w:r>
      <w:r>
        <w:rPr>
          <w:rFonts w:ascii="Times New Roman" w:hAnsi="Times New Roman" w:cs="Times New Roman"/>
          <w:sz w:val="24"/>
          <w:szCs w:val="24"/>
        </w:rPr>
        <w:t>,</w:t>
      </w:r>
      <w:r w:rsidR="00231DBA">
        <w:rPr>
          <w:rFonts w:ascii="Times New Roman" w:hAnsi="Times New Roman" w:cs="Times New Roman"/>
          <w:sz w:val="24"/>
          <w:szCs w:val="24"/>
        </w:rPr>
        <w:t xml:space="preserve"> o PL n. 4/2025, em trâmite no Senado Federal </w:t>
      </w:r>
      <w:r>
        <w:rPr>
          <w:rFonts w:ascii="Times New Roman" w:hAnsi="Times New Roman" w:cs="Times New Roman"/>
          <w:sz w:val="24"/>
          <w:szCs w:val="24"/>
        </w:rPr>
        <w:t>‒</w:t>
      </w:r>
      <w:r w:rsidR="00231DBA">
        <w:rPr>
          <w:rFonts w:ascii="Times New Roman" w:hAnsi="Times New Roman" w:cs="Times New Roman"/>
          <w:sz w:val="24"/>
          <w:szCs w:val="24"/>
        </w:rPr>
        <w:t>, analisarei</w:t>
      </w:r>
      <w:r>
        <w:rPr>
          <w:rFonts w:ascii="Times New Roman" w:hAnsi="Times New Roman" w:cs="Times New Roman"/>
          <w:sz w:val="24"/>
          <w:szCs w:val="24"/>
        </w:rPr>
        <w:t>,</w:t>
      </w:r>
      <w:r w:rsidR="00231DBA">
        <w:rPr>
          <w:rFonts w:ascii="Times New Roman" w:hAnsi="Times New Roman" w:cs="Times New Roman"/>
          <w:sz w:val="24"/>
          <w:szCs w:val="24"/>
        </w:rPr>
        <w:t xml:space="preserve"> neste texto</w:t>
      </w:r>
      <w:r>
        <w:rPr>
          <w:rFonts w:ascii="Times New Roman" w:hAnsi="Times New Roman" w:cs="Times New Roman"/>
          <w:sz w:val="24"/>
          <w:szCs w:val="24"/>
        </w:rPr>
        <w:t>,</w:t>
      </w:r>
      <w:r w:rsidR="00231DBA">
        <w:rPr>
          <w:rFonts w:ascii="Times New Roman" w:hAnsi="Times New Roman" w:cs="Times New Roman"/>
          <w:sz w:val="24"/>
          <w:szCs w:val="24"/>
        </w:rPr>
        <w:t xml:space="preserve"> as regras inaugurais a respeito </w:t>
      </w:r>
      <w:r w:rsidR="00E83783">
        <w:rPr>
          <w:rFonts w:ascii="Times New Roman" w:hAnsi="Times New Roman" w:cs="Times New Roman"/>
          <w:sz w:val="24"/>
          <w:szCs w:val="24"/>
        </w:rPr>
        <w:t>do Direito de Família</w:t>
      </w:r>
      <w:r w:rsidR="00331477">
        <w:rPr>
          <w:rFonts w:ascii="Times New Roman" w:hAnsi="Times New Roman" w:cs="Times New Roman"/>
          <w:sz w:val="24"/>
          <w:szCs w:val="24"/>
        </w:rPr>
        <w:t xml:space="preserve">. </w:t>
      </w:r>
    </w:p>
    <w:p w:rsidR="00EC6D8C" w:rsidRDefault="00231DBA" w:rsidP="005F41FE">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Antes des</w:t>
      </w:r>
      <w:r w:rsidR="00416BAE">
        <w:rPr>
          <w:rFonts w:ascii="Times New Roman" w:hAnsi="Times New Roman" w:cs="Times New Roman"/>
          <w:sz w:val="24"/>
          <w:szCs w:val="24"/>
        </w:rPr>
        <w:t>t</w:t>
      </w:r>
      <w:r>
        <w:rPr>
          <w:rFonts w:ascii="Times New Roman" w:hAnsi="Times New Roman" w:cs="Times New Roman"/>
          <w:sz w:val="24"/>
          <w:szCs w:val="24"/>
        </w:rPr>
        <w:t>e estudo, importante observar que</w:t>
      </w:r>
      <w:r w:rsidR="00416BAE">
        <w:rPr>
          <w:rFonts w:ascii="Times New Roman" w:hAnsi="Times New Roman" w:cs="Times New Roman"/>
          <w:sz w:val="24"/>
          <w:szCs w:val="24"/>
        </w:rPr>
        <w:t>,</w:t>
      </w:r>
      <w:r>
        <w:rPr>
          <w:rFonts w:ascii="Times New Roman" w:hAnsi="Times New Roman" w:cs="Times New Roman"/>
          <w:sz w:val="24"/>
          <w:szCs w:val="24"/>
        </w:rPr>
        <w:t xml:space="preserve"> d</w:t>
      </w:r>
      <w:r w:rsidRPr="00231DBA">
        <w:rPr>
          <w:rFonts w:ascii="Times New Roman" w:hAnsi="Times New Roman" w:cs="Times New Roman"/>
          <w:sz w:val="24"/>
          <w:szCs w:val="24"/>
        </w:rPr>
        <w:t xml:space="preserve">iante das profundas alterações </w:t>
      </w:r>
      <w:r>
        <w:rPr>
          <w:rFonts w:ascii="Times New Roman" w:hAnsi="Times New Roman" w:cs="Times New Roman"/>
          <w:sz w:val="24"/>
          <w:szCs w:val="24"/>
        </w:rPr>
        <w:t>verificadas nos últimos anos</w:t>
      </w:r>
      <w:r w:rsidRPr="00231DBA">
        <w:rPr>
          <w:rFonts w:ascii="Times New Roman" w:hAnsi="Times New Roman" w:cs="Times New Roman"/>
          <w:sz w:val="24"/>
          <w:szCs w:val="24"/>
        </w:rPr>
        <w:t>, sendo o projeto original do vigente Código Civil de 1972 e contando com mais de cinquenta anos, justifica</w:t>
      </w:r>
      <w:r w:rsidR="00416BAE">
        <w:rPr>
          <w:rFonts w:ascii="Times New Roman" w:hAnsi="Times New Roman" w:cs="Times New Roman"/>
          <w:sz w:val="24"/>
          <w:szCs w:val="24"/>
        </w:rPr>
        <w:t>m</w:t>
      </w:r>
      <w:r w:rsidRPr="00231DBA">
        <w:rPr>
          <w:rFonts w:ascii="Times New Roman" w:hAnsi="Times New Roman" w:cs="Times New Roman"/>
          <w:sz w:val="24"/>
          <w:szCs w:val="24"/>
        </w:rPr>
        <w:t xml:space="preserve">-se plenamente </w:t>
      </w:r>
      <w:r w:rsidR="00331477">
        <w:rPr>
          <w:rFonts w:ascii="Times New Roman" w:hAnsi="Times New Roman" w:cs="Times New Roman"/>
          <w:sz w:val="24"/>
          <w:szCs w:val="24"/>
        </w:rPr>
        <w:t>a ampla</w:t>
      </w:r>
      <w:r w:rsidRPr="00231DBA">
        <w:rPr>
          <w:rFonts w:ascii="Times New Roman" w:hAnsi="Times New Roman" w:cs="Times New Roman"/>
          <w:sz w:val="24"/>
          <w:szCs w:val="24"/>
        </w:rPr>
        <w:t xml:space="preserve"> reforma e atualização</w:t>
      </w:r>
      <w:r>
        <w:rPr>
          <w:rFonts w:ascii="Times New Roman" w:hAnsi="Times New Roman" w:cs="Times New Roman"/>
          <w:sz w:val="24"/>
          <w:szCs w:val="24"/>
        </w:rPr>
        <w:t xml:space="preserve"> do livro de Direito de Família</w:t>
      </w:r>
      <w:r w:rsidRPr="00231DBA">
        <w:rPr>
          <w:rFonts w:ascii="Times New Roman" w:hAnsi="Times New Roman" w:cs="Times New Roman"/>
          <w:sz w:val="24"/>
          <w:szCs w:val="24"/>
        </w:rPr>
        <w:t>, pois ele já “nasceu velho”</w:t>
      </w:r>
      <w:r w:rsidR="00331477">
        <w:rPr>
          <w:rFonts w:ascii="Times New Roman" w:hAnsi="Times New Roman" w:cs="Times New Roman"/>
          <w:sz w:val="24"/>
          <w:szCs w:val="24"/>
        </w:rPr>
        <w:t>, sobretudo nessa seara</w:t>
      </w:r>
      <w:r w:rsidRPr="00231DBA">
        <w:rPr>
          <w:rFonts w:ascii="Times New Roman" w:hAnsi="Times New Roman" w:cs="Times New Roman"/>
          <w:sz w:val="24"/>
          <w:szCs w:val="24"/>
        </w:rPr>
        <w:t xml:space="preserve">. </w:t>
      </w:r>
    </w:p>
    <w:p w:rsidR="00231DBA" w:rsidRDefault="00EC6D8C" w:rsidP="005F41FE">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Nesse contexto</w:t>
      </w:r>
      <w:r w:rsidR="00331477">
        <w:rPr>
          <w:rFonts w:ascii="Times New Roman" w:hAnsi="Times New Roman" w:cs="Times New Roman"/>
          <w:sz w:val="24"/>
          <w:szCs w:val="24"/>
        </w:rPr>
        <w:t xml:space="preserve">, </w:t>
      </w:r>
      <w:r w:rsidR="00231DBA" w:rsidRPr="00231DBA">
        <w:rPr>
          <w:rFonts w:ascii="Times New Roman" w:hAnsi="Times New Roman" w:cs="Times New Roman"/>
          <w:sz w:val="24"/>
          <w:szCs w:val="24"/>
        </w:rPr>
        <w:t>além de alterações pontuais e específicas dos institutos de Direito de Família, é imperiosa uma mudança na estruturação no livro de Direito de Família, o que foi proposto pela Relatora-Geral, a Professora Rosa Maria de Andrade Nery, e acatado pela Comissão de Juristas</w:t>
      </w:r>
      <w:r w:rsidR="00E83783">
        <w:rPr>
          <w:rFonts w:ascii="Times New Roman" w:hAnsi="Times New Roman" w:cs="Times New Roman"/>
          <w:sz w:val="24"/>
          <w:szCs w:val="24"/>
        </w:rPr>
        <w:t xml:space="preserve"> em votação</w:t>
      </w:r>
      <w:r w:rsidR="00231DBA" w:rsidRPr="00231DBA">
        <w:rPr>
          <w:rFonts w:ascii="Times New Roman" w:hAnsi="Times New Roman" w:cs="Times New Roman"/>
          <w:sz w:val="24"/>
          <w:szCs w:val="24"/>
        </w:rPr>
        <w:t xml:space="preserve">, da seguinte forma: </w:t>
      </w:r>
    </w:p>
    <w:p w:rsidR="00231DBA" w:rsidRDefault="00231DBA" w:rsidP="00231DBA">
      <w:pPr>
        <w:pStyle w:val="t"/>
        <w:spacing w:before="120" w:after="120" w:line="360" w:lineRule="auto"/>
        <w:ind w:left="567" w:firstLine="0"/>
        <w:rPr>
          <w:rFonts w:ascii="Times New Roman" w:hAnsi="Times New Roman" w:cs="Times New Roman"/>
          <w:sz w:val="22"/>
          <w:szCs w:val="22"/>
        </w:rPr>
      </w:pPr>
      <w:r w:rsidRPr="00231DBA">
        <w:rPr>
          <w:rFonts w:ascii="Times New Roman" w:hAnsi="Times New Roman" w:cs="Times New Roman"/>
          <w:sz w:val="22"/>
          <w:szCs w:val="22"/>
        </w:rPr>
        <w:t xml:space="preserve">“TÍTULO I – DO DIREITO PESSOAL. </w:t>
      </w:r>
    </w:p>
    <w:p w:rsidR="00231DBA" w:rsidRDefault="00231DBA" w:rsidP="00231DBA">
      <w:pPr>
        <w:pStyle w:val="t"/>
        <w:spacing w:before="120" w:after="120" w:line="360" w:lineRule="auto"/>
        <w:ind w:left="567" w:firstLine="0"/>
        <w:rPr>
          <w:rFonts w:ascii="Times New Roman" w:hAnsi="Times New Roman" w:cs="Times New Roman"/>
          <w:sz w:val="22"/>
          <w:szCs w:val="22"/>
        </w:rPr>
      </w:pPr>
      <w:r w:rsidRPr="00231DBA">
        <w:rPr>
          <w:rFonts w:ascii="Times New Roman" w:hAnsi="Times New Roman" w:cs="Times New Roman"/>
          <w:sz w:val="22"/>
          <w:szCs w:val="22"/>
        </w:rPr>
        <w:t xml:space="preserve">SUBTÍTULO I – DO DIREITO DE CONSTITUIR FAMÍLIA. </w:t>
      </w:r>
    </w:p>
    <w:p w:rsidR="00231DBA" w:rsidRDefault="00231DBA" w:rsidP="00231DBA">
      <w:pPr>
        <w:pStyle w:val="t"/>
        <w:spacing w:before="120" w:after="120" w:line="360" w:lineRule="auto"/>
        <w:ind w:left="567" w:firstLine="0"/>
        <w:rPr>
          <w:rFonts w:ascii="Times New Roman" w:hAnsi="Times New Roman" w:cs="Times New Roman"/>
          <w:sz w:val="22"/>
          <w:szCs w:val="22"/>
        </w:rPr>
      </w:pPr>
      <w:r w:rsidRPr="00231DBA">
        <w:rPr>
          <w:rFonts w:ascii="Times New Roman" w:hAnsi="Times New Roman" w:cs="Times New Roman"/>
          <w:sz w:val="22"/>
          <w:szCs w:val="22"/>
        </w:rPr>
        <w:t>CAPÍTULO – I</w:t>
      </w:r>
      <w:r>
        <w:rPr>
          <w:rFonts w:ascii="Times New Roman" w:hAnsi="Times New Roman" w:cs="Times New Roman"/>
          <w:sz w:val="22"/>
          <w:szCs w:val="22"/>
        </w:rPr>
        <w:t xml:space="preserve"> </w:t>
      </w:r>
      <w:r w:rsidRPr="00231DBA">
        <w:rPr>
          <w:rFonts w:ascii="Times New Roman" w:hAnsi="Times New Roman" w:cs="Times New Roman"/>
          <w:sz w:val="22"/>
          <w:szCs w:val="22"/>
        </w:rPr>
        <w:t xml:space="preserve">DISPOSIÇÕES GERAIS. </w:t>
      </w:r>
    </w:p>
    <w:p w:rsidR="00231DBA" w:rsidRDefault="00231DBA" w:rsidP="00231DBA">
      <w:pPr>
        <w:pStyle w:val="t"/>
        <w:spacing w:before="120" w:after="120" w:line="360" w:lineRule="auto"/>
        <w:ind w:left="567" w:firstLine="0"/>
        <w:rPr>
          <w:rFonts w:ascii="Times New Roman" w:hAnsi="Times New Roman" w:cs="Times New Roman"/>
          <w:sz w:val="22"/>
          <w:szCs w:val="22"/>
        </w:rPr>
      </w:pPr>
      <w:r w:rsidRPr="00231DBA">
        <w:rPr>
          <w:rFonts w:ascii="Times New Roman" w:hAnsi="Times New Roman" w:cs="Times New Roman"/>
          <w:sz w:val="22"/>
          <w:szCs w:val="22"/>
        </w:rPr>
        <w:t xml:space="preserve">CAPÍTULO II – DAS PESSOAS NA FAMÍLIA. </w:t>
      </w:r>
    </w:p>
    <w:p w:rsidR="00231DBA" w:rsidRDefault="00231DBA" w:rsidP="00231DBA">
      <w:pPr>
        <w:pStyle w:val="t"/>
        <w:spacing w:before="120" w:after="120" w:line="360" w:lineRule="auto"/>
        <w:ind w:left="567" w:firstLine="0"/>
        <w:rPr>
          <w:rFonts w:ascii="Times New Roman" w:hAnsi="Times New Roman" w:cs="Times New Roman"/>
          <w:sz w:val="22"/>
          <w:szCs w:val="22"/>
        </w:rPr>
      </w:pPr>
      <w:r w:rsidRPr="00231DBA">
        <w:rPr>
          <w:rFonts w:ascii="Times New Roman" w:hAnsi="Times New Roman" w:cs="Times New Roman"/>
          <w:sz w:val="22"/>
          <w:szCs w:val="22"/>
        </w:rPr>
        <w:t xml:space="preserve">CAPÍTULO III – DO CASAMENTO. Seção I – Dos Impedimentos. Seção II – Do procedimento pré-nupcial e da celebração do casamento. Seção III – Das Formas Especiais de Celebração do Casamento. Seção IV – Das </w:t>
      </w:r>
      <w:r w:rsidR="00416BAE">
        <w:rPr>
          <w:rFonts w:ascii="Times New Roman" w:hAnsi="Times New Roman" w:cs="Times New Roman"/>
          <w:sz w:val="22"/>
          <w:szCs w:val="22"/>
        </w:rPr>
        <w:t>P</w:t>
      </w:r>
      <w:r w:rsidRPr="00231DBA">
        <w:rPr>
          <w:rFonts w:ascii="Times New Roman" w:hAnsi="Times New Roman" w:cs="Times New Roman"/>
          <w:sz w:val="22"/>
          <w:szCs w:val="22"/>
        </w:rPr>
        <w:t xml:space="preserve">rovas do Casamento. Seção V – Da Invalidade do Casamento. </w:t>
      </w:r>
    </w:p>
    <w:p w:rsidR="00231DBA" w:rsidRDefault="00231DBA" w:rsidP="00231DBA">
      <w:pPr>
        <w:pStyle w:val="t"/>
        <w:spacing w:before="120" w:after="120" w:line="360" w:lineRule="auto"/>
        <w:ind w:left="567" w:firstLine="0"/>
        <w:rPr>
          <w:rFonts w:ascii="Times New Roman" w:hAnsi="Times New Roman" w:cs="Times New Roman"/>
          <w:sz w:val="22"/>
          <w:szCs w:val="22"/>
        </w:rPr>
      </w:pPr>
      <w:r w:rsidRPr="00231DBA">
        <w:rPr>
          <w:rFonts w:ascii="Times New Roman" w:hAnsi="Times New Roman" w:cs="Times New Roman"/>
          <w:sz w:val="22"/>
          <w:szCs w:val="22"/>
        </w:rPr>
        <w:t xml:space="preserve">CAPÍTULO IV – DA UNIÃO ESTÁVEL. </w:t>
      </w:r>
    </w:p>
    <w:p w:rsidR="00231DBA" w:rsidRDefault="00231DBA" w:rsidP="00231DBA">
      <w:pPr>
        <w:pStyle w:val="t"/>
        <w:spacing w:before="120" w:after="120" w:line="360" w:lineRule="auto"/>
        <w:ind w:left="567" w:firstLine="0"/>
        <w:rPr>
          <w:rFonts w:ascii="Times New Roman" w:hAnsi="Times New Roman" w:cs="Times New Roman"/>
          <w:sz w:val="22"/>
          <w:szCs w:val="22"/>
        </w:rPr>
      </w:pPr>
      <w:r w:rsidRPr="00231DBA">
        <w:rPr>
          <w:rFonts w:ascii="Times New Roman" w:hAnsi="Times New Roman" w:cs="Times New Roman"/>
          <w:sz w:val="22"/>
          <w:szCs w:val="22"/>
        </w:rPr>
        <w:lastRenderedPageBreak/>
        <w:t xml:space="preserve">CAPÍTULO V – DA EFICÁCIA DO CASAMENTO E DA UNIÃO ESTÁVEL. </w:t>
      </w:r>
    </w:p>
    <w:p w:rsidR="00231DBA" w:rsidRDefault="00231DBA" w:rsidP="00231DBA">
      <w:pPr>
        <w:pStyle w:val="t"/>
        <w:spacing w:before="120" w:after="120" w:line="360" w:lineRule="auto"/>
        <w:ind w:left="567" w:firstLine="0"/>
        <w:rPr>
          <w:rFonts w:ascii="Times New Roman" w:hAnsi="Times New Roman" w:cs="Times New Roman"/>
          <w:sz w:val="22"/>
          <w:szCs w:val="22"/>
        </w:rPr>
      </w:pPr>
      <w:r w:rsidRPr="00231DBA">
        <w:rPr>
          <w:rFonts w:ascii="Times New Roman" w:hAnsi="Times New Roman" w:cs="Times New Roman"/>
          <w:sz w:val="22"/>
          <w:szCs w:val="22"/>
        </w:rPr>
        <w:t xml:space="preserve">CAPÍTULO VI – DA DISSOLUÇÃO DA SOCIEDADE E DO VÍNCULO CONJUGAIS. </w:t>
      </w:r>
    </w:p>
    <w:p w:rsidR="00231DBA" w:rsidRDefault="00231DBA" w:rsidP="00231DBA">
      <w:pPr>
        <w:pStyle w:val="t"/>
        <w:spacing w:before="120" w:after="120" w:line="360" w:lineRule="auto"/>
        <w:ind w:left="567" w:firstLine="0"/>
        <w:rPr>
          <w:rFonts w:ascii="Times New Roman" w:hAnsi="Times New Roman" w:cs="Times New Roman"/>
          <w:sz w:val="22"/>
          <w:szCs w:val="22"/>
        </w:rPr>
      </w:pPr>
      <w:r w:rsidRPr="00231DBA">
        <w:rPr>
          <w:rFonts w:ascii="Times New Roman" w:hAnsi="Times New Roman" w:cs="Times New Roman"/>
          <w:sz w:val="22"/>
          <w:szCs w:val="22"/>
        </w:rPr>
        <w:t xml:space="preserve">SUBTÍTULO II – DA FILIAÇÃO. </w:t>
      </w:r>
    </w:p>
    <w:p w:rsidR="00231DBA" w:rsidRDefault="00231DBA" w:rsidP="00231DBA">
      <w:pPr>
        <w:pStyle w:val="t"/>
        <w:spacing w:before="120" w:after="120" w:line="360" w:lineRule="auto"/>
        <w:ind w:left="567" w:firstLine="0"/>
        <w:rPr>
          <w:rFonts w:ascii="Times New Roman" w:hAnsi="Times New Roman" w:cs="Times New Roman"/>
          <w:sz w:val="22"/>
          <w:szCs w:val="22"/>
        </w:rPr>
      </w:pPr>
      <w:r w:rsidRPr="00231DBA">
        <w:rPr>
          <w:rFonts w:ascii="Times New Roman" w:hAnsi="Times New Roman" w:cs="Times New Roman"/>
          <w:sz w:val="22"/>
          <w:szCs w:val="22"/>
        </w:rPr>
        <w:t xml:space="preserve">CAPÍTULO I – DA CONVIVÊNCIA ENTRE PAIS E FILHOS E DO EXERCÍCIO DA AUTORIDADE PARENTAL. </w:t>
      </w:r>
    </w:p>
    <w:p w:rsidR="00231DBA" w:rsidRDefault="00231DBA" w:rsidP="00231DBA">
      <w:pPr>
        <w:pStyle w:val="t"/>
        <w:spacing w:before="120" w:after="120" w:line="360" w:lineRule="auto"/>
        <w:ind w:left="567" w:firstLine="0"/>
        <w:rPr>
          <w:rFonts w:ascii="Times New Roman" w:hAnsi="Times New Roman" w:cs="Times New Roman"/>
          <w:sz w:val="22"/>
          <w:szCs w:val="22"/>
        </w:rPr>
      </w:pPr>
      <w:r w:rsidRPr="00231DBA">
        <w:rPr>
          <w:rFonts w:ascii="Times New Roman" w:hAnsi="Times New Roman" w:cs="Times New Roman"/>
          <w:sz w:val="22"/>
          <w:szCs w:val="22"/>
        </w:rPr>
        <w:t xml:space="preserve">CAPÍTULO II – DO RECONHECIMENTO DOS FILHOS. </w:t>
      </w:r>
    </w:p>
    <w:p w:rsidR="00231DBA" w:rsidRDefault="00231DBA" w:rsidP="00231DBA">
      <w:pPr>
        <w:pStyle w:val="t"/>
        <w:spacing w:before="120" w:after="120" w:line="360" w:lineRule="auto"/>
        <w:ind w:left="567" w:firstLine="0"/>
        <w:rPr>
          <w:rFonts w:ascii="Times New Roman" w:hAnsi="Times New Roman" w:cs="Times New Roman"/>
          <w:sz w:val="22"/>
          <w:szCs w:val="22"/>
        </w:rPr>
      </w:pPr>
      <w:r w:rsidRPr="00231DBA">
        <w:rPr>
          <w:rFonts w:ascii="Times New Roman" w:hAnsi="Times New Roman" w:cs="Times New Roman"/>
          <w:sz w:val="22"/>
          <w:szCs w:val="22"/>
        </w:rPr>
        <w:t xml:space="preserve">CAPÍTULO III – DA SOCIOAFETIVIDADE. </w:t>
      </w:r>
    </w:p>
    <w:p w:rsidR="00231DBA" w:rsidRDefault="00231DBA" w:rsidP="00231DBA">
      <w:pPr>
        <w:pStyle w:val="t"/>
        <w:spacing w:before="120" w:after="120" w:line="360" w:lineRule="auto"/>
        <w:ind w:left="567" w:firstLine="0"/>
        <w:rPr>
          <w:rFonts w:ascii="Times New Roman" w:hAnsi="Times New Roman" w:cs="Times New Roman"/>
          <w:sz w:val="22"/>
          <w:szCs w:val="22"/>
        </w:rPr>
      </w:pPr>
      <w:r w:rsidRPr="00231DBA">
        <w:rPr>
          <w:rFonts w:ascii="Times New Roman" w:hAnsi="Times New Roman" w:cs="Times New Roman"/>
          <w:sz w:val="22"/>
          <w:szCs w:val="22"/>
        </w:rPr>
        <w:t xml:space="preserve">CAPÍTULO IV – DA ADOÇÃO. </w:t>
      </w:r>
    </w:p>
    <w:p w:rsidR="00231DBA" w:rsidRDefault="00231DBA" w:rsidP="00231DBA">
      <w:pPr>
        <w:pStyle w:val="t"/>
        <w:spacing w:before="120" w:after="120" w:line="360" w:lineRule="auto"/>
        <w:ind w:left="567" w:firstLine="0"/>
        <w:rPr>
          <w:rFonts w:ascii="Times New Roman" w:hAnsi="Times New Roman" w:cs="Times New Roman"/>
          <w:sz w:val="22"/>
          <w:szCs w:val="22"/>
        </w:rPr>
      </w:pPr>
      <w:r w:rsidRPr="00231DBA">
        <w:rPr>
          <w:rFonts w:ascii="Times New Roman" w:hAnsi="Times New Roman" w:cs="Times New Roman"/>
          <w:sz w:val="22"/>
          <w:szCs w:val="22"/>
        </w:rPr>
        <w:t xml:space="preserve">CAPÍTULO V – DA FILIAÇÃO DECORRENTE DE REPRODUÇÃO ASSISTIDA. Seção I – Disposições Gerais. Seção II – Doação de Gametas. Seção III – Da Cessão Temporária de Útero. Seção IV – Da Reprodução Assistida Post Mortem. Seção V – Do Consentimento Informado. Seção VI – Das Ações de Investigação de Vínculo Biológico e Negatória de Paternidade. </w:t>
      </w:r>
    </w:p>
    <w:p w:rsidR="00231DBA" w:rsidRDefault="00231DBA" w:rsidP="00231DBA">
      <w:pPr>
        <w:pStyle w:val="t"/>
        <w:spacing w:before="120" w:after="120" w:line="360" w:lineRule="auto"/>
        <w:ind w:left="567" w:firstLine="0"/>
        <w:rPr>
          <w:rFonts w:ascii="Times New Roman" w:hAnsi="Times New Roman" w:cs="Times New Roman"/>
          <w:sz w:val="22"/>
          <w:szCs w:val="22"/>
        </w:rPr>
      </w:pPr>
      <w:r w:rsidRPr="00231DBA">
        <w:rPr>
          <w:rFonts w:ascii="Times New Roman" w:hAnsi="Times New Roman" w:cs="Times New Roman"/>
          <w:sz w:val="22"/>
          <w:szCs w:val="22"/>
        </w:rPr>
        <w:t xml:space="preserve">CAPÍTULO VI – DA AUTORIDADE PARENTAL. Seção I – Disposições Gerais. Seção II – Do Exercício da </w:t>
      </w:r>
      <w:r w:rsidR="00416BAE">
        <w:rPr>
          <w:rFonts w:ascii="Times New Roman" w:hAnsi="Times New Roman" w:cs="Times New Roman"/>
          <w:sz w:val="22"/>
          <w:szCs w:val="22"/>
        </w:rPr>
        <w:t>A</w:t>
      </w:r>
      <w:r w:rsidRPr="00231DBA">
        <w:rPr>
          <w:rFonts w:ascii="Times New Roman" w:hAnsi="Times New Roman" w:cs="Times New Roman"/>
          <w:sz w:val="22"/>
          <w:szCs w:val="22"/>
        </w:rPr>
        <w:t xml:space="preserve">utoridade </w:t>
      </w:r>
      <w:r w:rsidR="00416BAE">
        <w:rPr>
          <w:rFonts w:ascii="Times New Roman" w:hAnsi="Times New Roman" w:cs="Times New Roman"/>
          <w:sz w:val="22"/>
          <w:szCs w:val="22"/>
        </w:rPr>
        <w:t>P</w:t>
      </w:r>
      <w:r w:rsidRPr="00231DBA">
        <w:rPr>
          <w:rFonts w:ascii="Times New Roman" w:hAnsi="Times New Roman" w:cs="Times New Roman"/>
          <w:sz w:val="22"/>
          <w:szCs w:val="22"/>
        </w:rPr>
        <w:t xml:space="preserve">arental. Seção III – Da Suspensão e Extinção da Autoridade Parental. </w:t>
      </w:r>
    </w:p>
    <w:p w:rsidR="00231DBA" w:rsidRDefault="00231DBA" w:rsidP="00231DBA">
      <w:pPr>
        <w:pStyle w:val="t"/>
        <w:spacing w:before="120" w:after="120" w:line="360" w:lineRule="auto"/>
        <w:ind w:left="567" w:firstLine="0"/>
        <w:rPr>
          <w:rFonts w:ascii="Times New Roman" w:hAnsi="Times New Roman" w:cs="Times New Roman"/>
          <w:sz w:val="22"/>
          <w:szCs w:val="22"/>
        </w:rPr>
      </w:pPr>
      <w:r w:rsidRPr="00231DBA">
        <w:rPr>
          <w:rFonts w:ascii="Times New Roman" w:hAnsi="Times New Roman" w:cs="Times New Roman"/>
          <w:sz w:val="22"/>
          <w:szCs w:val="22"/>
        </w:rPr>
        <w:t xml:space="preserve">TÍTULO II – DO DIREITO PATRIMONIAL. </w:t>
      </w:r>
    </w:p>
    <w:p w:rsidR="00231DBA" w:rsidRDefault="00231DBA" w:rsidP="00231DBA">
      <w:pPr>
        <w:pStyle w:val="t"/>
        <w:spacing w:before="120" w:after="120" w:line="360" w:lineRule="auto"/>
        <w:ind w:left="567" w:firstLine="0"/>
        <w:rPr>
          <w:rFonts w:ascii="Times New Roman" w:hAnsi="Times New Roman" w:cs="Times New Roman"/>
          <w:sz w:val="22"/>
          <w:szCs w:val="22"/>
        </w:rPr>
      </w:pPr>
      <w:r w:rsidRPr="00231DBA">
        <w:rPr>
          <w:rFonts w:ascii="Times New Roman" w:hAnsi="Times New Roman" w:cs="Times New Roman"/>
          <w:sz w:val="22"/>
          <w:szCs w:val="22"/>
        </w:rPr>
        <w:t xml:space="preserve">SUBTÍTULO I – DO REGIME DE BENS ENTRE OS CÔNJUGES. </w:t>
      </w:r>
    </w:p>
    <w:p w:rsidR="00231DBA" w:rsidRDefault="00231DBA" w:rsidP="00231DBA">
      <w:pPr>
        <w:pStyle w:val="t"/>
        <w:spacing w:before="120" w:after="120" w:line="360" w:lineRule="auto"/>
        <w:ind w:left="567" w:firstLine="0"/>
        <w:rPr>
          <w:rFonts w:ascii="Times New Roman" w:hAnsi="Times New Roman" w:cs="Times New Roman"/>
          <w:sz w:val="22"/>
          <w:szCs w:val="22"/>
        </w:rPr>
      </w:pPr>
      <w:r w:rsidRPr="00231DBA">
        <w:rPr>
          <w:rFonts w:ascii="Times New Roman" w:hAnsi="Times New Roman" w:cs="Times New Roman"/>
          <w:sz w:val="22"/>
          <w:szCs w:val="22"/>
        </w:rPr>
        <w:t xml:space="preserve">CAPÍTULO I – DISPOSIÇÕES GERAIS. </w:t>
      </w:r>
    </w:p>
    <w:p w:rsidR="00231DBA" w:rsidRDefault="00231DBA" w:rsidP="00231DBA">
      <w:pPr>
        <w:pStyle w:val="t"/>
        <w:spacing w:before="120" w:after="120" w:line="360" w:lineRule="auto"/>
        <w:ind w:left="567" w:firstLine="0"/>
        <w:rPr>
          <w:rFonts w:ascii="Times New Roman" w:hAnsi="Times New Roman" w:cs="Times New Roman"/>
          <w:sz w:val="22"/>
          <w:szCs w:val="22"/>
        </w:rPr>
      </w:pPr>
      <w:r w:rsidRPr="00231DBA">
        <w:rPr>
          <w:rFonts w:ascii="Times New Roman" w:hAnsi="Times New Roman" w:cs="Times New Roman"/>
          <w:sz w:val="22"/>
          <w:szCs w:val="22"/>
        </w:rPr>
        <w:t xml:space="preserve">CAPÍTULO II – DOS PACTOS CONJUGAL E CONVIVENCIAL. </w:t>
      </w:r>
    </w:p>
    <w:p w:rsidR="00231DBA" w:rsidRDefault="00231DBA" w:rsidP="00231DBA">
      <w:pPr>
        <w:pStyle w:val="t"/>
        <w:spacing w:before="120" w:after="120" w:line="360" w:lineRule="auto"/>
        <w:ind w:left="567" w:firstLine="0"/>
        <w:rPr>
          <w:rFonts w:ascii="Times New Roman" w:hAnsi="Times New Roman" w:cs="Times New Roman"/>
          <w:sz w:val="22"/>
          <w:szCs w:val="22"/>
        </w:rPr>
      </w:pPr>
      <w:r w:rsidRPr="00231DBA">
        <w:rPr>
          <w:rFonts w:ascii="Times New Roman" w:hAnsi="Times New Roman" w:cs="Times New Roman"/>
          <w:sz w:val="22"/>
          <w:szCs w:val="22"/>
        </w:rPr>
        <w:t xml:space="preserve">CAPÍTULO III – DO REGIME DE COMUNHÃO PARCIAL. </w:t>
      </w:r>
    </w:p>
    <w:p w:rsidR="00231DBA" w:rsidRDefault="00231DBA" w:rsidP="00231DBA">
      <w:pPr>
        <w:pStyle w:val="t"/>
        <w:spacing w:before="120" w:after="120" w:line="360" w:lineRule="auto"/>
        <w:ind w:left="567" w:firstLine="0"/>
        <w:rPr>
          <w:rFonts w:ascii="Times New Roman" w:hAnsi="Times New Roman" w:cs="Times New Roman"/>
          <w:sz w:val="22"/>
          <w:szCs w:val="22"/>
        </w:rPr>
      </w:pPr>
      <w:r w:rsidRPr="00231DBA">
        <w:rPr>
          <w:rFonts w:ascii="Times New Roman" w:hAnsi="Times New Roman" w:cs="Times New Roman"/>
          <w:sz w:val="22"/>
          <w:szCs w:val="22"/>
        </w:rPr>
        <w:t xml:space="preserve">CAPÍTULO IV – DO REGIME DE COMUNHÃO UNIVERSAL. </w:t>
      </w:r>
    </w:p>
    <w:p w:rsidR="00231DBA" w:rsidRDefault="00231DBA" w:rsidP="00231DBA">
      <w:pPr>
        <w:pStyle w:val="t"/>
        <w:spacing w:before="120" w:after="120" w:line="360" w:lineRule="auto"/>
        <w:ind w:left="567" w:firstLine="0"/>
        <w:rPr>
          <w:rFonts w:ascii="Times New Roman" w:hAnsi="Times New Roman" w:cs="Times New Roman"/>
          <w:sz w:val="22"/>
          <w:szCs w:val="22"/>
        </w:rPr>
      </w:pPr>
      <w:r w:rsidRPr="00231DBA">
        <w:rPr>
          <w:rFonts w:ascii="Times New Roman" w:hAnsi="Times New Roman" w:cs="Times New Roman"/>
          <w:sz w:val="22"/>
          <w:szCs w:val="22"/>
        </w:rPr>
        <w:t xml:space="preserve">CAPÍTULO V – DO REGIME DE SEPARAÇÃO DE BENS. </w:t>
      </w:r>
    </w:p>
    <w:p w:rsidR="00231DBA" w:rsidRDefault="00231DBA" w:rsidP="00231DBA">
      <w:pPr>
        <w:pStyle w:val="t"/>
        <w:spacing w:before="120" w:after="120" w:line="360" w:lineRule="auto"/>
        <w:ind w:left="567" w:firstLine="0"/>
        <w:rPr>
          <w:rFonts w:ascii="Times New Roman" w:hAnsi="Times New Roman" w:cs="Times New Roman"/>
          <w:sz w:val="22"/>
          <w:szCs w:val="22"/>
        </w:rPr>
      </w:pPr>
      <w:r w:rsidRPr="00231DBA">
        <w:rPr>
          <w:rFonts w:ascii="Times New Roman" w:hAnsi="Times New Roman" w:cs="Times New Roman"/>
          <w:sz w:val="22"/>
          <w:szCs w:val="22"/>
        </w:rPr>
        <w:t>SUBTÍTULO II – DO USUFRUTO E DA ADMINISTRAÇÃO DOS BENS DE FILHOS MENORES.</w:t>
      </w:r>
    </w:p>
    <w:p w:rsidR="00231DBA" w:rsidRDefault="00231DBA" w:rsidP="00231DBA">
      <w:pPr>
        <w:pStyle w:val="t"/>
        <w:spacing w:before="120" w:after="120" w:line="360" w:lineRule="auto"/>
        <w:ind w:left="567" w:firstLine="0"/>
        <w:rPr>
          <w:rFonts w:ascii="Times New Roman" w:hAnsi="Times New Roman" w:cs="Times New Roman"/>
          <w:sz w:val="22"/>
          <w:szCs w:val="22"/>
        </w:rPr>
      </w:pPr>
      <w:r w:rsidRPr="00231DBA">
        <w:rPr>
          <w:rFonts w:ascii="Times New Roman" w:hAnsi="Times New Roman" w:cs="Times New Roman"/>
          <w:sz w:val="22"/>
          <w:szCs w:val="22"/>
        </w:rPr>
        <w:t xml:space="preserve">SUBTÍTULO III – DOS ALIMENTOS. </w:t>
      </w:r>
    </w:p>
    <w:p w:rsidR="00231DBA" w:rsidRDefault="00231DBA" w:rsidP="00231DBA">
      <w:pPr>
        <w:pStyle w:val="t"/>
        <w:spacing w:before="120" w:after="120" w:line="360" w:lineRule="auto"/>
        <w:ind w:left="567" w:firstLine="0"/>
        <w:rPr>
          <w:rFonts w:ascii="Times New Roman" w:hAnsi="Times New Roman" w:cs="Times New Roman"/>
          <w:sz w:val="22"/>
          <w:szCs w:val="22"/>
        </w:rPr>
      </w:pPr>
      <w:r w:rsidRPr="00231DBA">
        <w:rPr>
          <w:rFonts w:ascii="Times New Roman" w:hAnsi="Times New Roman" w:cs="Times New Roman"/>
          <w:sz w:val="22"/>
          <w:szCs w:val="22"/>
        </w:rPr>
        <w:t xml:space="preserve">CAPÍTULO I – DAS DISPOSIÇÕES GERAIS. </w:t>
      </w:r>
    </w:p>
    <w:p w:rsidR="00231DBA" w:rsidRDefault="00231DBA" w:rsidP="00231DBA">
      <w:pPr>
        <w:pStyle w:val="t"/>
        <w:spacing w:before="120" w:after="120" w:line="360" w:lineRule="auto"/>
        <w:ind w:left="567" w:firstLine="0"/>
        <w:rPr>
          <w:rFonts w:ascii="Times New Roman" w:hAnsi="Times New Roman" w:cs="Times New Roman"/>
          <w:sz w:val="22"/>
          <w:szCs w:val="22"/>
        </w:rPr>
      </w:pPr>
      <w:r w:rsidRPr="00231DBA">
        <w:rPr>
          <w:rFonts w:ascii="Times New Roman" w:hAnsi="Times New Roman" w:cs="Times New Roman"/>
          <w:sz w:val="22"/>
          <w:szCs w:val="22"/>
        </w:rPr>
        <w:t xml:space="preserve">CAPÍTULO II – DOS ALIMENTOS DEVIDOS A NASCITURO E GESTANTE. </w:t>
      </w:r>
    </w:p>
    <w:p w:rsidR="00231DBA" w:rsidRDefault="00231DBA" w:rsidP="00231DBA">
      <w:pPr>
        <w:pStyle w:val="t"/>
        <w:spacing w:before="120" w:after="120" w:line="360" w:lineRule="auto"/>
        <w:ind w:left="567" w:firstLine="0"/>
        <w:rPr>
          <w:rFonts w:ascii="Times New Roman" w:hAnsi="Times New Roman" w:cs="Times New Roman"/>
          <w:sz w:val="22"/>
          <w:szCs w:val="22"/>
        </w:rPr>
      </w:pPr>
      <w:r w:rsidRPr="00231DBA">
        <w:rPr>
          <w:rFonts w:ascii="Times New Roman" w:hAnsi="Times New Roman" w:cs="Times New Roman"/>
          <w:sz w:val="22"/>
          <w:szCs w:val="22"/>
        </w:rPr>
        <w:t xml:space="preserve">CAPÍTULO III – DOS ALIMENTOS DEVIDOS ÀS FAMÍLIAS CONJUGAIS. </w:t>
      </w:r>
      <w:r w:rsidRPr="00231DBA">
        <w:rPr>
          <w:rFonts w:ascii="Times New Roman" w:hAnsi="Times New Roman" w:cs="Times New Roman"/>
          <w:sz w:val="22"/>
          <w:szCs w:val="22"/>
        </w:rPr>
        <w:lastRenderedPageBreak/>
        <w:t xml:space="preserve">CAPÍTULO IV – DOS ALIMENTOS COMPENSATÓRIOS. </w:t>
      </w:r>
    </w:p>
    <w:p w:rsidR="00231DBA" w:rsidRDefault="00231DBA" w:rsidP="00231DBA">
      <w:pPr>
        <w:pStyle w:val="t"/>
        <w:spacing w:before="120" w:after="120" w:line="360" w:lineRule="auto"/>
        <w:ind w:left="567" w:firstLine="0"/>
        <w:rPr>
          <w:rFonts w:ascii="Times New Roman" w:hAnsi="Times New Roman" w:cs="Times New Roman"/>
          <w:sz w:val="22"/>
          <w:szCs w:val="22"/>
        </w:rPr>
      </w:pPr>
      <w:r w:rsidRPr="00231DBA">
        <w:rPr>
          <w:rFonts w:ascii="Times New Roman" w:hAnsi="Times New Roman" w:cs="Times New Roman"/>
          <w:sz w:val="22"/>
          <w:szCs w:val="22"/>
        </w:rPr>
        <w:t xml:space="preserve">TÍTULO III – Da Tutela, da Curatela e da Tomada de Decisão Apoiada. </w:t>
      </w:r>
    </w:p>
    <w:p w:rsidR="00231DBA" w:rsidRDefault="00231DBA" w:rsidP="00231DBA">
      <w:pPr>
        <w:pStyle w:val="t"/>
        <w:spacing w:before="120" w:after="120" w:line="360" w:lineRule="auto"/>
        <w:ind w:left="567" w:firstLine="0"/>
        <w:rPr>
          <w:rFonts w:ascii="Times New Roman" w:hAnsi="Times New Roman" w:cs="Times New Roman"/>
          <w:sz w:val="22"/>
          <w:szCs w:val="22"/>
        </w:rPr>
      </w:pPr>
      <w:r w:rsidRPr="00231DBA">
        <w:rPr>
          <w:rFonts w:ascii="Times New Roman" w:hAnsi="Times New Roman" w:cs="Times New Roman"/>
          <w:sz w:val="22"/>
          <w:szCs w:val="22"/>
        </w:rPr>
        <w:t xml:space="preserve">CAPÍTULO I – DA TUTELA. Seção I – Dos Tutores. Seção II – Dos Incapazes de Exercer a Tutela. Seção III – Do Exercício da Tutela. Seção IV – Da Cessação da Tutela. Seção V – Dos Bens do Tutelado. </w:t>
      </w:r>
    </w:p>
    <w:p w:rsidR="00231DBA" w:rsidRDefault="00231DBA" w:rsidP="00231DBA">
      <w:pPr>
        <w:pStyle w:val="t"/>
        <w:spacing w:before="120" w:after="120" w:line="360" w:lineRule="auto"/>
        <w:ind w:left="567" w:firstLine="0"/>
        <w:rPr>
          <w:rFonts w:ascii="Times New Roman" w:hAnsi="Times New Roman" w:cs="Times New Roman"/>
          <w:sz w:val="22"/>
          <w:szCs w:val="22"/>
        </w:rPr>
      </w:pPr>
      <w:r w:rsidRPr="00231DBA">
        <w:rPr>
          <w:rFonts w:ascii="Times New Roman" w:hAnsi="Times New Roman" w:cs="Times New Roman"/>
          <w:sz w:val="22"/>
          <w:szCs w:val="22"/>
        </w:rPr>
        <w:t xml:space="preserve">CAPÍTULO II – DA CURATELA. Seção I – Das pessoas sujeitas à curatela. Seção I-A – Da Diretiva Antecipada de Curatela. Seção II – Da curatela de nascituro e de gestante. </w:t>
      </w:r>
    </w:p>
    <w:p w:rsidR="00231DBA" w:rsidRPr="00231DBA" w:rsidRDefault="00231DBA" w:rsidP="00231DBA">
      <w:pPr>
        <w:pStyle w:val="t"/>
        <w:spacing w:before="120" w:after="120" w:line="360" w:lineRule="auto"/>
        <w:ind w:left="567" w:firstLine="0"/>
        <w:rPr>
          <w:rFonts w:ascii="Times New Roman" w:hAnsi="Times New Roman" w:cs="Times New Roman"/>
          <w:sz w:val="22"/>
          <w:szCs w:val="22"/>
        </w:rPr>
      </w:pPr>
      <w:r w:rsidRPr="00231DBA">
        <w:rPr>
          <w:rFonts w:ascii="Times New Roman" w:hAnsi="Times New Roman" w:cs="Times New Roman"/>
          <w:sz w:val="22"/>
          <w:szCs w:val="22"/>
        </w:rPr>
        <w:t xml:space="preserve">CAPÍTULO III – Da Tomada de Decisão Apoiada”. </w:t>
      </w:r>
    </w:p>
    <w:p w:rsidR="00231DBA" w:rsidRDefault="00231DBA" w:rsidP="005F41FE">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Ressalto que o livro de Direito de Família é o único</w:t>
      </w:r>
      <w:r w:rsidR="00416BAE">
        <w:rPr>
          <w:rFonts w:ascii="Times New Roman" w:hAnsi="Times New Roman" w:cs="Times New Roman"/>
          <w:sz w:val="24"/>
          <w:szCs w:val="24"/>
        </w:rPr>
        <w:t>,</w:t>
      </w:r>
      <w:r>
        <w:rPr>
          <w:rFonts w:ascii="Times New Roman" w:hAnsi="Times New Roman" w:cs="Times New Roman"/>
          <w:sz w:val="24"/>
          <w:szCs w:val="24"/>
        </w:rPr>
        <w:t xml:space="preserve"> </w:t>
      </w:r>
      <w:r w:rsidR="00E83783">
        <w:rPr>
          <w:rFonts w:ascii="Times New Roman" w:hAnsi="Times New Roman" w:cs="Times New Roman"/>
          <w:sz w:val="24"/>
          <w:szCs w:val="24"/>
        </w:rPr>
        <w:t>entre todos da Lei Geral Privada</w:t>
      </w:r>
      <w:r w:rsidR="00416BAE">
        <w:rPr>
          <w:rFonts w:ascii="Times New Roman" w:hAnsi="Times New Roman" w:cs="Times New Roman"/>
          <w:sz w:val="24"/>
          <w:szCs w:val="24"/>
        </w:rPr>
        <w:t>,</w:t>
      </w:r>
      <w:r w:rsidR="00E83783">
        <w:rPr>
          <w:rFonts w:ascii="Times New Roman" w:hAnsi="Times New Roman" w:cs="Times New Roman"/>
          <w:sz w:val="24"/>
          <w:szCs w:val="24"/>
        </w:rPr>
        <w:t xml:space="preserve"> </w:t>
      </w:r>
      <w:r>
        <w:rPr>
          <w:rFonts w:ascii="Times New Roman" w:hAnsi="Times New Roman" w:cs="Times New Roman"/>
          <w:sz w:val="24"/>
          <w:szCs w:val="24"/>
        </w:rPr>
        <w:t xml:space="preserve">que conta com uma proposta de </w:t>
      </w:r>
      <w:r w:rsidRPr="00EC6D8C">
        <w:rPr>
          <w:rFonts w:ascii="Times New Roman" w:hAnsi="Times New Roman" w:cs="Times New Roman"/>
          <w:i/>
          <w:sz w:val="24"/>
          <w:szCs w:val="24"/>
        </w:rPr>
        <w:t>remodelação metodológica</w:t>
      </w:r>
      <w:r>
        <w:rPr>
          <w:rFonts w:ascii="Times New Roman" w:hAnsi="Times New Roman" w:cs="Times New Roman"/>
          <w:sz w:val="24"/>
          <w:szCs w:val="24"/>
        </w:rPr>
        <w:t xml:space="preserve"> em sua organização, iniciando-se </w:t>
      </w:r>
      <w:r w:rsidR="00331477">
        <w:rPr>
          <w:rFonts w:ascii="Times New Roman" w:hAnsi="Times New Roman" w:cs="Times New Roman"/>
          <w:sz w:val="24"/>
          <w:szCs w:val="24"/>
        </w:rPr>
        <w:t xml:space="preserve">justamente </w:t>
      </w:r>
      <w:r>
        <w:rPr>
          <w:rFonts w:ascii="Times New Roman" w:hAnsi="Times New Roman" w:cs="Times New Roman"/>
          <w:sz w:val="24"/>
          <w:szCs w:val="24"/>
        </w:rPr>
        <w:t xml:space="preserve">com suas regras fundamentais a respeito do </w:t>
      </w:r>
      <w:r w:rsidRPr="00E83783">
        <w:rPr>
          <w:rFonts w:ascii="Times New Roman" w:hAnsi="Times New Roman" w:cs="Times New Roman"/>
          <w:i/>
          <w:sz w:val="24"/>
          <w:szCs w:val="24"/>
        </w:rPr>
        <w:t xml:space="preserve">direito de constituir </w:t>
      </w:r>
      <w:r>
        <w:rPr>
          <w:rFonts w:ascii="Times New Roman" w:hAnsi="Times New Roman" w:cs="Times New Roman"/>
          <w:sz w:val="24"/>
          <w:szCs w:val="24"/>
        </w:rPr>
        <w:t xml:space="preserve">família, </w:t>
      </w:r>
      <w:r w:rsidR="00EC6D8C">
        <w:rPr>
          <w:rFonts w:ascii="Times New Roman" w:hAnsi="Times New Roman" w:cs="Times New Roman"/>
          <w:sz w:val="24"/>
          <w:szCs w:val="24"/>
        </w:rPr>
        <w:t xml:space="preserve">novamente </w:t>
      </w:r>
      <w:r>
        <w:rPr>
          <w:rFonts w:ascii="Times New Roman" w:hAnsi="Times New Roman" w:cs="Times New Roman"/>
          <w:sz w:val="24"/>
          <w:szCs w:val="24"/>
        </w:rPr>
        <w:t xml:space="preserve">como foi proposto pela Relatora-Geral, Professora Rosa Maria de Andrade Nery. </w:t>
      </w:r>
    </w:p>
    <w:p w:rsidR="00231DBA" w:rsidRDefault="00231DBA" w:rsidP="005F41FE">
      <w:pPr>
        <w:pStyle w:val="t"/>
        <w:spacing w:before="120" w:after="120" w:line="360" w:lineRule="auto"/>
        <w:ind w:firstLine="1701"/>
        <w:rPr>
          <w:rFonts w:ascii="Times New Roman" w:hAnsi="Times New Roman" w:cs="Times New Roman"/>
          <w:sz w:val="24"/>
          <w:szCs w:val="24"/>
        </w:rPr>
      </w:pPr>
      <w:r w:rsidRPr="00231DBA">
        <w:rPr>
          <w:rFonts w:ascii="Times New Roman" w:hAnsi="Times New Roman" w:cs="Times New Roman"/>
          <w:sz w:val="24"/>
          <w:szCs w:val="24"/>
        </w:rPr>
        <w:t xml:space="preserve">Além dessa reestruturação, a Comissão de Juristas chegou a votar a eventual alteração do nome do livro para o plural: </w:t>
      </w:r>
      <w:r w:rsidRPr="00331477">
        <w:rPr>
          <w:rFonts w:ascii="Times New Roman" w:hAnsi="Times New Roman" w:cs="Times New Roman"/>
          <w:i/>
          <w:sz w:val="24"/>
          <w:szCs w:val="24"/>
        </w:rPr>
        <w:t>Direito das Famílias</w:t>
      </w:r>
      <w:r w:rsidRPr="00231DBA">
        <w:rPr>
          <w:rFonts w:ascii="Times New Roman" w:hAnsi="Times New Roman" w:cs="Times New Roman"/>
          <w:sz w:val="24"/>
          <w:szCs w:val="24"/>
        </w:rPr>
        <w:t xml:space="preserve">, seguindo proposta sugerida por Maria Berenice Dias. Porém, por ampla maioria de votos e por razões diversas, manteve-se o termo como está: </w:t>
      </w:r>
      <w:r w:rsidRPr="00331477">
        <w:rPr>
          <w:rFonts w:ascii="Times New Roman" w:hAnsi="Times New Roman" w:cs="Times New Roman"/>
          <w:i/>
          <w:sz w:val="24"/>
          <w:szCs w:val="24"/>
        </w:rPr>
        <w:t>Direito de Família</w:t>
      </w:r>
      <w:r w:rsidRPr="00231DBA">
        <w:rPr>
          <w:rFonts w:ascii="Times New Roman" w:hAnsi="Times New Roman" w:cs="Times New Roman"/>
          <w:sz w:val="24"/>
          <w:szCs w:val="24"/>
        </w:rPr>
        <w:t>. Com o devido respeito, penso que a alteração do nome do livro em nada modificaria a efetiva inclusão de novas entidades familiares, que já consta de trechos da Reforma.</w:t>
      </w:r>
    </w:p>
    <w:p w:rsidR="00331477" w:rsidRDefault="00331477" w:rsidP="005F41FE">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No que diz respeito ao </w:t>
      </w:r>
      <w:r w:rsidRPr="00EC6D8C">
        <w:rPr>
          <w:rFonts w:ascii="Times New Roman" w:hAnsi="Times New Roman" w:cs="Times New Roman"/>
          <w:i/>
          <w:sz w:val="24"/>
          <w:szCs w:val="24"/>
        </w:rPr>
        <w:t>direito de constituir família</w:t>
      </w:r>
      <w:r>
        <w:rPr>
          <w:rFonts w:ascii="Times New Roman" w:hAnsi="Times New Roman" w:cs="Times New Roman"/>
          <w:sz w:val="24"/>
          <w:szCs w:val="24"/>
        </w:rPr>
        <w:t>, como primeira disposição geral a ser analisada, c</w:t>
      </w:r>
      <w:r w:rsidR="00231DBA" w:rsidRPr="00231DBA">
        <w:rPr>
          <w:rFonts w:ascii="Times New Roman" w:hAnsi="Times New Roman" w:cs="Times New Roman"/>
          <w:sz w:val="24"/>
          <w:szCs w:val="24"/>
        </w:rPr>
        <w:t xml:space="preserve">onsoante o novo art. 1.511-A, </w:t>
      </w:r>
      <w:r w:rsidR="00231DBA" w:rsidRPr="00331477">
        <w:rPr>
          <w:rFonts w:ascii="Times New Roman" w:hAnsi="Times New Roman" w:cs="Times New Roman"/>
          <w:i/>
          <w:sz w:val="24"/>
          <w:szCs w:val="24"/>
        </w:rPr>
        <w:t>caput</w:t>
      </w:r>
      <w:r w:rsidR="00231DBA" w:rsidRPr="00231DBA">
        <w:rPr>
          <w:rFonts w:ascii="Times New Roman" w:hAnsi="Times New Roman" w:cs="Times New Roman"/>
          <w:sz w:val="24"/>
          <w:szCs w:val="24"/>
        </w:rPr>
        <w:t xml:space="preserve">, </w:t>
      </w:r>
      <w:r>
        <w:rPr>
          <w:rFonts w:ascii="Times New Roman" w:hAnsi="Times New Roman" w:cs="Times New Roman"/>
          <w:sz w:val="24"/>
          <w:szCs w:val="24"/>
        </w:rPr>
        <w:t xml:space="preserve">do Código Civil </w:t>
      </w:r>
      <w:r w:rsidR="00231DBA" w:rsidRPr="00231DBA">
        <w:rPr>
          <w:rFonts w:ascii="Times New Roman" w:hAnsi="Times New Roman" w:cs="Times New Roman"/>
          <w:sz w:val="24"/>
          <w:szCs w:val="24"/>
        </w:rPr>
        <w:t xml:space="preserve">“o planejamento familiar é de livre decisão do casal, competindo ao Estado propiciar recursos educacionais e financeiros para o exercício deste direito, vedada qualquer forma de coerção, por parte de instituições privadas ou públicas”, o que representa uma </w:t>
      </w:r>
      <w:r w:rsidR="00231DBA" w:rsidRPr="00331477">
        <w:rPr>
          <w:rFonts w:ascii="Times New Roman" w:hAnsi="Times New Roman" w:cs="Times New Roman"/>
          <w:i/>
          <w:sz w:val="24"/>
          <w:szCs w:val="24"/>
        </w:rPr>
        <w:t>especificação civil</w:t>
      </w:r>
      <w:r w:rsidR="00231DBA" w:rsidRPr="00231DBA">
        <w:rPr>
          <w:rFonts w:ascii="Times New Roman" w:hAnsi="Times New Roman" w:cs="Times New Roman"/>
          <w:sz w:val="24"/>
          <w:szCs w:val="24"/>
        </w:rPr>
        <w:t xml:space="preserve"> da regra já prevista no art. 227, § 6º, da Constituição Federal. </w:t>
      </w:r>
    </w:p>
    <w:p w:rsidR="00EC6D8C" w:rsidRDefault="00231DBA" w:rsidP="005F41FE">
      <w:pPr>
        <w:pStyle w:val="t"/>
        <w:spacing w:before="120" w:after="120" w:line="360" w:lineRule="auto"/>
        <w:ind w:firstLine="1701"/>
        <w:rPr>
          <w:rFonts w:ascii="Times New Roman" w:hAnsi="Times New Roman" w:cs="Times New Roman"/>
          <w:sz w:val="24"/>
          <w:szCs w:val="24"/>
        </w:rPr>
      </w:pPr>
      <w:r w:rsidRPr="00231DBA">
        <w:rPr>
          <w:rFonts w:ascii="Times New Roman" w:hAnsi="Times New Roman" w:cs="Times New Roman"/>
          <w:sz w:val="24"/>
          <w:szCs w:val="24"/>
        </w:rPr>
        <w:t>O § 1º d</w:t>
      </w:r>
      <w:r w:rsidR="00E83783">
        <w:rPr>
          <w:rFonts w:ascii="Times New Roman" w:hAnsi="Times New Roman" w:cs="Times New Roman"/>
          <w:sz w:val="24"/>
          <w:szCs w:val="24"/>
        </w:rPr>
        <w:t>esse</w:t>
      </w:r>
      <w:r w:rsidRPr="00231DBA">
        <w:rPr>
          <w:rFonts w:ascii="Times New Roman" w:hAnsi="Times New Roman" w:cs="Times New Roman"/>
          <w:sz w:val="24"/>
          <w:szCs w:val="24"/>
        </w:rPr>
        <w:t xml:space="preserve"> novo preceito tutela a proteção do nascituro e do embrião no seio da família, tratando-os como pessoas desde a concepção e confirmando a adoção da </w:t>
      </w:r>
      <w:r w:rsidRPr="00EC6D8C">
        <w:rPr>
          <w:rFonts w:ascii="Times New Roman" w:hAnsi="Times New Roman" w:cs="Times New Roman"/>
          <w:i/>
          <w:sz w:val="24"/>
          <w:szCs w:val="24"/>
        </w:rPr>
        <w:t>teoria concepcionista</w:t>
      </w:r>
      <w:r w:rsidR="00331477">
        <w:rPr>
          <w:rFonts w:ascii="Times New Roman" w:hAnsi="Times New Roman" w:cs="Times New Roman"/>
          <w:sz w:val="24"/>
          <w:szCs w:val="24"/>
        </w:rPr>
        <w:t>, para os fins do Direito Civil Brasileiro</w:t>
      </w:r>
      <w:r w:rsidR="00FE20A8">
        <w:rPr>
          <w:rFonts w:ascii="Times New Roman" w:hAnsi="Times New Roman" w:cs="Times New Roman"/>
          <w:sz w:val="24"/>
          <w:szCs w:val="24"/>
        </w:rPr>
        <w:t xml:space="preserve"> e nesses limites</w:t>
      </w:r>
      <w:r w:rsidRPr="00231DBA">
        <w:rPr>
          <w:rFonts w:ascii="Times New Roman" w:hAnsi="Times New Roman" w:cs="Times New Roman"/>
          <w:sz w:val="24"/>
          <w:szCs w:val="24"/>
        </w:rPr>
        <w:t xml:space="preserve">: “A potencialidade da vida humana pré-uterina e a vida humana pré-uterina e uterina são expressões da dignidade humana e de paternidade e maternidade responsáveis”. </w:t>
      </w:r>
    </w:p>
    <w:p w:rsidR="00331477" w:rsidRDefault="00231DBA" w:rsidP="005F41FE">
      <w:pPr>
        <w:pStyle w:val="t"/>
        <w:spacing w:before="120" w:after="120" w:line="360" w:lineRule="auto"/>
        <w:ind w:firstLine="1701"/>
        <w:rPr>
          <w:rFonts w:ascii="Times New Roman" w:hAnsi="Times New Roman" w:cs="Times New Roman"/>
          <w:sz w:val="24"/>
          <w:szCs w:val="24"/>
        </w:rPr>
      </w:pPr>
      <w:r w:rsidRPr="00231DBA">
        <w:rPr>
          <w:rFonts w:ascii="Times New Roman" w:hAnsi="Times New Roman" w:cs="Times New Roman"/>
          <w:sz w:val="24"/>
          <w:szCs w:val="24"/>
        </w:rPr>
        <w:t xml:space="preserve">A menção à potencialidade humana pré-uterina diz respeito aos gametas, aos óvulos e aos espermatozoides, tratados como expressões da dignidade </w:t>
      </w:r>
      <w:r w:rsidRPr="00231DBA">
        <w:rPr>
          <w:rFonts w:ascii="Times New Roman" w:hAnsi="Times New Roman" w:cs="Times New Roman"/>
          <w:sz w:val="24"/>
          <w:szCs w:val="24"/>
        </w:rPr>
        <w:lastRenderedPageBreak/>
        <w:t xml:space="preserve">humana, com vistas a se vedar sua venda ou comercialização. </w:t>
      </w:r>
      <w:r w:rsidR="00331477">
        <w:rPr>
          <w:rFonts w:ascii="Times New Roman" w:hAnsi="Times New Roman" w:cs="Times New Roman"/>
          <w:sz w:val="24"/>
          <w:szCs w:val="24"/>
        </w:rPr>
        <w:t xml:space="preserve">A esse propósito, é também incluído na codificação privada um novo art. 1.629-F, no novo tratamento da reprodução assistida, prevendo que </w:t>
      </w:r>
      <w:r w:rsidR="00416BAE">
        <w:rPr>
          <w:rFonts w:ascii="Times New Roman" w:hAnsi="Times New Roman" w:cs="Times New Roman"/>
          <w:sz w:val="24"/>
          <w:szCs w:val="24"/>
        </w:rPr>
        <w:t>“</w:t>
      </w:r>
      <w:r w:rsidR="00331477">
        <w:rPr>
          <w:rFonts w:ascii="Times New Roman" w:hAnsi="Times New Roman" w:cs="Times New Roman"/>
          <w:sz w:val="24"/>
          <w:szCs w:val="24"/>
        </w:rPr>
        <w:t>é</w:t>
      </w:r>
      <w:r w:rsidR="00331477" w:rsidRPr="00331477">
        <w:rPr>
          <w:rFonts w:ascii="Times New Roman" w:hAnsi="Times New Roman" w:cs="Times New Roman"/>
          <w:sz w:val="24"/>
          <w:szCs w:val="24"/>
        </w:rPr>
        <w:t xml:space="preserve"> permitida a doação pura e simples de gametas, vedada a sua comercialização a qualquer título</w:t>
      </w:r>
      <w:r w:rsidR="00416BAE">
        <w:rPr>
          <w:rFonts w:ascii="Times New Roman" w:hAnsi="Times New Roman" w:cs="Times New Roman"/>
          <w:sz w:val="24"/>
          <w:szCs w:val="24"/>
        </w:rPr>
        <w:t>”</w:t>
      </w:r>
      <w:r w:rsidR="00331477" w:rsidRPr="00331477">
        <w:rPr>
          <w:rFonts w:ascii="Times New Roman" w:hAnsi="Times New Roman" w:cs="Times New Roman"/>
          <w:sz w:val="24"/>
          <w:szCs w:val="24"/>
        </w:rPr>
        <w:t>.</w:t>
      </w:r>
    </w:p>
    <w:p w:rsidR="00331477" w:rsidRDefault="00231DBA" w:rsidP="005F41FE">
      <w:pPr>
        <w:pStyle w:val="t"/>
        <w:spacing w:before="120" w:after="120" w:line="360" w:lineRule="auto"/>
        <w:ind w:firstLine="1701"/>
        <w:rPr>
          <w:rFonts w:ascii="Times New Roman" w:hAnsi="Times New Roman" w:cs="Times New Roman"/>
          <w:sz w:val="24"/>
          <w:szCs w:val="24"/>
        </w:rPr>
      </w:pPr>
      <w:r w:rsidRPr="00231DBA">
        <w:rPr>
          <w:rFonts w:ascii="Times New Roman" w:hAnsi="Times New Roman" w:cs="Times New Roman"/>
          <w:sz w:val="24"/>
          <w:szCs w:val="24"/>
        </w:rPr>
        <w:t>A ampla e necessária proteção da gestante e, por via indireta, mais uma</w:t>
      </w:r>
      <w:r w:rsidR="008C19E7">
        <w:rPr>
          <w:rFonts w:ascii="Times New Roman" w:hAnsi="Times New Roman" w:cs="Times New Roman"/>
          <w:sz w:val="24"/>
          <w:szCs w:val="24"/>
        </w:rPr>
        <w:t>,</w:t>
      </w:r>
      <w:r w:rsidRPr="00231DBA">
        <w:rPr>
          <w:rFonts w:ascii="Times New Roman" w:hAnsi="Times New Roman" w:cs="Times New Roman"/>
          <w:sz w:val="24"/>
          <w:szCs w:val="24"/>
        </w:rPr>
        <w:t xml:space="preserve"> vez do nascituro, passa a ser expressa na projeção de novo § 2º ao art. 1.511, o que é salutar: “O cuidado físico e psíquico que se deva dar a gestante ou a quem pretende engravidar é tema concernente à intimidade da vida familiar com o suporte de assistência médica que o Estado deve prestar à família”. </w:t>
      </w:r>
      <w:r w:rsidR="00331477">
        <w:rPr>
          <w:rFonts w:ascii="Times New Roman" w:hAnsi="Times New Roman" w:cs="Times New Roman"/>
          <w:sz w:val="24"/>
          <w:szCs w:val="24"/>
        </w:rPr>
        <w:t xml:space="preserve">Deve ficar claro que não há </w:t>
      </w:r>
      <w:r w:rsidR="008C19E7">
        <w:rPr>
          <w:rFonts w:ascii="Times New Roman" w:hAnsi="Times New Roman" w:cs="Times New Roman"/>
          <w:sz w:val="24"/>
          <w:szCs w:val="24"/>
        </w:rPr>
        <w:t xml:space="preserve">nenhuma </w:t>
      </w:r>
      <w:r w:rsidR="00331477">
        <w:rPr>
          <w:rFonts w:ascii="Times New Roman" w:hAnsi="Times New Roman" w:cs="Times New Roman"/>
          <w:sz w:val="24"/>
          <w:szCs w:val="24"/>
        </w:rPr>
        <w:t xml:space="preserve">relação das duas normas com o aborto, pois esse tema não deve ser tratado pelo Código Civil, mas pelo Código Penal. Essa foi a posição que acabou prevalecendo na Comissão de Juristas, com a adoção do texto final. </w:t>
      </w:r>
    </w:p>
    <w:p w:rsidR="00331477" w:rsidRDefault="00231DBA" w:rsidP="005F41FE">
      <w:pPr>
        <w:pStyle w:val="t"/>
        <w:spacing w:before="120" w:after="120" w:line="360" w:lineRule="auto"/>
        <w:ind w:firstLine="1701"/>
        <w:rPr>
          <w:rFonts w:ascii="Times New Roman" w:hAnsi="Times New Roman" w:cs="Times New Roman"/>
          <w:sz w:val="24"/>
          <w:szCs w:val="24"/>
        </w:rPr>
      </w:pPr>
      <w:r w:rsidRPr="00231DBA">
        <w:rPr>
          <w:rFonts w:ascii="Times New Roman" w:hAnsi="Times New Roman" w:cs="Times New Roman"/>
          <w:sz w:val="24"/>
          <w:szCs w:val="24"/>
        </w:rPr>
        <w:t xml:space="preserve">Sobre as famílias protegidas expressamente na legislação civil, o projetado art. 1.511-B </w:t>
      </w:r>
      <w:r w:rsidR="00331477">
        <w:rPr>
          <w:rFonts w:ascii="Times New Roman" w:hAnsi="Times New Roman" w:cs="Times New Roman"/>
          <w:sz w:val="24"/>
          <w:szCs w:val="24"/>
        </w:rPr>
        <w:t xml:space="preserve">da Lei Civil </w:t>
      </w:r>
      <w:r w:rsidRPr="00231DBA">
        <w:rPr>
          <w:rFonts w:ascii="Times New Roman" w:hAnsi="Times New Roman" w:cs="Times New Roman"/>
          <w:sz w:val="24"/>
          <w:szCs w:val="24"/>
        </w:rPr>
        <w:t xml:space="preserve">passará a prever que “são reconhecidas como famílias as constituídas pelo casamento, união estável, bem como a família parental”. Sobre a última, o seu § 1º estabelecerá que “a família parental é a composta por, pelo menos, um ascendente e seu descendente, qualquer que seja a natureza da filiação, bem como a que resulta do convívio entre parentes colaterais que vivam sob o mesmo teto com compartilhamento de responsabilidades familiares pessoais e patrimoniais”. </w:t>
      </w:r>
    </w:p>
    <w:p w:rsidR="00CB34BC" w:rsidRDefault="00231DBA" w:rsidP="005F41FE">
      <w:pPr>
        <w:pStyle w:val="t"/>
        <w:spacing w:before="120" w:after="120" w:line="360" w:lineRule="auto"/>
        <w:ind w:firstLine="1701"/>
        <w:rPr>
          <w:rFonts w:ascii="Times New Roman" w:hAnsi="Times New Roman" w:cs="Times New Roman"/>
          <w:sz w:val="24"/>
          <w:szCs w:val="24"/>
        </w:rPr>
      </w:pPr>
      <w:r w:rsidRPr="00231DBA">
        <w:rPr>
          <w:rFonts w:ascii="Times New Roman" w:hAnsi="Times New Roman" w:cs="Times New Roman"/>
          <w:sz w:val="24"/>
          <w:szCs w:val="24"/>
        </w:rPr>
        <w:t xml:space="preserve">Cite-se, de início e pelo que está no texto proposto, a </w:t>
      </w:r>
      <w:r w:rsidRPr="00331477">
        <w:rPr>
          <w:rFonts w:ascii="Times New Roman" w:hAnsi="Times New Roman" w:cs="Times New Roman"/>
          <w:i/>
          <w:sz w:val="24"/>
          <w:szCs w:val="24"/>
        </w:rPr>
        <w:t>família monoparental</w:t>
      </w:r>
      <w:r w:rsidRPr="00231DBA">
        <w:rPr>
          <w:rFonts w:ascii="Times New Roman" w:hAnsi="Times New Roman" w:cs="Times New Roman"/>
          <w:sz w:val="24"/>
          <w:szCs w:val="24"/>
        </w:rPr>
        <w:t>, constituída por um dos pais, solo, com os seus filhos</w:t>
      </w:r>
      <w:r w:rsidR="00CB34BC">
        <w:rPr>
          <w:rFonts w:ascii="Times New Roman" w:hAnsi="Times New Roman" w:cs="Times New Roman"/>
          <w:sz w:val="24"/>
          <w:szCs w:val="24"/>
        </w:rPr>
        <w:t xml:space="preserve">, conforme já prevê o art. 226, §4º, da Constituição Federal de 1988: </w:t>
      </w:r>
      <w:r w:rsidR="008C19E7">
        <w:rPr>
          <w:rFonts w:ascii="Times New Roman" w:hAnsi="Times New Roman" w:cs="Times New Roman"/>
          <w:sz w:val="24"/>
          <w:szCs w:val="24"/>
        </w:rPr>
        <w:t>“</w:t>
      </w:r>
      <w:r w:rsidR="00CB34BC">
        <w:rPr>
          <w:rFonts w:ascii="Times New Roman" w:hAnsi="Times New Roman" w:cs="Times New Roman"/>
          <w:sz w:val="24"/>
          <w:szCs w:val="24"/>
        </w:rPr>
        <w:t>e</w:t>
      </w:r>
      <w:r w:rsidR="00CB34BC" w:rsidRPr="00CB34BC">
        <w:rPr>
          <w:rFonts w:ascii="Times New Roman" w:hAnsi="Times New Roman" w:cs="Times New Roman"/>
          <w:sz w:val="24"/>
          <w:szCs w:val="24"/>
        </w:rPr>
        <w:t>ntende-se, também, como entidade familiar a comunidade formada por qualquer dos pais e seus descendentes</w:t>
      </w:r>
      <w:r w:rsidR="008C19E7">
        <w:rPr>
          <w:rFonts w:ascii="Times New Roman" w:hAnsi="Times New Roman" w:cs="Times New Roman"/>
          <w:sz w:val="24"/>
          <w:szCs w:val="24"/>
        </w:rPr>
        <w:t>”</w:t>
      </w:r>
      <w:r w:rsidR="00CB34BC" w:rsidRPr="00CB34BC">
        <w:rPr>
          <w:rFonts w:ascii="Times New Roman" w:hAnsi="Times New Roman" w:cs="Times New Roman"/>
          <w:sz w:val="24"/>
          <w:szCs w:val="24"/>
        </w:rPr>
        <w:t>.</w:t>
      </w:r>
    </w:p>
    <w:p w:rsidR="00331477" w:rsidRDefault="00CB34BC" w:rsidP="005F41FE">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Sem prejuízo desse necessário tratamento infraconstitucional, h</w:t>
      </w:r>
      <w:r w:rsidR="00231DBA" w:rsidRPr="00231DBA">
        <w:rPr>
          <w:rFonts w:ascii="Times New Roman" w:hAnsi="Times New Roman" w:cs="Times New Roman"/>
          <w:sz w:val="24"/>
          <w:szCs w:val="24"/>
        </w:rPr>
        <w:t xml:space="preserve">á também a tutela da </w:t>
      </w:r>
      <w:r w:rsidR="00231DBA" w:rsidRPr="00331477">
        <w:rPr>
          <w:rFonts w:ascii="Times New Roman" w:hAnsi="Times New Roman" w:cs="Times New Roman"/>
          <w:i/>
          <w:sz w:val="24"/>
          <w:szCs w:val="24"/>
        </w:rPr>
        <w:t>família anaparental</w:t>
      </w:r>
      <w:r w:rsidR="00231DBA" w:rsidRPr="00231DBA">
        <w:rPr>
          <w:rFonts w:ascii="Times New Roman" w:hAnsi="Times New Roman" w:cs="Times New Roman"/>
          <w:sz w:val="24"/>
          <w:szCs w:val="24"/>
        </w:rPr>
        <w:t xml:space="preserve">, </w:t>
      </w:r>
      <w:r w:rsidR="00331477">
        <w:rPr>
          <w:rFonts w:ascii="Times New Roman" w:hAnsi="Times New Roman" w:cs="Times New Roman"/>
          <w:sz w:val="24"/>
          <w:szCs w:val="24"/>
        </w:rPr>
        <w:t>no termo cunhado pelo Professor Sérgio Resend</w:t>
      </w:r>
      <w:r w:rsidR="00E83783">
        <w:rPr>
          <w:rFonts w:ascii="Times New Roman" w:hAnsi="Times New Roman" w:cs="Times New Roman"/>
          <w:sz w:val="24"/>
          <w:szCs w:val="24"/>
        </w:rPr>
        <w:t>e</w:t>
      </w:r>
      <w:r w:rsidR="00331477">
        <w:rPr>
          <w:rFonts w:ascii="Times New Roman" w:hAnsi="Times New Roman" w:cs="Times New Roman"/>
          <w:sz w:val="24"/>
          <w:szCs w:val="24"/>
        </w:rPr>
        <w:t xml:space="preserve"> de Barros, </w:t>
      </w:r>
      <w:r w:rsidR="00231DBA" w:rsidRPr="00231DBA">
        <w:rPr>
          <w:rFonts w:ascii="Times New Roman" w:hAnsi="Times New Roman" w:cs="Times New Roman"/>
          <w:sz w:val="24"/>
          <w:szCs w:val="24"/>
        </w:rPr>
        <w:t xml:space="preserve">ou </w:t>
      </w:r>
      <w:r w:rsidR="00231DBA" w:rsidRPr="00331477">
        <w:rPr>
          <w:rFonts w:ascii="Times New Roman" w:hAnsi="Times New Roman" w:cs="Times New Roman"/>
          <w:i/>
          <w:sz w:val="24"/>
          <w:szCs w:val="24"/>
        </w:rPr>
        <w:t>sem pais</w:t>
      </w:r>
      <w:r w:rsidR="00231DBA" w:rsidRPr="00231DBA">
        <w:rPr>
          <w:rFonts w:ascii="Times New Roman" w:hAnsi="Times New Roman" w:cs="Times New Roman"/>
          <w:sz w:val="24"/>
          <w:szCs w:val="24"/>
        </w:rPr>
        <w:t xml:space="preserve">, formada, a título de ilustração, por irmãos ou primos que vivem sob o mesmo teto, compartilhando convivência, realidade cada vez mais comum em uma população que envelhece em nosso País. </w:t>
      </w:r>
    </w:p>
    <w:p w:rsidR="00CB34BC" w:rsidRDefault="00231DBA" w:rsidP="005F41FE">
      <w:pPr>
        <w:pStyle w:val="t"/>
        <w:spacing w:before="120" w:after="120" w:line="360" w:lineRule="auto"/>
        <w:ind w:firstLine="1701"/>
        <w:rPr>
          <w:rFonts w:ascii="Times New Roman" w:hAnsi="Times New Roman" w:cs="Times New Roman"/>
          <w:sz w:val="24"/>
          <w:szCs w:val="24"/>
        </w:rPr>
      </w:pPr>
      <w:r w:rsidRPr="00231DBA">
        <w:rPr>
          <w:rFonts w:ascii="Times New Roman" w:hAnsi="Times New Roman" w:cs="Times New Roman"/>
          <w:sz w:val="24"/>
          <w:szCs w:val="24"/>
        </w:rPr>
        <w:t xml:space="preserve">Ainda de acordo com a sugestão da Comissão de Juristas, o art. 1.511-B receberá um § 2º, segundo o qual, “para a preservação dos direitos atinentes à formação dessa família parental, é facultado a todos os seus membros declararem, em conjunto, por escritura pública, a assunção da corresponsabilidade pessoal e patrimonial </w:t>
      </w:r>
      <w:r w:rsidRPr="00231DBA">
        <w:rPr>
          <w:rFonts w:ascii="Times New Roman" w:hAnsi="Times New Roman" w:cs="Times New Roman"/>
          <w:sz w:val="24"/>
          <w:szCs w:val="24"/>
        </w:rPr>
        <w:lastRenderedPageBreak/>
        <w:t xml:space="preserve">entre seus membros e postularem a averbação dessa declaração nos respectivos assentos de nascimento, na forma do § 1º do art. 10 deste Código, sem que essa providência lhes altere o estado familiar”. </w:t>
      </w:r>
    </w:p>
    <w:p w:rsidR="00331477" w:rsidRDefault="00331477" w:rsidP="005F41FE">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Diante dessa norma, </w:t>
      </w:r>
      <w:r w:rsidR="00231DBA" w:rsidRPr="00231DBA">
        <w:rPr>
          <w:rFonts w:ascii="Times New Roman" w:hAnsi="Times New Roman" w:cs="Times New Roman"/>
          <w:sz w:val="24"/>
          <w:szCs w:val="24"/>
        </w:rPr>
        <w:t>passará a ser facultada a formalização da família parental para ser ampliada a proteção, inclusive em face de terceiros, elaborando-se uma escritura pública, perante o Tabelionato de Notas, e fazendo</w:t>
      </w:r>
      <w:r w:rsidR="008C19E7">
        <w:rPr>
          <w:rFonts w:ascii="Times New Roman" w:hAnsi="Times New Roman" w:cs="Times New Roman"/>
          <w:sz w:val="24"/>
          <w:szCs w:val="24"/>
        </w:rPr>
        <w:t>-se</w:t>
      </w:r>
      <w:r w:rsidR="00231DBA" w:rsidRPr="00231DBA">
        <w:rPr>
          <w:rFonts w:ascii="Times New Roman" w:hAnsi="Times New Roman" w:cs="Times New Roman"/>
          <w:sz w:val="24"/>
          <w:szCs w:val="24"/>
        </w:rPr>
        <w:t xml:space="preserve"> seu registro no Cartório de Registro Civil das Pessoas Naturais nos termos da projeção de § 1º ao art. 10: “</w:t>
      </w:r>
      <w:r>
        <w:rPr>
          <w:rFonts w:ascii="Times New Roman" w:hAnsi="Times New Roman" w:cs="Times New Roman"/>
          <w:sz w:val="24"/>
          <w:szCs w:val="24"/>
        </w:rPr>
        <w:t>n</w:t>
      </w:r>
      <w:r w:rsidR="00231DBA" w:rsidRPr="00231DBA">
        <w:rPr>
          <w:rFonts w:ascii="Times New Roman" w:hAnsi="Times New Roman" w:cs="Times New Roman"/>
          <w:sz w:val="24"/>
          <w:szCs w:val="24"/>
        </w:rPr>
        <w:t xml:space="preserve">o assento de nascimento da pessoa natural, nos termos da Lei nº 6.015, de 31 de dezembro de 1973, será reservado espaço para averbações decorrentes de vontade expressa pelo interessado que permitam a identificação de fato peculiar de sua vida civil, sem que isto lhe altere o estado pessoal, familiar ou político”. </w:t>
      </w:r>
    </w:p>
    <w:p w:rsidR="00331477" w:rsidRDefault="00231DBA" w:rsidP="005F41FE">
      <w:pPr>
        <w:pStyle w:val="t"/>
        <w:spacing w:before="120" w:after="120" w:line="360" w:lineRule="auto"/>
        <w:ind w:firstLine="1701"/>
        <w:rPr>
          <w:rFonts w:ascii="Times New Roman" w:hAnsi="Times New Roman" w:cs="Times New Roman"/>
          <w:sz w:val="24"/>
          <w:szCs w:val="24"/>
        </w:rPr>
      </w:pPr>
      <w:r w:rsidRPr="00231DBA">
        <w:rPr>
          <w:rFonts w:ascii="Times New Roman" w:hAnsi="Times New Roman" w:cs="Times New Roman"/>
          <w:sz w:val="24"/>
          <w:szCs w:val="24"/>
        </w:rPr>
        <w:t xml:space="preserve">Por fim a respeito dessa </w:t>
      </w:r>
      <w:r w:rsidRPr="00EC6D8C">
        <w:rPr>
          <w:rFonts w:ascii="Times New Roman" w:hAnsi="Times New Roman" w:cs="Times New Roman"/>
          <w:i/>
          <w:sz w:val="24"/>
          <w:szCs w:val="24"/>
        </w:rPr>
        <w:t>família parental</w:t>
      </w:r>
      <w:r w:rsidRPr="00231DBA">
        <w:rPr>
          <w:rFonts w:ascii="Times New Roman" w:hAnsi="Times New Roman" w:cs="Times New Roman"/>
          <w:sz w:val="24"/>
          <w:szCs w:val="24"/>
        </w:rPr>
        <w:t xml:space="preserve">, </w:t>
      </w:r>
      <w:r w:rsidR="00CB34BC">
        <w:rPr>
          <w:rFonts w:ascii="Times New Roman" w:hAnsi="Times New Roman" w:cs="Times New Roman"/>
          <w:sz w:val="24"/>
          <w:szCs w:val="24"/>
        </w:rPr>
        <w:t xml:space="preserve">como nos exemplos citados e como não poderia ser diferente, </w:t>
      </w:r>
      <w:r w:rsidRPr="00231DBA">
        <w:rPr>
          <w:rFonts w:ascii="Times New Roman" w:hAnsi="Times New Roman" w:cs="Times New Roman"/>
          <w:sz w:val="24"/>
          <w:szCs w:val="24"/>
        </w:rPr>
        <w:t xml:space="preserve">ela “cria obrigações comuns e recíprocas de suporte, de sobrevivência e de sustento dos que dividem fraternalmente a mesma morada” (art. 1.511-B, § 3º). </w:t>
      </w:r>
      <w:r w:rsidR="00CB34BC">
        <w:rPr>
          <w:rFonts w:ascii="Times New Roman" w:hAnsi="Times New Roman" w:cs="Times New Roman"/>
          <w:sz w:val="24"/>
          <w:szCs w:val="24"/>
        </w:rPr>
        <w:t>Confirma-se, portanto, a ampla e necessária regulamentação de outras entidades familiares, de maneira plural</w:t>
      </w:r>
      <w:r w:rsidR="00E83783">
        <w:rPr>
          <w:rFonts w:ascii="Times New Roman" w:hAnsi="Times New Roman" w:cs="Times New Roman"/>
          <w:sz w:val="24"/>
          <w:szCs w:val="24"/>
        </w:rPr>
        <w:t>, como está no Texto Maior</w:t>
      </w:r>
      <w:r w:rsidR="00CB34BC">
        <w:rPr>
          <w:rFonts w:ascii="Times New Roman" w:hAnsi="Times New Roman" w:cs="Times New Roman"/>
          <w:sz w:val="24"/>
          <w:szCs w:val="24"/>
        </w:rPr>
        <w:t xml:space="preserve">.  </w:t>
      </w:r>
    </w:p>
    <w:p w:rsidR="00CB34BC" w:rsidRDefault="00231DBA" w:rsidP="005F41FE">
      <w:pPr>
        <w:pStyle w:val="t"/>
        <w:spacing w:before="120" w:after="120" w:line="360" w:lineRule="auto"/>
        <w:ind w:firstLine="1701"/>
        <w:rPr>
          <w:rFonts w:ascii="Times New Roman" w:hAnsi="Times New Roman" w:cs="Times New Roman"/>
          <w:sz w:val="24"/>
          <w:szCs w:val="24"/>
        </w:rPr>
      </w:pPr>
      <w:r w:rsidRPr="00231DBA">
        <w:rPr>
          <w:rFonts w:ascii="Times New Roman" w:hAnsi="Times New Roman" w:cs="Times New Roman"/>
          <w:sz w:val="24"/>
          <w:szCs w:val="24"/>
        </w:rPr>
        <w:t xml:space="preserve">O </w:t>
      </w:r>
      <w:r w:rsidRPr="00E83783">
        <w:rPr>
          <w:rFonts w:ascii="Times New Roman" w:hAnsi="Times New Roman" w:cs="Times New Roman"/>
          <w:i/>
          <w:sz w:val="24"/>
          <w:szCs w:val="24"/>
        </w:rPr>
        <w:t>princípio da não intervenção</w:t>
      </w:r>
      <w:r w:rsidRPr="00231DBA">
        <w:rPr>
          <w:rFonts w:ascii="Times New Roman" w:hAnsi="Times New Roman" w:cs="Times New Roman"/>
          <w:sz w:val="24"/>
          <w:szCs w:val="24"/>
        </w:rPr>
        <w:t>, atualmente previsto no art. 1.513 do Código Civil – e somente quanto ao casamento –, passa a ser regra expressa para qualquer entidade familiar, o que já é realidade doutrinária e jurisprudencial, nos termos do projetado art. 1.511-C: “</w:t>
      </w:r>
      <w:r w:rsidR="00CB34BC">
        <w:rPr>
          <w:rFonts w:ascii="Times New Roman" w:hAnsi="Times New Roman" w:cs="Times New Roman"/>
          <w:sz w:val="24"/>
          <w:szCs w:val="24"/>
        </w:rPr>
        <w:t>É</w:t>
      </w:r>
      <w:r w:rsidRPr="00231DBA">
        <w:rPr>
          <w:rFonts w:ascii="Times New Roman" w:hAnsi="Times New Roman" w:cs="Times New Roman"/>
          <w:sz w:val="24"/>
          <w:szCs w:val="24"/>
        </w:rPr>
        <w:t xml:space="preserve"> defeso a qualquer pessoa, de direito público ou privado: I – interferir na comunhão de vida instituída pela família; II – obstar os direitos da família parental; III – negar a quem vive sozinho ou às famílias parentais a proteção pessoal que a lei destina às famílias conjugais e ao seu patrimônio mínimo; IV – privar a mulher gestante de tratamento digno durante a gestação e de parto seguro, em companhia de quem ela escolher”. </w:t>
      </w:r>
    </w:p>
    <w:p w:rsidR="00CB34BC" w:rsidRDefault="00231DBA" w:rsidP="005F41FE">
      <w:pPr>
        <w:pStyle w:val="t"/>
        <w:spacing w:before="120" w:after="120" w:line="360" w:lineRule="auto"/>
        <w:ind w:firstLine="1701"/>
        <w:rPr>
          <w:rFonts w:ascii="Times New Roman" w:hAnsi="Times New Roman" w:cs="Times New Roman"/>
          <w:sz w:val="24"/>
          <w:szCs w:val="24"/>
        </w:rPr>
      </w:pPr>
      <w:r w:rsidRPr="00231DBA">
        <w:rPr>
          <w:rFonts w:ascii="Times New Roman" w:hAnsi="Times New Roman" w:cs="Times New Roman"/>
          <w:sz w:val="24"/>
          <w:szCs w:val="24"/>
        </w:rPr>
        <w:t>Destaco a impossibilidade de intervenção para se impedir o exercício dos direitos da família parental ou mesmo para as pessoas solteiras, na proteção do seu patrimônio mínimo, caso do bem de família, o que confirma a interpretação extensiva que se tem dado à Lei n. 8.009/1990 para a tutela da moradia, mesmo que de pessoas solteiras, divorciadas ou viúvas (Súmula n. 364 do STJ). Também se verifica na última proposta, mais uma vez</w:t>
      </w:r>
      <w:r w:rsidR="00CB34BC">
        <w:rPr>
          <w:rFonts w:ascii="Times New Roman" w:hAnsi="Times New Roman" w:cs="Times New Roman"/>
          <w:sz w:val="24"/>
          <w:szCs w:val="24"/>
        </w:rPr>
        <w:t xml:space="preserve"> e como é reiterado no Projeto de Reforma</w:t>
      </w:r>
      <w:r w:rsidRPr="00231DBA">
        <w:rPr>
          <w:rFonts w:ascii="Times New Roman" w:hAnsi="Times New Roman" w:cs="Times New Roman"/>
          <w:sz w:val="24"/>
          <w:szCs w:val="24"/>
        </w:rPr>
        <w:t xml:space="preserve">, a proteção da mulher gestante, atendendo-se ao </w:t>
      </w:r>
      <w:r w:rsidRPr="00CB34BC">
        <w:rPr>
          <w:rFonts w:ascii="Times New Roman" w:hAnsi="Times New Roman" w:cs="Times New Roman"/>
          <w:i/>
          <w:sz w:val="24"/>
          <w:szCs w:val="24"/>
        </w:rPr>
        <w:t>protocolo de gênero</w:t>
      </w:r>
      <w:r w:rsidRPr="00231DBA">
        <w:rPr>
          <w:rFonts w:ascii="Times New Roman" w:hAnsi="Times New Roman" w:cs="Times New Roman"/>
          <w:sz w:val="24"/>
          <w:szCs w:val="24"/>
        </w:rPr>
        <w:t xml:space="preserve"> e à tutela dos direitos das mulheres. </w:t>
      </w:r>
    </w:p>
    <w:p w:rsidR="00E83783" w:rsidRDefault="00231DBA" w:rsidP="00CB34BC">
      <w:pPr>
        <w:pStyle w:val="t"/>
        <w:spacing w:before="120" w:after="120" w:line="360" w:lineRule="auto"/>
        <w:ind w:firstLine="1701"/>
        <w:rPr>
          <w:rFonts w:ascii="Times New Roman" w:hAnsi="Times New Roman" w:cs="Times New Roman"/>
          <w:sz w:val="24"/>
          <w:szCs w:val="24"/>
        </w:rPr>
      </w:pPr>
      <w:r w:rsidRPr="00231DBA">
        <w:rPr>
          <w:rFonts w:ascii="Times New Roman" w:hAnsi="Times New Roman" w:cs="Times New Roman"/>
          <w:sz w:val="24"/>
          <w:szCs w:val="24"/>
        </w:rPr>
        <w:lastRenderedPageBreak/>
        <w:t>Como outra proposta, a Comissão de Juristas pretende confirmar a afirmação</w:t>
      </w:r>
      <w:r w:rsidR="008C19E7">
        <w:rPr>
          <w:rFonts w:ascii="Times New Roman" w:hAnsi="Times New Roman" w:cs="Times New Roman"/>
          <w:sz w:val="24"/>
          <w:szCs w:val="24"/>
        </w:rPr>
        <w:t>,</w:t>
      </w:r>
      <w:r w:rsidRPr="00231DBA">
        <w:rPr>
          <w:rFonts w:ascii="Times New Roman" w:hAnsi="Times New Roman" w:cs="Times New Roman"/>
          <w:sz w:val="24"/>
          <w:szCs w:val="24"/>
        </w:rPr>
        <w:t xml:space="preserve"> hoje majoritária na doutrina e na jurisprudência, no sentido de ser o divórcio um direito potestativo, conclusão que é retirada da Emenda Constitucional n. 66 e virá em boa hora: “Ninguém pode ser obrigado a permanecer casado porque o direito ao divórcio é incondicionado, constituindo direito potestativo da pessoa” (art. 1.511-D). </w:t>
      </w:r>
    </w:p>
    <w:p w:rsidR="00CB34BC" w:rsidRDefault="00CB34BC" w:rsidP="00CB34BC">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 xml:space="preserve">Como tem julgado o Superior Tribunal de Justiça, </w:t>
      </w:r>
      <w:r w:rsidR="008C19E7">
        <w:rPr>
          <w:rFonts w:ascii="Times New Roman" w:hAnsi="Times New Roman" w:cs="Times New Roman"/>
          <w:sz w:val="24"/>
          <w:szCs w:val="24"/>
        </w:rPr>
        <w:t>“</w:t>
      </w:r>
      <w:r>
        <w:rPr>
          <w:rFonts w:ascii="Times New Roman" w:hAnsi="Times New Roman" w:cs="Times New Roman"/>
          <w:sz w:val="24"/>
          <w:szCs w:val="24"/>
        </w:rPr>
        <w:t>o</w:t>
      </w:r>
      <w:r w:rsidRPr="00CB34BC">
        <w:rPr>
          <w:rFonts w:ascii="Times New Roman" w:hAnsi="Times New Roman" w:cs="Times New Roman"/>
          <w:sz w:val="24"/>
          <w:szCs w:val="24"/>
        </w:rPr>
        <w:t xml:space="preserve"> divórcio caracteriza-se como direito potestativo dos cônjuges de romper a relação afetiva e o próprio vínculo matrimonial, independentemente de decurso de prazo ou qualquer outra condição impeditiva, a exemplo da prévia deliberação a respeito da divisão patrimonial, conforme expressamente autorizado pelo artigo 1.581 do Código Civil</w:t>
      </w:r>
      <w:r w:rsidR="008C19E7">
        <w:rPr>
          <w:rFonts w:ascii="Times New Roman" w:hAnsi="Times New Roman" w:cs="Times New Roman"/>
          <w:sz w:val="24"/>
          <w:szCs w:val="24"/>
        </w:rPr>
        <w:t>”</w:t>
      </w:r>
      <w:r>
        <w:rPr>
          <w:rFonts w:ascii="Times New Roman" w:hAnsi="Times New Roman" w:cs="Times New Roman"/>
          <w:sz w:val="24"/>
          <w:szCs w:val="24"/>
        </w:rPr>
        <w:t xml:space="preserve"> </w:t>
      </w:r>
      <w:r w:rsidRPr="00CB34BC">
        <w:rPr>
          <w:rFonts w:ascii="Times New Roman" w:hAnsi="Times New Roman" w:cs="Times New Roman"/>
          <w:sz w:val="24"/>
          <w:szCs w:val="24"/>
        </w:rPr>
        <w:t>(</w:t>
      </w:r>
      <w:r>
        <w:rPr>
          <w:rFonts w:ascii="Times New Roman" w:hAnsi="Times New Roman" w:cs="Times New Roman"/>
          <w:sz w:val="24"/>
          <w:szCs w:val="24"/>
        </w:rPr>
        <w:t xml:space="preserve">STJ, </w:t>
      </w:r>
      <w:r w:rsidRPr="00CB34BC">
        <w:rPr>
          <w:rFonts w:ascii="Times New Roman" w:hAnsi="Times New Roman" w:cs="Times New Roman"/>
          <w:sz w:val="24"/>
          <w:szCs w:val="24"/>
        </w:rPr>
        <w:t>REsp n. 1.817.812/SP, relator Ministro Marco Buzzi, Quarta Turma, julgado em 3/9/2024, DJe de 20/9/2024.)</w:t>
      </w:r>
      <w:r>
        <w:rPr>
          <w:rFonts w:ascii="Times New Roman" w:hAnsi="Times New Roman" w:cs="Times New Roman"/>
          <w:sz w:val="24"/>
          <w:szCs w:val="24"/>
        </w:rPr>
        <w:t xml:space="preserve">. Ou, ainda e em complemento, a demonstrar ser essa a posição consolida das duas turmas de Direito Privado da Corte Superior: </w:t>
      </w:r>
      <w:r w:rsidR="008C19E7">
        <w:rPr>
          <w:rFonts w:ascii="Times New Roman" w:hAnsi="Times New Roman" w:cs="Times New Roman"/>
          <w:sz w:val="24"/>
          <w:szCs w:val="24"/>
        </w:rPr>
        <w:t>“</w:t>
      </w:r>
      <w:r>
        <w:rPr>
          <w:rFonts w:ascii="Times New Roman" w:hAnsi="Times New Roman" w:cs="Times New Roman"/>
          <w:sz w:val="24"/>
          <w:szCs w:val="24"/>
        </w:rPr>
        <w:t>A E</w:t>
      </w:r>
      <w:r w:rsidRPr="00CB34BC">
        <w:rPr>
          <w:rFonts w:ascii="Times New Roman" w:hAnsi="Times New Roman" w:cs="Times New Roman"/>
          <w:sz w:val="24"/>
          <w:szCs w:val="24"/>
        </w:rPr>
        <w:t>menda Constitucional nº 66/2010 transformou o divórcio em um direito potestativo, que depende unicamente da manifestação de vontade da parte interessada, impondo à contraparte uma submissão jurídica, de modo a não haver contraposição viável ao direito material invocado</w:t>
      </w:r>
      <w:r w:rsidR="008C19E7">
        <w:rPr>
          <w:rFonts w:ascii="Times New Roman" w:hAnsi="Times New Roman" w:cs="Times New Roman"/>
          <w:sz w:val="24"/>
          <w:szCs w:val="24"/>
        </w:rPr>
        <w:t>”</w:t>
      </w:r>
      <w:r>
        <w:rPr>
          <w:rFonts w:ascii="Times New Roman" w:hAnsi="Times New Roman" w:cs="Times New Roman"/>
          <w:sz w:val="24"/>
          <w:szCs w:val="24"/>
        </w:rPr>
        <w:t xml:space="preserve"> (STJ, R</w:t>
      </w:r>
      <w:r w:rsidRPr="00CB34BC">
        <w:rPr>
          <w:rFonts w:ascii="Times New Roman" w:hAnsi="Times New Roman" w:cs="Times New Roman"/>
          <w:sz w:val="24"/>
          <w:szCs w:val="24"/>
        </w:rPr>
        <w:t>Esp n. 2.154.062/RJ, relator Ministro Ricardo Villas Bôas Cueva, Terceira Turma, julgado em 27/8/2024, DJe de 30/8/2024)</w:t>
      </w:r>
      <w:r>
        <w:rPr>
          <w:rFonts w:ascii="Times New Roman" w:hAnsi="Times New Roman" w:cs="Times New Roman"/>
          <w:sz w:val="24"/>
          <w:szCs w:val="24"/>
        </w:rPr>
        <w:t xml:space="preserve">. </w:t>
      </w:r>
      <w:r w:rsidR="00E83783">
        <w:rPr>
          <w:rFonts w:ascii="Times New Roman" w:hAnsi="Times New Roman" w:cs="Times New Roman"/>
          <w:sz w:val="24"/>
          <w:szCs w:val="24"/>
        </w:rPr>
        <w:t xml:space="preserve">Eis mais uma proposição que apenas confirma o entendimento hoje majoritário, como é a grande maioria das sugestões elaboradas pela Comissão de Juristas. </w:t>
      </w:r>
    </w:p>
    <w:p w:rsidR="00CB34BC" w:rsidRDefault="00231DBA" w:rsidP="005F41FE">
      <w:pPr>
        <w:pStyle w:val="t"/>
        <w:spacing w:before="120" w:after="120" w:line="360" w:lineRule="auto"/>
        <w:ind w:firstLine="1701"/>
        <w:rPr>
          <w:rFonts w:ascii="Times New Roman" w:hAnsi="Times New Roman" w:cs="Times New Roman"/>
          <w:sz w:val="24"/>
          <w:szCs w:val="24"/>
        </w:rPr>
      </w:pPr>
      <w:r w:rsidRPr="00231DBA">
        <w:rPr>
          <w:rFonts w:ascii="Times New Roman" w:hAnsi="Times New Roman" w:cs="Times New Roman"/>
          <w:sz w:val="24"/>
          <w:szCs w:val="24"/>
        </w:rPr>
        <w:t xml:space="preserve">Também há a intenção de se prever a gratuidade, para aqueles que necessitarem, na efetivação de atos familiares que são registrados perante o Cartório de Registro das Pessoas Naturais, no novo art. 1.511-E: “O trâmite legal para </w:t>
      </w:r>
      <w:r w:rsidR="008C19E7">
        <w:rPr>
          <w:rFonts w:ascii="Times New Roman" w:hAnsi="Times New Roman" w:cs="Times New Roman"/>
          <w:sz w:val="24"/>
          <w:szCs w:val="24"/>
        </w:rPr>
        <w:t>o</w:t>
      </w:r>
      <w:r w:rsidRPr="00231DBA">
        <w:rPr>
          <w:rFonts w:ascii="Times New Roman" w:hAnsi="Times New Roman" w:cs="Times New Roman"/>
          <w:sz w:val="24"/>
          <w:szCs w:val="24"/>
        </w:rPr>
        <w:t xml:space="preserve"> procedimento pré-nupcial, celebração do casamento e registro da conversão da união estável em casamento são gratuitos, nos termos da lei”. De toda sorte, não se pode pensar haver uma gratuidade automática, mas apenas daqueles que se encontram em situação de vulnerabilidade ou hipossuficiência econômica, diante do trecho final “nos termos da lei”. Caberá, eventualmente, a regulamentação do tema pelo Conselho Nacional de Justiça (CNJ). </w:t>
      </w:r>
    </w:p>
    <w:p w:rsidR="00CB34BC" w:rsidRDefault="00231DBA" w:rsidP="005F41FE">
      <w:pPr>
        <w:pStyle w:val="t"/>
        <w:spacing w:before="120" w:after="120" w:line="360" w:lineRule="auto"/>
        <w:ind w:firstLine="1701"/>
        <w:rPr>
          <w:rFonts w:ascii="Times New Roman" w:hAnsi="Times New Roman" w:cs="Times New Roman"/>
          <w:sz w:val="24"/>
          <w:szCs w:val="24"/>
        </w:rPr>
      </w:pPr>
      <w:r w:rsidRPr="00231DBA">
        <w:rPr>
          <w:rFonts w:ascii="Times New Roman" w:hAnsi="Times New Roman" w:cs="Times New Roman"/>
          <w:sz w:val="24"/>
          <w:szCs w:val="24"/>
        </w:rPr>
        <w:t xml:space="preserve">Como outro assunto de enorme relevância, </w:t>
      </w:r>
      <w:r w:rsidR="00CB34BC">
        <w:rPr>
          <w:rFonts w:ascii="Times New Roman" w:hAnsi="Times New Roman" w:cs="Times New Roman"/>
          <w:sz w:val="24"/>
          <w:szCs w:val="24"/>
        </w:rPr>
        <w:t xml:space="preserve">e para encerrar este breve texto, </w:t>
      </w:r>
      <w:r w:rsidRPr="00231DBA">
        <w:rPr>
          <w:rFonts w:ascii="Times New Roman" w:hAnsi="Times New Roman" w:cs="Times New Roman"/>
          <w:sz w:val="24"/>
          <w:szCs w:val="24"/>
        </w:rPr>
        <w:t xml:space="preserve">a Comissão de Juristas concluiu que a temática do estado civil da pessoa natural deve estar prevista e regulada na codificação geral privada, que deve voltar a ter um </w:t>
      </w:r>
      <w:r w:rsidRPr="00CB34BC">
        <w:rPr>
          <w:rFonts w:ascii="Times New Roman" w:hAnsi="Times New Roman" w:cs="Times New Roman"/>
          <w:i/>
          <w:sz w:val="24"/>
          <w:szCs w:val="24"/>
        </w:rPr>
        <w:t>protagonismo legislativo</w:t>
      </w:r>
      <w:r w:rsidRPr="00231DBA">
        <w:rPr>
          <w:rFonts w:ascii="Times New Roman" w:hAnsi="Times New Roman" w:cs="Times New Roman"/>
          <w:sz w:val="24"/>
          <w:szCs w:val="24"/>
        </w:rPr>
        <w:t xml:space="preserve"> perdido em relação a leis específicas, caso da Lei de Registros </w:t>
      </w:r>
      <w:r w:rsidRPr="00231DBA">
        <w:rPr>
          <w:rFonts w:ascii="Times New Roman" w:hAnsi="Times New Roman" w:cs="Times New Roman"/>
          <w:sz w:val="24"/>
          <w:szCs w:val="24"/>
        </w:rPr>
        <w:lastRenderedPageBreak/>
        <w:t xml:space="preserve">Públicos (Lei n. 6.015/1973). </w:t>
      </w:r>
    </w:p>
    <w:p w:rsidR="00E83783" w:rsidRDefault="00231DBA" w:rsidP="005F41FE">
      <w:pPr>
        <w:pStyle w:val="t"/>
        <w:spacing w:before="120" w:after="120" w:line="360" w:lineRule="auto"/>
        <w:ind w:firstLine="1701"/>
        <w:rPr>
          <w:rFonts w:ascii="Times New Roman" w:hAnsi="Times New Roman" w:cs="Times New Roman"/>
          <w:sz w:val="24"/>
          <w:szCs w:val="24"/>
        </w:rPr>
      </w:pPr>
      <w:r w:rsidRPr="00231DBA">
        <w:rPr>
          <w:rFonts w:ascii="Times New Roman" w:hAnsi="Times New Roman" w:cs="Times New Roman"/>
          <w:sz w:val="24"/>
          <w:szCs w:val="24"/>
        </w:rPr>
        <w:t xml:space="preserve">Nesse contexto, o novo art. 1.511-F preverá que “o estado civil pessoal comprova-se pelos assentos do registro civil das pessoas naturais, lançados nos termos deste Código e da legislação em vigor”. E mais, “alterações lançadas no registro civil de pessoas naturais, por vontade manifestada pelos interessados, nos termos do § 1º do art. 10, deste Código, não prejudicam interesses de terceiros, nem alteram o estado civil do interessado” (art. 1.511-G ora projetado). </w:t>
      </w:r>
    </w:p>
    <w:p w:rsidR="00CB34BC" w:rsidRDefault="00CB34BC" w:rsidP="005F41FE">
      <w:pPr>
        <w:pStyle w:val="t"/>
        <w:spacing w:before="120" w:after="120" w:line="360" w:lineRule="auto"/>
        <w:ind w:firstLine="1701"/>
        <w:rPr>
          <w:rFonts w:ascii="Times New Roman" w:hAnsi="Times New Roman" w:cs="Times New Roman"/>
          <w:sz w:val="24"/>
          <w:szCs w:val="24"/>
        </w:rPr>
      </w:pPr>
      <w:r>
        <w:rPr>
          <w:rFonts w:ascii="Times New Roman" w:hAnsi="Times New Roman" w:cs="Times New Roman"/>
          <w:sz w:val="24"/>
          <w:szCs w:val="24"/>
        </w:rPr>
        <w:t>Além do art. 10, o novo art. 9º do Código Civil</w:t>
      </w:r>
      <w:r w:rsidR="00E83783">
        <w:rPr>
          <w:rFonts w:ascii="Times New Roman" w:hAnsi="Times New Roman" w:cs="Times New Roman"/>
          <w:sz w:val="24"/>
          <w:szCs w:val="24"/>
        </w:rPr>
        <w:t xml:space="preserve">, com modificações relevantes, </w:t>
      </w:r>
      <w:r>
        <w:rPr>
          <w:rFonts w:ascii="Times New Roman" w:hAnsi="Times New Roman" w:cs="Times New Roman"/>
          <w:sz w:val="24"/>
          <w:szCs w:val="24"/>
        </w:rPr>
        <w:t xml:space="preserve">tratará dos atos que serão averbados e registrados perante o Cartório de Registro Civil das Pessoas Naturais, </w:t>
      </w:r>
      <w:r w:rsidR="00E83783">
        <w:rPr>
          <w:rFonts w:ascii="Times New Roman" w:hAnsi="Times New Roman" w:cs="Times New Roman"/>
          <w:sz w:val="24"/>
          <w:szCs w:val="24"/>
        </w:rPr>
        <w:t>concentrando o tema do estado civil na codificação privada, com</w:t>
      </w:r>
      <w:r w:rsidR="004C28CC">
        <w:rPr>
          <w:rFonts w:ascii="Times New Roman" w:hAnsi="Times New Roman" w:cs="Times New Roman"/>
          <w:sz w:val="24"/>
          <w:szCs w:val="24"/>
        </w:rPr>
        <w:t>o</w:t>
      </w:r>
      <w:r w:rsidR="00E83783">
        <w:rPr>
          <w:rFonts w:ascii="Times New Roman" w:hAnsi="Times New Roman" w:cs="Times New Roman"/>
          <w:sz w:val="24"/>
          <w:szCs w:val="24"/>
        </w:rPr>
        <w:t xml:space="preserve"> realmente deve ser, e para que ess</w:t>
      </w:r>
      <w:r w:rsidR="004C28CC">
        <w:rPr>
          <w:rFonts w:ascii="Times New Roman" w:hAnsi="Times New Roman" w:cs="Times New Roman"/>
          <w:sz w:val="24"/>
          <w:szCs w:val="24"/>
        </w:rPr>
        <w:t>e</w:t>
      </w:r>
      <w:r w:rsidR="00E83783">
        <w:rPr>
          <w:rFonts w:ascii="Times New Roman" w:hAnsi="Times New Roman" w:cs="Times New Roman"/>
          <w:sz w:val="24"/>
          <w:szCs w:val="24"/>
        </w:rPr>
        <w:t xml:space="preserve"> assunto encontre a esperada segurança jurídica, o que será objeto de outro texto de minha autoria a ser desenvolvido no futuro. </w:t>
      </w:r>
    </w:p>
    <w:p w:rsidR="00231DBA" w:rsidRPr="00231DBA" w:rsidRDefault="00231DBA" w:rsidP="00231DBA">
      <w:pPr>
        <w:rPr>
          <w:lang w:eastAsia="pt-BR"/>
        </w:rPr>
      </w:pPr>
    </w:p>
    <w:sectPr w:rsidR="00231DBA" w:rsidRPr="00231DBA" w:rsidSect="007F14FB">
      <w:footerReference w:type="default" r:id="rId8"/>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E2013" w:rsidRDefault="002E2013" w:rsidP="00B15AD0">
      <w:pPr>
        <w:spacing w:after="0" w:line="240" w:lineRule="auto"/>
      </w:pPr>
      <w:r>
        <w:separator/>
      </w:r>
    </w:p>
  </w:endnote>
  <w:endnote w:type="continuationSeparator" w:id="0">
    <w:p w:rsidR="002E2013" w:rsidRDefault="002E2013" w:rsidP="00B15AD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inionPro-Regular">
    <w:altName w:val="Calibri"/>
    <w:panose1 w:val="00000000000000000000"/>
    <w:charset w:val="00"/>
    <w:family w:val="auto"/>
    <w:notTrueType/>
    <w:pitch w:val="default"/>
    <w:sig w:usb0="00000003" w:usb1="00000000" w:usb2="00000000" w:usb3="00000000" w:csb0="00000001" w:csb1="00000000"/>
  </w:font>
  <w:font w:name="MyriadPro-Regular">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59919016"/>
      <w:docPartObj>
        <w:docPartGallery w:val="Page Numbers (Bottom of Page)"/>
        <w:docPartUnique/>
      </w:docPartObj>
    </w:sdtPr>
    <w:sdtContent>
      <w:p w:rsidR="00EC6D8C" w:rsidRDefault="00EC6D8C">
        <w:pPr>
          <w:pStyle w:val="Rodap"/>
          <w:jc w:val="right"/>
        </w:pPr>
        <w:fldSimple w:instr=" PAGE   \* MERGEFORMAT ">
          <w:r>
            <w:rPr>
              <w:noProof/>
            </w:rPr>
            <w:t>7</w:t>
          </w:r>
        </w:fldSimple>
      </w:p>
    </w:sdtContent>
  </w:sdt>
  <w:p w:rsidR="00331477" w:rsidRDefault="00331477">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E2013" w:rsidRDefault="002E2013" w:rsidP="00B15AD0">
      <w:pPr>
        <w:spacing w:after="0" w:line="240" w:lineRule="auto"/>
      </w:pPr>
      <w:r>
        <w:separator/>
      </w:r>
    </w:p>
  </w:footnote>
  <w:footnote w:type="continuationSeparator" w:id="0">
    <w:p w:rsidR="002E2013" w:rsidRDefault="002E2013" w:rsidP="00B15AD0">
      <w:pPr>
        <w:spacing w:after="0" w:line="240" w:lineRule="auto"/>
      </w:pPr>
      <w:r>
        <w:continuationSeparator/>
      </w:r>
    </w:p>
  </w:footnote>
  <w:footnote w:id="1">
    <w:p w:rsidR="00331477" w:rsidRPr="00197971" w:rsidRDefault="00331477" w:rsidP="00B15AD0">
      <w:pPr>
        <w:pStyle w:val="Textodenotaderodap"/>
        <w:jc w:val="both"/>
      </w:pPr>
      <w:r w:rsidRPr="003B2F06">
        <w:rPr>
          <w:rStyle w:val="Refdenotaderodap"/>
        </w:rPr>
        <w:footnoteRef/>
      </w:r>
      <w:r w:rsidRPr="003B2F06">
        <w:t xml:space="preserve"> </w:t>
      </w:r>
      <w:r>
        <w:t xml:space="preserve">Pós-Doutor e </w:t>
      </w:r>
      <w:r w:rsidRPr="003B2F06">
        <w:t xml:space="preserve">Doutor em Direito Civil pela USP. Mestre em Direito Civil Comparado pela PUCSP. Professor </w:t>
      </w:r>
      <w:r>
        <w:t>T</w:t>
      </w:r>
      <w:r w:rsidRPr="003B2F06">
        <w:t xml:space="preserve">itular permanente </w:t>
      </w:r>
      <w:r>
        <w:t xml:space="preserve">e coordenador do mestrado da Escola Paulista de Direito (EPD). </w:t>
      </w:r>
      <w:r w:rsidRPr="003B2F06">
        <w:t xml:space="preserve">Professor </w:t>
      </w:r>
      <w:r>
        <w:t xml:space="preserve">e coordenador </w:t>
      </w:r>
      <w:r w:rsidRPr="003B2F06">
        <w:t xml:space="preserve">dos cursos de pós-graduação </w:t>
      </w:r>
      <w:r w:rsidRPr="00511B17">
        <w:rPr>
          <w:i/>
        </w:rPr>
        <w:t>lato sensu</w:t>
      </w:r>
      <w:r w:rsidRPr="003B2F06">
        <w:t xml:space="preserve"> </w:t>
      </w:r>
      <w:r>
        <w:t xml:space="preserve">em Direito Privado </w:t>
      </w:r>
      <w:r w:rsidRPr="003B2F06">
        <w:t>da EPD.</w:t>
      </w:r>
      <w:r>
        <w:t xml:space="preserve"> Relator do Projeto de Reforma do Código Civil. Primeiro Presidente e Fundador do Instituto Brasileiro de Direito Contratual (IBDCONT). Conselheiro Federal da OAB, pela OABSP. </w:t>
      </w:r>
      <w:r w:rsidRPr="003B2F06">
        <w:t xml:space="preserve">Advogado </w:t>
      </w:r>
      <w:r>
        <w:t xml:space="preserve">em São Paulo, parecerista, árbitro </w:t>
      </w:r>
      <w:r w:rsidRPr="003B2F06">
        <w:t>e consultor jurídico</w:t>
      </w:r>
      <w:r w:rsidRPr="00197971">
        <w:t xml:space="preserve">. </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666753"/>
    <w:multiLevelType w:val="hybridMultilevel"/>
    <w:tmpl w:val="54162384"/>
    <w:lvl w:ilvl="0" w:tplc="F97CC47C">
      <w:start w:val="1"/>
      <w:numFmt w:val="decimal"/>
      <w:lvlText w:val="%1)"/>
      <w:lvlJc w:val="left"/>
      <w:pPr>
        <w:ind w:left="1020" w:hanging="360"/>
      </w:pPr>
    </w:lvl>
    <w:lvl w:ilvl="1" w:tplc="4D3C6446">
      <w:start w:val="1"/>
      <w:numFmt w:val="decimal"/>
      <w:lvlText w:val="%2)"/>
      <w:lvlJc w:val="left"/>
      <w:pPr>
        <w:ind w:left="1020" w:hanging="360"/>
      </w:pPr>
    </w:lvl>
    <w:lvl w:ilvl="2" w:tplc="579EAB1A">
      <w:start w:val="1"/>
      <w:numFmt w:val="decimal"/>
      <w:lvlText w:val="%3)"/>
      <w:lvlJc w:val="left"/>
      <w:pPr>
        <w:ind w:left="1020" w:hanging="360"/>
      </w:pPr>
    </w:lvl>
    <w:lvl w:ilvl="3" w:tplc="952E9B12">
      <w:start w:val="1"/>
      <w:numFmt w:val="decimal"/>
      <w:lvlText w:val="%4)"/>
      <w:lvlJc w:val="left"/>
      <w:pPr>
        <w:ind w:left="1020" w:hanging="360"/>
      </w:pPr>
    </w:lvl>
    <w:lvl w:ilvl="4" w:tplc="6D360AEA">
      <w:start w:val="1"/>
      <w:numFmt w:val="decimal"/>
      <w:lvlText w:val="%5)"/>
      <w:lvlJc w:val="left"/>
      <w:pPr>
        <w:ind w:left="1020" w:hanging="360"/>
      </w:pPr>
    </w:lvl>
    <w:lvl w:ilvl="5" w:tplc="2E0E23EA">
      <w:start w:val="1"/>
      <w:numFmt w:val="decimal"/>
      <w:lvlText w:val="%6)"/>
      <w:lvlJc w:val="left"/>
      <w:pPr>
        <w:ind w:left="1020" w:hanging="360"/>
      </w:pPr>
    </w:lvl>
    <w:lvl w:ilvl="6" w:tplc="4BD0F8E6">
      <w:start w:val="1"/>
      <w:numFmt w:val="decimal"/>
      <w:lvlText w:val="%7)"/>
      <w:lvlJc w:val="left"/>
      <w:pPr>
        <w:ind w:left="1020" w:hanging="360"/>
      </w:pPr>
    </w:lvl>
    <w:lvl w:ilvl="7" w:tplc="4296E6EA">
      <w:start w:val="1"/>
      <w:numFmt w:val="decimal"/>
      <w:lvlText w:val="%8)"/>
      <w:lvlJc w:val="left"/>
      <w:pPr>
        <w:ind w:left="1020" w:hanging="360"/>
      </w:pPr>
    </w:lvl>
    <w:lvl w:ilvl="8" w:tplc="3DD4651E">
      <w:start w:val="1"/>
      <w:numFmt w:val="decimal"/>
      <w:lvlText w:val="%9)"/>
      <w:lvlJc w:val="left"/>
      <w:pPr>
        <w:ind w:left="1020" w:hanging="360"/>
      </w:pPr>
    </w:lvl>
  </w:abstractNum>
  <w:abstractNum w:abstractNumId="1">
    <w:nsid w:val="6C6E78FF"/>
    <w:multiLevelType w:val="hybridMultilevel"/>
    <w:tmpl w:val="3A94B62E"/>
    <w:lvl w:ilvl="0" w:tplc="04160001">
      <w:start w:val="1"/>
      <w:numFmt w:val="bullet"/>
      <w:lvlText w:val=""/>
      <w:lvlJc w:val="left"/>
      <w:pPr>
        <w:ind w:left="1287" w:hanging="360"/>
      </w:pPr>
      <w:rPr>
        <w:rFonts w:ascii="Symbol" w:hAnsi="Symbol" w:hint="default"/>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lvlText w:val=""/>
      <w:lvlJc w:val="left"/>
      <w:pPr>
        <w:ind w:left="7047"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29"/>
  <w:proofState w:spelling="clean"/>
  <w:defaultTabStop w:val="708"/>
  <w:hyphenationZone w:val="425"/>
  <w:characterSpacingControl w:val="doNotCompress"/>
  <w:footnotePr>
    <w:footnote w:id="-1"/>
    <w:footnote w:id="0"/>
  </w:footnotePr>
  <w:endnotePr>
    <w:endnote w:id="-1"/>
    <w:endnote w:id="0"/>
  </w:endnotePr>
  <w:compat/>
  <w:rsids>
    <w:rsidRoot w:val="0079684D"/>
    <w:rsid w:val="00002059"/>
    <w:rsid w:val="00012D24"/>
    <w:rsid w:val="00014A13"/>
    <w:rsid w:val="000163F9"/>
    <w:rsid w:val="000272D3"/>
    <w:rsid w:val="0006022B"/>
    <w:rsid w:val="000618D8"/>
    <w:rsid w:val="00061D24"/>
    <w:rsid w:val="00061D89"/>
    <w:rsid w:val="00065809"/>
    <w:rsid w:val="00081B5A"/>
    <w:rsid w:val="00084038"/>
    <w:rsid w:val="00090984"/>
    <w:rsid w:val="00091C4D"/>
    <w:rsid w:val="00092468"/>
    <w:rsid w:val="000967F8"/>
    <w:rsid w:val="000A0500"/>
    <w:rsid w:val="000A1BE1"/>
    <w:rsid w:val="000A1DAE"/>
    <w:rsid w:val="000A4AFE"/>
    <w:rsid w:val="000A6A8E"/>
    <w:rsid w:val="000B0D00"/>
    <w:rsid w:val="000B199E"/>
    <w:rsid w:val="000B4F9A"/>
    <w:rsid w:val="000D4EB5"/>
    <w:rsid w:val="000D6AB7"/>
    <w:rsid w:val="000F397F"/>
    <w:rsid w:val="00101681"/>
    <w:rsid w:val="001115BE"/>
    <w:rsid w:val="001164E8"/>
    <w:rsid w:val="00121038"/>
    <w:rsid w:val="0013242A"/>
    <w:rsid w:val="00140F1A"/>
    <w:rsid w:val="001431C6"/>
    <w:rsid w:val="00147FD2"/>
    <w:rsid w:val="00154A54"/>
    <w:rsid w:val="001604A2"/>
    <w:rsid w:val="00162445"/>
    <w:rsid w:val="00174761"/>
    <w:rsid w:val="001A1246"/>
    <w:rsid w:val="001A33D9"/>
    <w:rsid w:val="001A3BB7"/>
    <w:rsid w:val="001A3C52"/>
    <w:rsid w:val="001B0CD7"/>
    <w:rsid w:val="001B36E1"/>
    <w:rsid w:val="001B45D7"/>
    <w:rsid w:val="001C20B6"/>
    <w:rsid w:val="001D23C5"/>
    <w:rsid w:val="001D2FCE"/>
    <w:rsid w:val="001D4C59"/>
    <w:rsid w:val="001E3A72"/>
    <w:rsid w:val="001E5FD0"/>
    <w:rsid w:val="001F0B30"/>
    <w:rsid w:val="001F7416"/>
    <w:rsid w:val="002173DE"/>
    <w:rsid w:val="00223883"/>
    <w:rsid w:val="00231DBA"/>
    <w:rsid w:val="00234405"/>
    <w:rsid w:val="00240103"/>
    <w:rsid w:val="00240B32"/>
    <w:rsid w:val="002628DD"/>
    <w:rsid w:val="0027030E"/>
    <w:rsid w:val="00275DC5"/>
    <w:rsid w:val="0027678B"/>
    <w:rsid w:val="0027700F"/>
    <w:rsid w:val="002809A2"/>
    <w:rsid w:val="00295C84"/>
    <w:rsid w:val="00297F8D"/>
    <w:rsid w:val="002A1A09"/>
    <w:rsid w:val="002A4A94"/>
    <w:rsid w:val="002A60FF"/>
    <w:rsid w:val="002B7E62"/>
    <w:rsid w:val="002C20BD"/>
    <w:rsid w:val="002D7126"/>
    <w:rsid w:val="002E0A51"/>
    <w:rsid w:val="002E2013"/>
    <w:rsid w:val="002F013F"/>
    <w:rsid w:val="002F1032"/>
    <w:rsid w:val="002F1277"/>
    <w:rsid w:val="00310780"/>
    <w:rsid w:val="00311DC8"/>
    <w:rsid w:val="003156EB"/>
    <w:rsid w:val="00316B68"/>
    <w:rsid w:val="00331477"/>
    <w:rsid w:val="003358E3"/>
    <w:rsid w:val="00341F09"/>
    <w:rsid w:val="00351820"/>
    <w:rsid w:val="00354174"/>
    <w:rsid w:val="00356BC1"/>
    <w:rsid w:val="0038223F"/>
    <w:rsid w:val="003869F0"/>
    <w:rsid w:val="003A2D67"/>
    <w:rsid w:val="003B0F36"/>
    <w:rsid w:val="003D1130"/>
    <w:rsid w:val="003D758C"/>
    <w:rsid w:val="003E6BFA"/>
    <w:rsid w:val="00416565"/>
    <w:rsid w:val="00416BAE"/>
    <w:rsid w:val="00420F7D"/>
    <w:rsid w:val="00421AAD"/>
    <w:rsid w:val="004231D8"/>
    <w:rsid w:val="004263CC"/>
    <w:rsid w:val="00440E97"/>
    <w:rsid w:val="0044129B"/>
    <w:rsid w:val="00451CC8"/>
    <w:rsid w:val="00463CAE"/>
    <w:rsid w:val="00465B35"/>
    <w:rsid w:val="004702C9"/>
    <w:rsid w:val="00475A7F"/>
    <w:rsid w:val="004B0CC8"/>
    <w:rsid w:val="004B1ABA"/>
    <w:rsid w:val="004C28CC"/>
    <w:rsid w:val="004C2B01"/>
    <w:rsid w:val="004D192A"/>
    <w:rsid w:val="004D3C8B"/>
    <w:rsid w:val="004F108D"/>
    <w:rsid w:val="00505F81"/>
    <w:rsid w:val="00510D5E"/>
    <w:rsid w:val="0051186F"/>
    <w:rsid w:val="00513172"/>
    <w:rsid w:val="00520F3F"/>
    <w:rsid w:val="00521AD5"/>
    <w:rsid w:val="00525923"/>
    <w:rsid w:val="005264F9"/>
    <w:rsid w:val="00540A1C"/>
    <w:rsid w:val="00550067"/>
    <w:rsid w:val="00551126"/>
    <w:rsid w:val="00560AB1"/>
    <w:rsid w:val="005803EC"/>
    <w:rsid w:val="00582E0D"/>
    <w:rsid w:val="0058340B"/>
    <w:rsid w:val="005A0224"/>
    <w:rsid w:val="005A5D67"/>
    <w:rsid w:val="005A6CC3"/>
    <w:rsid w:val="005B6FDC"/>
    <w:rsid w:val="005C2B81"/>
    <w:rsid w:val="005C3438"/>
    <w:rsid w:val="005C3619"/>
    <w:rsid w:val="005C4502"/>
    <w:rsid w:val="005E4456"/>
    <w:rsid w:val="005E5BC0"/>
    <w:rsid w:val="005F164A"/>
    <w:rsid w:val="005F1820"/>
    <w:rsid w:val="005F25C9"/>
    <w:rsid w:val="005F41FE"/>
    <w:rsid w:val="00606C96"/>
    <w:rsid w:val="00613516"/>
    <w:rsid w:val="0063474C"/>
    <w:rsid w:val="00635A77"/>
    <w:rsid w:val="0063631C"/>
    <w:rsid w:val="00637D4E"/>
    <w:rsid w:val="0064646B"/>
    <w:rsid w:val="0065126D"/>
    <w:rsid w:val="0065327B"/>
    <w:rsid w:val="00653FEF"/>
    <w:rsid w:val="006551BA"/>
    <w:rsid w:val="0065579F"/>
    <w:rsid w:val="00664651"/>
    <w:rsid w:val="00666DBB"/>
    <w:rsid w:val="00684049"/>
    <w:rsid w:val="00684EAE"/>
    <w:rsid w:val="00687D4D"/>
    <w:rsid w:val="00692442"/>
    <w:rsid w:val="006931D3"/>
    <w:rsid w:val="00693231"/>
    <w:rsid w:val="0069517F"/>
    <w:rsid w:val="006A1DE3"/>
    <w:rsid w:val="006A24C2"/>
    <w:rsid w:val="006A3397"/>
    <w:rsid w:val="006A4626"/>
    <w:rsid w:val="006B64C9"/>
    <w:rsid w:val="006D389F"/>
    <w:rsid w:val="006E0C8C"/>
    <w:rsid w:val="006E1F16"/>
    <w:rsid w:val="006F666B"/>
    <w:rsid w:val="0070682D"/>
    <w:rsid w:val="00711BF6"/>
    <w:rsid w:val="0071408C"/>
    <w:rsid w:val="007154AD"/>
    <w:rsid w:val="0075158E"/>
    <w:rsid w:val="00752FEE"/>
    <w:rsid w:val="007745E9"/>
    <w:rsid w:val="00777567"/>
    <w:rsid w:val="0078277B"/>
    <w:rsid w:val="00783334"/>
    <w:rsid w:val="00786CE4"/>
    <w:rsid w:val="007914E9"/>
    <w:rsid w:val="0079684D"/>
    <w:rsid w:val="007A0FB1"/>
    <w:rsid w:val="007A54E4"/>
    <w:rsid w:val="007B113F"/>
    <w:rsid w:val="007B3258"/>
    <w:rsid w:val="007B5E1B"/>
    <w:rsid w:val="007C17F4"/>
    <w:rsid w:val="007C1C26"/>
    <w:rsid w:val="007C517C"/>
    <w:rsid w:val="007D0849"/>
    <w:rsid w:val="007E25B9"/>
    <w:rsid w:val="007E6471"/>
    <w:rsid w:val="007F14FB"/>
    <w:rsid w:val="00801384"/>
    <w:rsid w:val="00802F39"/>
    <w:rsid w:val="00830464"/>
    <w:rsid w:val="00831927"/>
    <w:rsid w:val="00832AE4"/>
    <w:rsid w:val="00851514"/>
    <w:rsid w:val="00852DEB"/>
    <w:rsid w:val="008674E3"/>
    <w:rsid w:val="00867E84"/>
    <w:rsid w:val="00880ACE"/>
    <w:rsid w:val="00885120"/>
    <w:rsid w:val="00895E9B"/>
    <w:rsid w:val="008A46FF"/>
    <w:rsid w:val="008B65F8"/>
    <w:rsid w:val="008C19E7"/>
    <w:rsid w:val="008D1E6F"/>
    <w:rsid w:val="008E513D"/>
    <w:rsid w:val="008F63CA"/>
    <w:rsid w:val="00902BB5"/>
    <w:rsid w:val="00907993"/>
    <w:rsid w:val="00920A9B"/>
    <w:rsid w:val="00920C6E"/>
    <w:rsid w:val="0092561C"/>
    <w:rsid w:val="00925730"/>
    <w:rsid w:val="00932490"/>
    <w:rsid w:val="009464A7"/>
    <w:rsid w:val="00946888"/>
    <w:rsid w:val="00956D2B"/>
    <w:rsid w:val="00960F98"/>
    <w:rsid w:val="00961295"/>
    <w:rsid w:val="00964A37"/>
    <w:rsid w:val="00965DB6"/>
    <w:rsid w:val="009667C7"/>
    <w:rsid w:val="00971484"/>
    <w:rsid w:val="009715B4"/>
    <w:rsid w:val="0098731E"/>
    <w:rsid w:val="009B666C"/>
    <w:rsid w:val="009B75BF"/>
    <w:rsid w:val="009C00DA"/>
    <w:rsid w:val="009C3361"/>
    <w:rsid w:val="009C5018"/>
    <w:rsid w:val="009D6C03"/>
    <w:rsid w:val="009E1D79"/>
    <w:rsid w:val="009E65DC"/>
    <w:rsid w:val="00A01D37"/>
    <w:rsid w:val="00A07A6F"/>
    <w:rsid w:val="00A1091B"/>
    <w:rsid w:val="00A109C6"/>
    <w:rsid w:val="00A10A11"/>
    <w:rsid w:val="00A15C1C"/>
    <w:rsid w:val="00A17286"/>
    <w:rsid w:val="00A21CE5"/>
    <w:rsid w:val="00A2489D"/>
    <w:rsid w:val="00A327F6"/>
    <w:rsid w:val="00A73016"/>
    <w:rsid w:val="00A76A82"/>
    <w:rsid w:val="00A76C5C"/>
    <w:rsid w:val="00A81FFC"/>
    <w:rsid w:val="00A82E3B"/>
    <w:rsid w:val="00A84FDB"/>
    <w:rsid w:val="00A86B2F"/>
    <w:rsid w:val="00A90F25"/>
    <w:rsid w:val="00A97842"/>
    <w:rsid w:val="00AA00C0"/>
    <w:rsid w:val="00AB0E85"/>
    <w:rsid w:val="00AC193D"/>
    <w:rsid w:val="00AD19E0"/>
    <w:rsid w:val="00AD4060"/>
    <w:rsid w:val="00AD4158"/>
    <w:rsid w:val="00AD4464"/>
    <w:rsid w:val="00AE43D6"/>
    <w:rsid w:val="00AE6358"/>
    <w:rsid w:val="00AE6736"/>
    <w:rsid w:val="00AF079D"/>
    <w:rsid w:val="00AF41E1"/>
    <w:rsid w:val="00AF5CA9"/>
    <w:rsid w:val="00B01459"/>
    <w:rsid w:val="00B11339"/>
    <w:rsid w:val="00B15AD0"/>
    <w:rsid w:val="00B15C5A"/>
    <w:rsid w:val="00B26B79"/>
    <w:rsid w:val="00B30B9D"/>
    <w:rsid w:val="00B35B11"/>
    <w:rsid w:val="00B36E19"/>
    <w:rsid w:val="00B46C1C"/>
    <w:rsid w:val="00B47D6E"/>
    <w:rsid w:val="00B62174"/>
    <w:rsid w:val="00B70904"/>
    <w:rsid w:val="00B83A19"/>
    <w:rsid w:val="00B87B12"/>
    <w:rsid w:val="00B92183"/>
    <w:rsid w:val="00B92548"/>
    <w:rsid w:val="00B92F1F"/>
    <w:rsid w:val="00B96D42"/>
    <w:rsid w:val="00B975F2"/>
    <w:rsid w:val="00BA5F05"/>
    <w:rsid w:val="00BB541E"/>
    <w:rsid w:val="00BB60D6"/>
    <w:rsid w:val="00BC1801"/>
    <w:rsid w:val="00BC23E3"/>
    <w:rsid w:val="00BC3E67"/>
    <w:rsid w:val="00BD35D8"/>
    <w:rsid w:val="00BE1CB2"/>
    <w:rsid w:val="00BE77F7"/>
    <w:rsid w:val="00BE7A99"/>
    <w:rsid w:val="00BF7D04"/>
    <w:rsid w:val="00C11874"/>
    <w:rsid w:val="00C31189"/>
    <w:rsid w:val="00C404EB"/>
    <w:rsid w:val="00C45AC9"/>
    <w:rsid w:val="00C53FB9"/>
    <w:rsid w:val="00C55C23"/>
    <w:rsid w:val="00C55F21"/>
    <w:rsid w:val="00C5797D"/>
    <w:rsid w:val="00C81C6B"/>
    <w:rsid w:val="00C92E87"/>
    <w:rsid w:val="00CA24B4"/>
    <w:rsid w:val="00CA27DC"/>
    <w:rsid w:val="00CA41F7"/>
    <w:rsid w:val="00CA5D25"/>
    <w:rsid w:val="00CA6F54"/>
    <w:rsid w:val="00CA7E3B"/>
    <w:rsid w:val="00CB34BC"/>
    <w:rsid w:val="00CC5417"/>
    <w:rsid w:val="00CD2BEF"/>
    <w:rsid w:val="00CD50B1"/>
    <w:rsid w:val="00CE63DB"/>
    <w:rsid w:val="00CE7C6D"/>
    <w:rsid w:val="00CF55C8"/>
    <w:rsid w:val="00D01AB6"/>
    <w:rsid w:val="00D0211A"/>
    <w:rsid w:val="00D046C6"/>
    <w:rsid w:val="00D13683"/>
    <w:rsid w:val="00D146BD"/>
    <w:rsid w:val="00D166F9"/>
    <w:rsid w:val="00D167BF"/>
    <w:rsid w:val="00D22AC7"/>
    <w:rsid w:val="00D31F45"/>
    <w:rsid w:val="00D373E2"/>
    <w:rsid w:val="00D4240B"/>
    <w:rsid w:val="00D44E5A"/>
    <w:rsid w:val="00D57F00"/>
    <w:rsid w:val="00D623D8"/>
    <w:rsid w:val="00D63892"/>
    <w:rsid w:val="00D70256"/>
    <w:rsid w:val="00D73535"/>
    <w:rsid w:val="00D75992"/>
    <w:rsid w:val="00D84097"/>
    <w:rsid w:val="00D85EFE"/>
    <w:rsid w:val="00D85FDA"/>
    <w:rsid w:val="00D87DAF"/>
    <w:rsid w:val="00D91A06"/>
    <w:rsid w:val="00D94656"/>
    <w:rsid w:val="00DA5F58"/>
    <w:rsid w:val="00DB1C32"/>
    <w:rsid w:val="00DC0085"/>
    <w:rsid w:val="00DC17C3"/>
    <w:rsid w:val="00DC2D95"/>
    <w:rsid w:val="00DC49FD"/>
    <w:rsid w:val="00DD25AE"/>
    <w:rsid w:val="00DD4193"/>
    <w:rsid w:val="00DE4010"/>
    <w:rsid w:val="00E03BC8"/>
    <w:rsid w:val="00E10301"/>
    <w:rsid w:val="00E10CC7"/>
    <w:rsid w:val="00E144F9"/>
    <w:rsid w:val="00E154BB"/>
    <w:rsid w:val="00E16C47"/>
    <w:rsid w:val="00E209D4"/>
    <w:rsid w:val="00E25D63"/>
    <w:rsid w:val="00E35E71"/>
    <w:rsid w:val="00E36342"/>
    <w:rsid w:val="00E405B6"/>
    <w:rsid w:val="00E4119F"/>
    <w:rsid w:val="00E41630"/>
    <w:rsid w:val="00E53BFA"/>
    <w:rsid w:val="00E5446C"/>
    <w:rsid w:val="00E611F8"/>
    <w:rsid w:val="00E621E1"/>
    <w:rsid w:val="00E62628"/>
    <w:rsid w:val="00E80E0C"/>
    <w:rsid w:val="00E821F9"/>
    <w:rsid w:val="00E827C1"/>
    <w:rsid w:val="00E83783"/>
    <w:rsid w:val="00E97E60"/>
    <w:rsid w:val="00EB139C"/>
    <w:rsid w:val="00EC15F6"/>
    <w:rsid w:val="00EC5820"/>
    <w:rsid w:val="00EC6D8C"/>
    <w:rsid w:val="00EC6F29"/>
    <w:rsid w:val="00ED029D"/>
    <w:rsid w:val="00ED11CD"/>
    <w:rsid w:val="00ED7CE4"/>
    <w:rsid w:val="00EE5673"/>
    <w:rsid w:val="00EE56AE"/>
    <w:rsid w:val="00EE67EA"/>
    <w:rsid w:val="00F11002"/>
    <w:rsid w:val="00F17013"/>
    <w:rsid w:val="00F215A0"/>
    <w:rsid w:val="00F2527F"/>
    <w:rsid w:val="00F327F5"/>
    <w:rsid w:val="00F37CBA"/>
    <w:rsid w:val="00F4508D"/>
    <w:rsid w:val="00F47016"/>
    <w:rsid w:val="00F67913"/>
    <w:rsid w:val="00F857F3"/>
    <w:rsid w:val="00F95D83"/>
    <w:rsid w:val="00FA4B9B"/>
    <w:rsid w:val="00FB11D8"/>
    <w:rsid w:val="00FB52CB"/>
    <w:rsid w:val="00FC17DC"/>
    <w:rsid w:val="00FE20A8"/>
    <w:rsid w:val="00FF1A0B"/>
    <w:rsid w:val="00FF2F67"/>
    <w:rsid w:val="00FF3081"/>
    <w:rsid w:val="00FF4191"/>
    <w:rsid w:val="00FF6E58"/>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5FDA"/>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C81C6B"/>
    <w:rPr>
      <w:color w:val="0563C1" w:themeColor="hyperlink"/>
      <w:u w:val="single"/>
    </w:rPr>
  </w:style>
  <w:style w:type="character" w:customStyle="1" w:styleId="MenoPendente1">
    <w:name w:val="Menção Pendente1"/>
    <w:basedOn w:val="Fontepargpadro"/>
    <w:uiPriority w:val="99"/>
    <w:semiHidden/>
    <w:unhideWhenUsed/>
    <w:rsid w:val="00C81C6B"/>
    <w:rPr>
      <w:color w:val="605E5C"/>
      <w:shd w:val="clear" w:color="auto" w:fill="E1DFDD"/>
    </w:rPr>
  </w:style>
  <w:style w:type="paragraph" w:styleId="Textodenotaderodap">
    <w:name w:val="footnote text"/>
    <w:aliases w:val=" Char Char,Char Char, Char Char Char Char,Nota de rodapé,fn,ALTS FOOTNOTE,Footnote Text Char,footnote text char, Char3,Char3,Texto de rodapé,Char3 Char Char Char Char, Char3 Char Char Char Char, Char3 Char Char,Char3 Char Char,f"/>
    <w:basedOn w:val="Normal"/>
    <w:link w:val="TextodenotaderodapChar"/>
    <w:uiPriority w:val="99"/>
    <w:qFormat/>
    <w:rsid w:val="00B15AD0"/>
    <w:pPr>
      <w:spacing w:after="0" w:line="240" w:lineRule="auto"/>
    </w:pPr>
    <w:rPr>
      <w:rFonts w:ascii="Times New Roman" w:eastAsia="Times New Roman" w:hAnsi="Times New Roman" w:cs="Times New Roman"/>
      <w:sz w:val="20"/>
      <w:szCs w:val="20"/>
      <w:lang w:eastAsia="pt-BR"/>
    </w:rPr>
  </w:style>
  <w:style w:type="character" w:customStyle="1" w:styleId="TextodenotaderodapChar">
    <w:name w:val="Texto de nota de rodapé Char"/>
    <w:aliases w:val=" Char Char Char,Char Char Char, Char Char Char Char Char,Nota de rodapé Char,fn Char,ALTS FOOTNOTE Char,Footnote Text Char Char,footnote text char Char, Char3 Char,Char3 Char,Texto de rodapé Char, Char3 Char Char Char,f Char"/>
    <w:basedOn w:val="Fontepargpadro"/>
    <w:link w:val="Textodenotaderodap"/>
    <w:uiPriority w:val="99"/>
    <w:qFormat/>
    <w:rsid w:val="00B15AD0"/>
    <w:rPr>
      <w:rFonts w:ascii="Times New Roman" w:eastAsia="Times New Roman" w:hAnsi="Times New Roman" w:cs="Times New Roman"/>
      <w:sz w:val="20"/>
      <w:szCs w:val="20"/>
      <w:lang w:eastAsia="pt-BR"/>
    </w:rPr>
  </w:style>
  <w:style w:type="character" w:styleId="Refdenotaderodap">
    <w:name w:val="footnote reference"/>
    <w:aliases w:val="sobrescrito,Ref,de nota al pie,FC,_Footnote Reference,_Footnote text,_Footnote,_Footnote Text,_Footnote base Reference,Footnote symbol,Style 12,(NECG) Footnote Reference,Referência de rodapé,Ref. de nota de rodapé monografia.,fr,o"/>
    <w:link w:val="frCharChar1"/>
    <w:uiPriority w:val="99"/>
    <w:qFormat/>
    <w:rsid w:val="00B15AD0"/>
    <w:rPr>
      <w:vertAlign w:val="superscript"/>
    </w:rPr>
  </w:style>
  <w:style w:type="paragraph" w:styleId="Cabealho">
    <w:name w:val="header"/>
    <w:basedOn w:val="Normal"/>
    <w:link w:val="CabealhoChar"/>
    <w:uiPriority w:val="99"/>
    <w:unhideWhenUsed/>
    <w:rsid w:val="00A327F6"/>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A327F6"/>
  </w:style>
  <w:style w:type="paragraph" w:styleId="Rodap">
    <w:name w:val="footer"/>
    <w:basedOn w:val="Normal"/>
    <w:link w:val="RodapChar"/>
    <w:uiPriority w:val="99"/>
    <w:unhideWhenUsed/>
    <w:rsid w:val="00A327F6"/>
    <w:pPr>
      <w:tabs>
        <w:tab w:val="center" w:pos="4252"/>
        <w:tab w:val="right" w:pos="8504"/>
      </w:tabs>
      <w:spacing w:after="0" w:line="240" w:lineRule="auto"/>
    </w:pPr>
  </w:style>
  <w:style w:type="character" w:customStyle="1" w:styleId="RodapChar">
    <w:name w:val="Rodapé Char"/>
    <w:basedOn w:val="Fontepargpadro"/>
    <w:link w:val="Rodap"/>
    <w:uiPriority w:val="99"/>
    <w:rsid w:val="00A327F6"/>
  </w:style>
  <w:style w:type="character" w:styleId="Refdecomentrio">
    <w:name w:val="annotation reference"/>
    <w:basedOn w:val="Fontepargpadro"/>
    <w:uiPriority w:val="99"/>
    <w:semiHidden/>
    <w:unhideWhenUsed/>
    <w:rsid w:val="00D87DAF"/>
    <w:rPr>
      <w:sz w:val="16"/>
      <w:szCs w:val="16"/>
    </w:rPr>
  </w:style>
  <w:style w:type="paragraph" w:styleId="Textodecomentrio">
    <w:name w:val="annotation text"/>
    <w:basedOn w:val="Normal"/>
    <w:link w:val="TextodecomentrioChar"/>
    <w:uiPriority w:val="99"/>
    <w:unhideWhenUsed/>
    <w:rsid w:val="00D87DAF"/>
    <w:pPr>
      <w:spacing w:line="240" w:lineRule="auto"/>
    </w:pPr>
    <w:rPr>
      <w:sz w:val="20"/>
      <w:szCs w:val="20"/>
    </w:rPr>
  </w:style>
  <w:style w:type="character" w:customStyle="1" w:styleId="TextodecomentrioChar">
    <w:name w:val="Texto de comentário Char"/>
    <w:basedOn w:val="Fontepargpadro"/>
    <w:link w:val="Textodecomentrio"/>
    <w:uiPriority w:val="99"/>
    <w:rsid w:val="00D87DAF"/>
    <w:rPr>
      <w:sz w:val="20"/>
      <w:szCs w:val="20"/>
    </w:rPr>
  </w:style>
  <w:style w:type="paragraph" w:styleId="Assuntodocomentrio">
    <w:name w:val="annotation subject"/>
    <w:basedOn w:val="Textodecomentrio"/>
    <w:next w:val="Textodecomentrio"/>
    <w:link w:val="AssuntodocomentrioChar"/>
    <w:uiPriority w:val="99"/>
    <w:semiHidden/>
    <w:unhideWhenUsed/>
    <w:rsid w:val="00D87DAF"/>
    <w:rPr>
      <w:b/>
      <w:bCs/>
    </w:rPr>
  </w:style>
  <w:style w:type="character" w:customStyle="1" w:styleId="AssuntodocomentrioChar">
    <w:name w:val="Assunto do comentário Char"/>
    <w:basedOn w:val="TextodecomentrioChar"/>
    <w:link w:val="Assuntodocomentrio"/>
    <w:uiPriority w:val="99"/>
    <w:semiHidden/>
    <w:rsid w:val="00D87DAF"/>
    <w:rPr>
      <w:b/>
      <w:bCs/>
      <w:sz w:val="20"/>
      <w:szCs w:val="20"/>
    </w:rPr>
  </w:style>
  <w:style w:type="paragraph" w:styleId="Textodebalo">
    <w:name w:val="Balloon Text"/>
    <w:basedOn w:val="Normal"/>
    <w:link w:val="TextodebaloChar"/>
    <w:uiPriority w:val="99"/>
    <w:semiHidden/>
    <w:unhideWhenUsed/>
    <w:rsid w:val="002628DD"/>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2628DD"/>
    <w:rPr>
      <w:rFonts w:ascii="Segoe UI" w:hAnsi="Segoe UI" w:cs="Segoe UI"/>
      <w:sz w:val="18"/>
      <w:szCs w:val="18"/>
    </w:rPr>
  </w:style>
  <w:style w:type="paragraph" w:customStyle="1" w:styleId="recmenor">
    <w:name w:val="rec menor"/>
    <w:basedOn w:val="Normal"/>
    <w:uiPriority w:val="99"/>
    <w:rsid w:val="00C92E87"/>
    <w:pPr>
      <w:widowControl w:val="0"/>
      <w:suppressAutoHyphens/>
      <w:autoSpaceDE w:val="0"/>
      <w:autoSpaceDN w:val="0"/>
      <w:adjustRightInd w:val="0"/>
      <w:spacing w:before="170" w:after="283" w:line="220" w:lineRule="atLeast"/>
      <w:ind w:left="454" w:right="397"/>
      <w:jc w:val="both"/>
      <w:textAlignment w:val="center"/>
    </w:pPr>
    <w:rPr>
      <w:rFonts w:ascii="MinionPro-Regular" w:eastAsiaTheme="minorEastAsia" w:hAnsi="MinionPro-Regular" w:cs="MinionPro-Regular"/>
      <w:color w:val="000000"/>
      <w:w w:val="101"/>
      <w:sz w:val="20"/>
      <w:szCs w:val="20"/>
      <w:lang w:eastAsia="pt-BR"/>
    </w:rPr>
  </w:style>
  <w:style w:type="paragraph" w:customStyle="1" w:styleId="nota">
    <w:name w:val="nota"/>
    <w:basedOn w:val="Normal"/>
    <w:uiPriority w:val="99"/>
    <w:rsid w:val="00C92E87"/>
    <w:pPr>
      <w:widowControl w:val="0"/>
      <w:tabs>
        <w:tab w:val="left" w:pos="320"/>
      </w:tabs>
      <w:autoSpaceDE w:val="0"/>
      <w:autoSpaceDN w:val="0"/>
      <w:adjustRightInd w:val="0"/>
      <w:spacing w:after="57" w:line="200" w:lineRule="atLeast"/>
      <w:ind w:left="227" w:hanging="227"/>
      <w:jc w:val="both"/>
      <w:textAlignment w:val="center"/>
    </w:pPr>
    <w:rPr>
      <w:rFonts w:ascii="MyriadPro-Regular" w:eastAsiaTheme="minorEastAsia" w:hAnsi="MyriadPro-Regular" w:cs="MyriadPro-Regular"/>
      <w:color w:val="000000"/>
      <w:sz w:val="17"/>
      <w:szCs w:val="17"/>
      <w:lang w:eastAsia="pt-BR"/>
    </w:rPr>
  </w:style>
  <w:style w:type="character" w:customStyle="1" w:styleId="italico">
    <w:name w:val="italico"/>
    <w:uiPriority w:val="99"/>
    <w:rsid w:val="00C92E87"/>
    <w:rPr>
      <w:i/>
      <w:color w:val="000000"/>
    </w:rPr>
  </w:style>
  <w:style w:type="character" w:customStyle="1" w:styleId="elevado">
    <w:name w:val="elevado"/>
    <w:uiPriority w:val="99"/>
    <w:rsid w:val="00C92E87"/>
    <w:rPr>
      <w:color w:val="000000"/>
      <w:vertAlign w:val="superscript"/>
    </w:rPr>
  </w:style>
  <w:style w:type="paragraph" w:customStyle="1" w:styleId="t">
    <w:name w:val="t"/>
    <w:basedOn w:val="Normal"/>
    <w:next w:val="Normal"/>
    <w:uiPriority w:val="99"/>
    <w:rsid w:val="00D167BF"/>
    <w:pPr>
      <w:widowControl w:val="0"/>
      <w:autoSpaceDE w:val="0"/>
      <w:autoSpaceDN w:val="0"/>
      <w:adjustRightInd w:val="0"/>
      <w:spacing w:after="57" w:line="240" w:lineRule="atLeast"/>
      <w:ind w:firstLine="454"/>
      <w:jc w:val="both"/>
      <w:textAlignment w:val="center"/>
    </w:pPr>
    <w:rPr>
      <w:rFonts w:ascii="MinionPro-Regular" w:eastAsiaTheme="minorEastAsia" w:hAnsi="MinionPro-Regular" w:cs="MinionPro-Regular"/>
      <w:color w:val="000000"/>
      <w:sz w:val="21"/>
      <w:szCs w:val="21"/>
      <w:lang w:eastAsia="pt-BR"/>
    </w:rPr>
  </w:style>
  <w:style w:type="paragraph" w:styleId="PargrafodaLista">
    <w:name w:val="List Paragraph"/>
    <w:basedOn w:val="Normal"/>
    <w:uiPriority w:val="34"/>
    <w:qFormat/>
    <w:rsid w:val="00FC17DC"/>
    <w:pPr>
      <w:ind w:left="720"/>
      <w:contextualSpacing/>
    </w:pPr>
  </w:style>
  <w:style w:type="paragraph" w:styleId="Reviso">
    <w:name w:val="Revision"/>
    <w:hidden/>
    <w:uiPriority w:val="99"/>
    <w:semiHidden/>
    <w:rsid w:val="00174761"/>
    <w:pPr>
      <w:spacing w:after="0" w:line="240" w:lineRule="auto"/>
    </w:pPr>
  </w:style>
  <w:style w:type="paragraph" w:customStyle="1" w:styleId="recmenorfim">
    <w:name w:val="rec menor fim"/>
    <w:basedOn w:val="t"/>
    <w:uiPriority w:val="99"/>
    <w:rsid w:val="00A97842"/>
    <w:pPr>
      <w:suppressAutoHyphens/>
      <w:spacing w:after="283" w:line="220" w:lineRule="atLeast"/>
      <w:ind w:left="454" w:right="397" w:firstLine="0"/>
    </w:pPr>
    <w:rPr>
      <w:rFonts w:eastAsia="Times New Roman"/>
      <w:sz w:val="20"/>
      <w:szCs w:val="20"/>
    </w:rPr>
  </w:style>
  <w:style w:type="paragraph" w:customStyle="1" w:styleId="recmenorinicio">
    <w:name w:val="rec menor inicio"/>
    <w:basedOn w:val="t"/>
    <w:uiPriority w:val="99"/>
    <w:rsid w:val="00A97842"/>
    <w:pPr>
      <w:suppressAutoHyphens/>
      <w:spacing w:before="170" w:line="220" w:lineRule="atLeast"/>
      <w:ind w:left="454" w:right="397" w:firstLine="0"/>
    </w:pPr>
    <w:rPr>
      <w:rFonts w:eastAsia="Times New Roman"/>
      <w:sz w:val="20"/>
      <w:szCs w:val="20"/>
    </w:rPr>
  </w:style>
  <w:style w:type="paragraph" w:customStyle="1" w:styleId="recmenormeio">
    <w:name w:val="rec menor meio"/>
    <w:basedOn w:val="t"/>
    <w:uiPriority w:val="99"/>
    <w:rsid w:val="00A97842"/>
    <w:pPr>
      <w:suppressAutoHyphens/>
      <w:spacing w:line="220" w:lineRule="atLeast"/>
      <w:ind w:left="454" w:right="397" w:firstLine="0"/>
    </w:pPr>
    <w:rPr>
      <w:rFonts w:eastAsia="Times New Roman"/>
      <w:sz w:val="20"/>
      <w:szCs w:val="20"/>
    </w:rPr>
  </w:style>
  <w:style w:type="paragraph" w:customStyle="1" w:styleId="07-Citaolegal-CLG">
    <w:name w:val="07 - Citação legal - CLG"/>
    <w:qFormat/>
    <w:rsid w:val="00E5446C"/>
    <w:pPr>
      <w:spacing w:after="120" w:line="240" w:lineRule="auto"/>
      <w:ind w:left="1985" w:firstLine="567"/>
      <w:jc w:val="both"/>
    </w:pPr>
    <w:rPr>
      <w:rFonts w:ascii="Times New Roman" w:eastAsia="Times New Roman" w:hAnsi="Times New Roman" w:cs="Times New Roman"/>
      <w:bCs/>
      <w:sz w:val="24"/>
      <w:szCs w:val="20"/>
      <w:lang w:eastAsia="pt-BR"/>
    </w:rPr>
  </w:style>
  <w:style w:type="character" w:customStyle="1" w:styleId="MenoPendente2">
    <w:name w:val="Menção Pendente2"/>
    <w:basedOn w:val="Fontepargpadro"/>
    <w:uiPriority w:val="99"/>
    <w:semiHidden/>
    <w:unhideWhenUsed/>
    <w:rsid w:val="008B65F8"/>
    <w:rPr>
      <w:color w:val="605E5C"/>
      <w:shd w:val="clear" w:color="auto" w:fill="E1DFDD"/>
    </w:rPr>
  </w:style>
  <w:style w:type="paragraph" w:customStyle="1" w:styleId="05-PargrafodetextoPROJETO-CLG">
    <w:name w:val="05 - Parágrafo de texto PROJETO- CLG"/>
    <w:qFormat/>
    <w:rsid w:val="00B62174"/>
    <w:pPr>
      <w:spacing w:after="360" w:line="240" w:lineRule="auto"/>
      <w:ind w:firstLine="1418"/>
      <w:jc w:val="both"/>
    </w:pPr>
    <w:rPr>
      <w:rFonts w:ascii="Times New Roman" w:eastAsia="Times New Roman" w:hAnsi="Times New Roman" w:cs="Times New Roman"/>
      <w:sz w:val="28"/>
      <w:szCs w:val="20"/>
      <w:lang w:eastAsia="pt-BR"/>
    </w:rPr>
  </w:style>
  <w:style w:type="paragraph" w:customStyle="1" w:styleId="frCharChar1">
    <w:name w:val="fr Char Char1"/>
    <w:aliases w:val="fr Char Char Char, Char Char6 Char Char Char Char Char Char Char Char Char Char Char, Char6 Char Char Char Char Char Char Char Char Char Char Char Char,Char Char6 Char Char Char Char Char Char Char Char Char Char Char"/>
    <w:basedOn w:val="Normal"/>
    <w:link w:val="Refdenotaderodap"/>
    <w:uiPriority w:val="99"/>
    <w:rsid w:val="00B62174"/>
    <w:pPr>
      <w:spacing w:after="120" w:line="360" w:lineRule="auto"/>
      <w:jc w:val="center"/>
    </w:pPr>
    <w:rPr>
      <w:vertAlign w:val="superscript"/>
    </w:rPr>
  </w:style>
  <w:style w:type="paragraph" w:styleId="Textodenotadefim">
    <w:name w:val="endnote text"/>
    <w:basedOn w:val="Normal"/>
    <w:link w:val="TextodenotadefimChar"/>
    <w:uiPriority w:val="99"/>
    <w:semiHidden/>
    <w:unhideWhenUsed/>
    <w:rsid w:val="00E4119F"/>
    <w:pPr>
      <w:spacing w:after="0" w:line="240" w:lineRule="auto"/>
    </w:pPr>
    <w:rPr>
      <w:sz w:val="20"/>
      <w:szCs w:val="20"/>
    </w:rPr>
  </w:style>
  <w:style w:type="character" w:customStyle="1" w:styleId="TextodenotadefimChar">
    <w:name w:val="Texto de nota de fim Char"/>
    <w:basedOn w:val="Fontepargpadro"/>
    <w:link w:val="Textodenotadefim"/>
    <w:uiPriority w:val="99"/>
    <w:semiHidden/>
    <w:rsid w:val="00E4119F"/>
    <w:rPr>
      <w:sz w:val="20"/>
      <w:szCs w:val="20"/>
    </w:rPr>
  </w:style>
  <w:style w:type="character" w:styleId="Refdenotadefim">
    <w:name w:val="endnote reference"/>
    <w:basedOn w:val="Fontepargpadro"/>
    <w:uiPriority w:val="99"/>
    <w:semiHidden/>
    <w:unhideWhenUsed/>
    <w:rsid w:val="00E4119F"/>
    <w:rPr>
      <w:vertAlign w:val="superscript"/>
    </w:rPr>
  </w:style>
</w:styles>
</file>

<file path=word/webSettings.xml><?xml version="1.0" encoding="utf-8"?>
<w:webSettings xmlns:r="http://schemas.openxmlformats.org/officeDocument/2006/relationships" xmlns:w="http://schemas.openxmlformats.org/wordprocessingml/2006/main">
  <w:divs>
    <w:div w:id="2009480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3019F0-3F37-4E79-9E1D-3C182ED58B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7</Pages>
  <Words>2157</Words>
  <Characters>11649</Characters>
  <Application>Microsoft Office Word</Application>
  <DocSecurity>0</DocSecurity>
  <Lines>97</Lines>
  <Paragraphs>27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13779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lider</dc:creator>
  <cp:lastModifiedBy>Flavio</cp:lastModifiedBy>
  <cp:revision>3</cp:revision>
  <dcterms:created xsi:type="dcterms:W3CDTF">2025-03-18T15:28:00Z</dcterms:created>
  <dcterms:modified xsi:type="dcterms:W3CDTF">2025-03-18T15:50:00Z</dcterms:modified>
</cp:coreProperties>
</file>