
<file path=[Content_Types].xml><?xml version="1.0" encoding="utf-8"?>
<Types xmlns="http://schemas.openxmlformats.org/package/2006/content-types">
  <Override PartName="/word/footnotes.xml" ContentType="application/vnd.openxmlformats-officedocument.wordprocessingml.footnotes+xml"/>
  <Override PartName="/word/commentsExtensible.xml" ContentType="application/vnd.openxmlformats-officedocument.wordprocessingml.commentsExtensible+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77B1" w:rsidRDefault="00D63892" w:rsidP="001F0B30">
      <w:pPr>
        <w:spacing w:before="120" w:after="120" w:line="360" w:lineRule="auto"/>
        <w:jc w:val="center"/>
        <w:rPr>
          <w:rFonts w:ascii="Times New Roman" w:hAnsi="Times New Roman" w:cs="Times New Roman"/>
          <w:b/>
          <w:bCs/>
          <w:sz w:val="24"/>
          <w:szCs w:val="24"/>
        </w:rPr>
      </w:pPr>
      <w:r>
        <w:rPr>
          <w:rFonts w:ascii="Times New Roman" w:hAnsi="Times New Roman" w:cs="Times New Roman"/>
          <w:b/>
          <w:bCs/>
          <w:sz w:val="24"/>
          <w:szCs w:val="24"/>
        </w:rPr>
        <w:t>A REFORMA DO CÓDIGO CIVIL</w:t>
      </w:r>
      <w:r w:rsidR="00925730">
        <w:rPr>
          <w:rFonts w:ascii="Times New Roman" w:hAnsi="Times New Roman" w:cs="Times New Roman"/>
          <w:b/>
          <w:bCs/>
          <w:sz w:val="24"/>
          <w:szCs w:val="24"/>
        </w:rPr>
        <w:t xml:space="preserve"> E</w:t>
      </w:r>
      <w:r w:rsidR="00831927">
        <w:rPr>
          <w:rFonts w:ascii="Times New Roman" w:hAnsi="Times New Roman" w:cs="Times New Roman"/>
          <w:b/>
          <w:bCs/>
          <w:sz w:val="24"/>
          <w:szCs w:val="24"/>
        </w:rPr>
        <w:t xml:space="preserve"> </w:t>
      </w:r>
      <w:r w:rsidR="00A80308">
        <w:rPr>
          <w:rFonts w:ascii="Times New Roman" w:hAnsi="Times New Roman" w:cs="Times New Roman"/>
          <w:b/>
          <w:bCs/>
          <w:sz w:val="24"/>
          <w:szCs w:val="24"/>
        </w:rPr>
        <w:t xml:space="preserve">O </w:t>
      </w:r>
      <w:r w:rsidR="002B77B1">
        <w:rPr>
          <w:rFonts w:ascii="Times New Roman" w:hAnsi="Times New Roman" w:cs="Times New Roman"/>
          <w:b/>
          <w:bCs/>
          <w:sz w:val="24"/>
          <w:szCs w:val="24"/>
        </w:rPr>
        <w:t xml:space="preserve">TESTAMENTO. </w:t>
      </w:r>
    </w:p>
    <w:p w:rsidR="00D75992" w:rsidRDefault="002B77B1" w:rsidP="001F0B30">
      <w:pPr>
        <w:spacing w:before="120" w:after="120" w:line="36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PROPOSTAS PARA O ART. 1.857 </w:t>
      </w:r>
    </w:p>
    <w:p w:rsidR="001B0CD7" w:rsidRDefault="001B0CD7" w:rsidP="00B15AD0">
      <w:pPr>
        <w:spacing w:before="120" w:after="120" w:line="360" w:lineRule="auto"/>
        <w:jc w:val="right"/>
        <w:rPr>
          <w:rFonts w:ascii="Times New Roman" w:hAnsi="Times New Roman" w:cs="Times New Roman"/>
          <w:bCs/>
          <w:sz w:val="24"/>
          <w:szCs w:val="24"/>
        </w:rPr>
      </w:pPr>
    </w:p>
    <w:p w:rsidR="00B15AD0" w:rsidRPr="0027030E" w:rsidRDefault="00B15AD0" w:rsidP="00B15AD0">
      <w:pPr>
        <w:spacing w:before="120" w:after="120" w:line="360" w:lineRule="auto"/>
        <w:jc w:val="right"/>
        <w:rPr>
          <w:rFonts w:ascii="Times New Roman" w:hAnsi="Times New Roman" w:cs="Times New Roman"/>
          <w:bCs/>
          <w:sz w:val="24"/>
          <w:szCs w:val="24"/>
        </w:rPr>
      </w:pPr>
      <w:r w:rsidRPr="0027030E">
        <w:rPr>
          <w:rFonts w:ascii="Times New Roman" w:hAnsi="Times New Roman" w:cs="Times New Roman"/>
          <w:bCs/>
          <w:sz w:val="24"/>
          <w:szCs w:val="24"/>
        </w:rPr>
        <w:t>Flávio Tartuce</w:t>
      </w:r>
      <w:r w:rsidRPr="0027030E">
        <w:rPr>
          <w:rFonts w:ascii="Times New Roman" w:hAnsi="Times New Roman" w:cs="Times New Roman"/>
          <w:bCs/>
          <w:sz w:val="24"/>
          <w:szCs w:val="24"/>
          <w:vertAlign w:val="superscript"/>
        </w:rPr>
        <w:footnoteReference w:id="1"/>
      </w:r>
    </w:p>
    <w:p w:rsidR="00341469" w:rsidRDefault="00341469" w:rsidP="002B77B1">
      <w:pPr>
        <w:pStyle w:val="t"/>
        <w:spacing w:before="120" w:after="120" w:line="360" w:lineRule="auto"/>
        <w:ind w:firstLine="1701"/>
        <w:rPr>
          <w:rFonts w:ascii="Times New Roman" w:hAnsi="Times New Roman" w:cs="Times New Roman"/>
          <w:sz w:val="24"/>
          <w:szCs w:val="24"/>
        </w:rPr>
      </w:pPr>
    </w:p>
    <w:p w:rsidR="002B77B1" w:rsidRDefault="00E32682" w:rsidP="002B77B1">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Como tenho repetido, uma </w:t>
      </w:r>
      <w:r w:rsidR="00A80308">
        <w:rPr>
          <w:rFonts w:ascii="Times New Roman" w:hAnsi="Times New Roman" w:cs="Times New Roman"/>
          <w:sz w:val="24"/>
          <w:szCs w:val="24"/>
        </w:rPr>
        <w:t xml:space="preserve">das linhas metodológicas seguidas pela Comissão de Juristas </w:t>
      </w:r>
      <w:bookmarkStart w:id="0" w:name="_GoBack"/>
      <w:r>
        <w:rPr>
          <w:rFonts w:ascii="Times New Roman" w:hAnsi="Times New Roman" w:cs="Times New Roman"/>
          <w:sz w:val="24"/>
          <w:szCs w:val="24"/>
        </w:rPr>
        <w:t xml:space="preserve">nomeada </w:t>
      </w:r>
      <w:bookmarkEnd w:id="0"/>
      <w:r>
        <w:rPr>
          <w:rFonts w:ascii="Times New Roman" w:hAnsi="Times New Roman" w:cs="Times New Roman"/>
          <w:sz w:val="24"/>
          <w:szCs w:val="24"/>
        </w:rPr>
        <w:t xml:space="preserve">no Senado Federal para </w:t>
      </w:r>
      <w:r w:rsidR="00F6792C">
        <w:rPr>
          <w:rFonts w:ascii="Times New Roman" w:hAnsi="Times New Roman" w:cs="Times New Roman"/>
          <w:sz w:val="24"/>
          <w:szCs w:val="24"/>
        </w:rPr>
        <w:t xml:space="preserve">a elaboração do </w:t>
      </w:r>
      <w:r w:rsidR="00A80308">
        <w:rPr>
          <w:rFonts w:ascii="Times New Roman" w:hAnsi="Times New Roman" w:cs="Times New Roman"/>
          <w:sz w:val="24"/>
          <w:szCs w:val="24"/>
        </w:rPr>
        <w:t xml:space="preserve">Projeto de Reforma do Código Civil </w:t>
      </w:r>
      <w:r w:rsidR="00F6792C">
        <w:rPr>
          <w:rFonts w:ascii="Times New Roman" w:hAnsi="Times New Roman" w:cs="Times New Roman"/>
          <w:sz w:val="24"/>
          <w:szCs w:val="24"/>
        </w:rPr>
        <w:t xml:space="preserve">foi a </w:t>
      </w:r>
      <w:r w:rsidR="00A80308">
        <w:rPr>
          <w:rFonts w:ascii="Times New Roman" w:hAnsi="Times New Roman" w:cs="Times New Roman"/>
          <w:sz w:val="24"/>
          <w:szCs w:val="24"/>
        </w:rPr>
        <w:t xml:space="preserve">de reduzir as burocracias, </w:t>
      </w:r>
      <w:r w:rsidR="00A80308" w:rsidRPr="00A80308">
        <w:rPr>
          <w:rFonts w:ascii="Times New Roman" w:hAnsi="Times New Roman" w:cs="Times New Roman"/>
          <w:i/>
          <w:sz w:val="24"/>
          <w:szCs w:val="24"/>
        </w:rPr>
        <w:t>destravando a vida das pessoas</w:t>
      </w:r>
      <w:r w:rsidR="002B77B1">
        <w:rPr>
          <w:rFonts w:ascii="Times New Roman" w:hAnsi="Times New Roman" w:cs="Times New Roman"/>
          <w:sz w:val="24"/>
          <w:szCs w:val="24"/>
        </w:rPr>
        <w:t xml:space="preserve">, o que se aplica ao testamento, um dos institutos civis mais burocráticos previstos na atual legislação privada. </w:t>
      </w:r>
    </w:p>
    <w:p w:rsidR="002B77B1" w:rsidRDefault="002B77B1" w:rsidP="002B77B1">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Nesse contexto, no atual PL n. 4/2025</w:t>
      </w:r>
      <w:r w:rsidRPr="002B77B1">
        <w:rPr>
          <w:rFonts w:ascii="Times New Roman" w:hAnsi="Times New Roman" w:cs="Times New Roman"/>
          <w:sz w:val="24"/>
          <w:szCs w:val="24"/>
        </w:rPr>
        <w:t xml:space="preserve"> há um incentivo para a celebração de testamentos, com a redução</w:t>
      </w:r>
      <w:r w:rsidR="00C82083">
        <w:rPr>
          <w:rFonts w:ascii="Times New Roman" w:hAnsi="Times New Roman" w:cs="Times New Roman"/>
          <w:sz w:val="24"/>
          <w:szCs w:val="24"/>
        </w:rPr>
        <w:t xml:space="preserve"> de</w:t>
      </w:r>
      <w:r w:rsidRPr="002B77B1">
        <w:rPr>
          <w:rFonts w:ascii="Times New Roman" w:hAnsi="Times New Roman" w:cs="Times New Roman"/>
          <w:sz w:val="24"/>
          <w:szCs w:val="24"/>
        </w:rPr>
        <w:t xml:space="preserve"> </w:t>
      </w:r>
      <w:r w:rsidR="00E32682">
        <w:rPr>
          <w:rFonts w:ascii="Times New Roman" w:hAnsi="Times New Roman" w:cs="Times New Roman"/>
          <w:sz w:val="24"/>
          <w:szCs w:val="24"/>
        </w:rPr>
        <w:t>formalidades desnecessárias</w:t>
      </w:r>
      <w:r w:rsidRPr="002B77B1">
        <w:rPr>
          <w:rFonts w:ascii="Times New Roman" w:hAnsi="Times New Roman" w:cs="Times New Roman"/>
          <w:sz w:val="24"/>
          <w:szCs w:val="24"/>
        </w:rPr>
        <w:t>, digitalização e normas que visam a inc</w:t>
      </w:r>
      <w:r>
        <w:rPr>
          <w:rFonts w:ascii="Times New Roman" w:hAnsi="Times New Roman" w:cs="Times New Roman"/>
          <w:sz w:val="24"/>
          <w:szCs w:val="24"/>
        </w:rPr>
        <w:t>luir as pessoas com deficiência</w:t>
      </w:r>
      <w:r w:rsidRPr="002B77B1">
        <w:rPr>
          <w:rFonts w:ascii="Times New Roman" w:hAnsi="Times New Roman" w:cs="Times New Roman"/>
          <w:sz w:val="24"/>
          <w:szCs w:val="24"/>
        </w:rPr>
        <w:t>. Em relação às últimas, vale destacar as excelentes proposições feitas à Comissão de Juristas pelo Professor e Promotor de Justiça do Estado da Bahia Fernando Gaburri, que participou da audiência pública em Salvador, no ano de 2023. Como não poderia ser diferente, foram elas acatadas integralmente, representa</w:t>
      </w:r>
      <w:r w:rsidR="000D7B84">
        <w:rPr>
          <w:rFonts w:ascii="Times New Roman" w:hAnsi="Times New Roman" w:cs="Times New Roman"/>
          <w:sz w:val="24"/>
          <w:szCs w:val="24"/>
        </w:rPr>
        <w:t>n</w:t>
      </w:r>
      <w:r w:rsidRPr="002B77B1">
        <w:rPr>
          <w:rFonts w:ascii="Times New Roman" w:hAnsi="Times New Roman" w:cs="Times New Roman"/>
          <w:sz w:val="24"/>
          <w:szCs w:val="24"/>
        </w:rPr>
        <w:t>do enormes avanços que estão sendo propostos para a codificação privada, hoje ausente e excludente quanto a esses temas.</w:t>
      </w:r>
    </w:p>
    <w:p w:rsidR="002B77B1" w:rsidRDefault="002B77B1" w:rsidP="002B77B1">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A partir deste primeiro texto de uma série, portanto, passarei a analisar algumas das proposições feitas para </w:t>
      </w:r>
      <w:r w:rsidR="00C81D18">
        <w:rPr>
          <w:rFonts w:ascii="Times New Roman" w:hAnsi="Times New Roman" w:cs="Times New Roman"/>
          <w:sz w:val="24"/>
          <w:szCs w:val="24"/>
        </w:rPr>
        <w:t>a</w:t>
      </w:r>
      <w:r>
        <w:rPr>
          <w:rFonts w:ascii="Times New Roman" w:hAnsi="Times New Roman" w:cs="Times New Roman"/>
          <w:sz w:val="24"/>
          <w:szCs w:val="24"/>
        </w:rPr>
        <w:t xml:space="preserve"> manifestação </w:t>
      </w:r>
      <w:r w:rsidR="00C81D18">
        <w:rPr>
          <w:rFonts w:ascii="Times New Roman" w:hAnsi="Times New Roman" w:cs="Times New Roman"/>
          <w:sz w:val="24"/>
          <w:szCs w:val="24"/>
        </w:rPr>
        <w:t xml:space="preserve">sucessória </w:t>
      </w:r>
      <w:r>
        <w:rPr>
          <w:rFonts w:ascii="Times New Roman" w:hAnsi="Times New Roman" w:cs="Times New Roman"/>
          <w:sz w:val="24"/>
          <w:szCs w:val="24"/>
        </w:rPr>
        <w:t xml:space="preserve">de última vontade, o que visa a aumentar a sua adesão pela população brasileira, como importante mecanismo de planejamento sucessório. </w:t>
      </w:r>
      <w:r w:rsidR="00C81D18">
        <w:rPr>
          <w:rFonts w:ascii="Times New Roman" w:hAnsi="Times New Roman" w:cs="Times New Roman"/>
          <w:sz w:val="24"/>
          <w:szCs w:val="24"/>
        </w:rPr>
        <w:t>A</w:t>
      </w:r>
      <w:r w:rsidR="00C81D18" w:rsidRPr="00C81D18">
        <w:rPr>
          <w:rFonts w:ascii="Times New Roman" w:hAnsi="Times New Roman" w:cs="Times New Roman"/>
          <w:sz w:val="24"/>
          <w:szCs w:val="24"/>
        </w:rPr>
        <w:t xml:space="preserve"> verdade é que no Brasil não há o costume de elaborar testamentos, por vários fatores</w:t>
      </w:r>
      <w:r w:rsidR="00C81D18">
        <w:rPr>
          <w:rFonts w:ascii="Times New Roman" w:hAnsi="Times New Roman" w:cs="Times New Roman"/>
          <w:sz w:val="24"/>
          <w:szCs w:val="24"/>
        </w:rPr>
        <w:t xml:space="preserve">, entre eles o excesso de solenidades e de custos para </w:t>
      </w:r>
      <w:r w:rsidR="00E32682">
        <w:rPr>
          <w:rFonts w:ascii="Times New Roman" w:hAnsi="Times New Roman" w:cs="Times New Roman"/>
          <w:sz w:val="24"/>
          <w:szCs w:val="24"/>
        </w:rPr>
        <w:t xml:space="preserve">a </w:t>
      </w:r>
      <w:r w:rsidR="00C81D18">
        <w:rPr>
          <w:rFonts w:ascii="Times New Roman" w:hAnsi="Times New Roman" w:cs="Times New Roman"/>
          <w:sz w:val="24"/>
          <w:szCs w:val="24"/>
        </w:rPr>
        <w:t xml:space="preserve">sua efetivação. </w:t>
      </w:r>
    </w:p>
    <w:p w:rsidR="002B77B1" w:rsidRDefault="002B77B1" w:rsidP="002B77B1">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Neste artigo, analisarei as propostas que são feitas para o art. </w:t>
      </w:r>
      <w:r w:rsidRPr="002B77B1">
        <w:rPr>
          <w:rFonts w:ascii="Times New Roman" w:hAnsi="Times New Roman" w:cs="Times New Roman"/>
          <w:sz w:val="24"/>
          <w:szCs w:val="24"/>
        </w:rPr>
        <w:t>1.857</w:t>
      </w:r>
      <w:r>
        <w:rPr>
          <w:rFonts w:ascii="Times New Roman" w:hAnsi="Times New Roman" w:cs="Times New Roman"/>
          <w:sz w:val="24"/>
          <w:szCs w:val="24"/>
        </w:rPr>
        <w:t xml:space="preserve"> do Código Civil, que inaugura o tratamento a respeito da sucessão testamentária e dos testamentos em geral. Nos termos do seu </w:t>
      </w:r>
      <w:r w:rsidRPr="002B77B1">
        <w:rPr>
          <w:rFonts w:ascii="Times New Roman" w:hAnsi="Times New Roman" w:cs="Times New Roman"/>
          <w:i/>
          <w:sz w:val="24"/>
          <w:szCs w:val="24"/>
        </w:rPr>
        <w:t>caput</w:t>
      </w:r>
      <w:r>
        <w:rPr>
          <w:rFonts w:ascii="Times New Roman" w:hAnsi="Times New Roman" w:cs="Times New Roman"/>
          <w:sz w:val="24"/>
          <w:szCs w:val="24"/>
        </w:rPr>
        <w:t xml:space="preserve">, </w:t>
      </w:r>
      <w:r w:rsidR="000D7B84">
        <w:rPr>
          <w:rFonts w:ascii="Times New Roman" w:hAnsi="Times New Roman" w:cs="Times New Roman"/>
          <w:sz w:val="24"/>
          <w:szCs w:val="24"/>
        </w:rPr>
        <w:t>“</w:t>
      </w:r>
      <w:r>
        <w:rPr>
          <w:rFonts w:ascii="Times New Roman" w:hAnsi="Times New Roman" w:cs="Times New Roman"/>
          <w:sz w:val="24"/>
          <w:szCs w:val="24"/>
        </w:rPr>
        <w:t>t</w:t>
      </w:r>
      <w:r w:rsidRPr="002B77B1">
        <w:rPr>
          <w:rFonts w:ascii="Times New Roman" w:hAnsi="Times New Roman" w:cs="Times New Roman"/>
          <w:sz w:val="24"/>
          <w:szCs w:val="24"/>
        </w:rPr>
        <w:t xml:space="preserve">oda pessoa capaz pode dispor, por </w:t>
      </w:r>
      <w:r w:rsidRPr="002B77B1">
        <w:rPr>
          <w:rFonts w:ascii="Times New Roman" w:hAnsi="Times New Roman" w:cs="Times New Roman"/>
          <w:sz w:val="24"/>
          <w:szCs w:val="24"/>
        </w:rPr>
        <w:lastRenderedPageBreak/>
        <w:t>testamento, da totalidade dos seus bens, ou de parte deles, para depois de sua morte</w:t>
      </w:r>
      <w:r w:rsidR="000D7B84">
        <w:rPr>
          <w:rFonts w:ascii="Times New Roman" w:hAnsi="Times New Roman" w:cs="Times New Roman"/>
          <w:sz w:val="24"/>
          <w:szCs w:val="24"/>
        </w:rPr>
        <w:t>”</w:t>
      </w:r>
      <w:r w:rsidRPr="002B77B1">
        <w:rPr>
          <w:rFonts w:ascii="Times New Roman" w:hAnsi="Times New Roman" w:cs="Times New Roman"/>
          <w:sz w:val="24"/>
          <w:szCs w:val="24"/>
        </w:rPr>
        <w:t>.</w:t>
      </w:r>
      <w:r>
        <w:rPr>
          <w:rFonts w:ascii="Times New Roman" w:hAnsi="Times New Roman" w:cs="Times New Roman"/>
          <w:sz w:val="24"/>
          <w:szCs w:val="24"/>
        </w:rPr>
        <w:t xml:space="preserve"> O seu </w:t>
      </w:r>
      <w:r w:rsidRPr="002B77B1">
        <w:rPr>
          <w:rFonts w:ascii="Times New Roman" w:hAnsi="Times New Roman" w:cs="Times New Roman"/>
          <w:sz w:val="24"/>
          <w:szCs w:val="24"/>
        </w:rPr>
        <w:t>§ 1</w:t>
      </w:r>
      <w:r w:rsidR="00E97DED">
        <w:rPr>
          <w:rFonts w:ascii="Times New Roman" w:hAnsi="Times New Roman" w:cs="Times New Roman"/>
          <w:sz w:val="24"/>
          <w:szCs w:val="24"/>
        </w:rPr>
        <w:t>.</w:t>
      </w:r>
      <w:r>
        <w:rPr>
          <w:rFonts w:ascii="Times New Roman" w:hAnsi="Times New Roman" w:cs="Times New Roman"/>
          <w:sz w:val="24"/>
          <w:szCs w:val="24"/>
        </w:rPr>
        <w:t>º, de forma peremptória, prevê que a</w:t>
      </w:r>
      <w:r w:rsidRPr="002B77B1">
        <w:rPr>
          <w:rFonts w:ascii="Times New Roman" w:hAnsi="Times New Roman" w:cs="Times New Roman"/>
          <w:sz w:val="24"/>
          <w:szCs w:val="24"/>
        </w:rPr>
        <w:t xml:space="preserve"> legítima dos herdeiros necessários</w:t>
      </w:r>
      <w:r w:rsidR="000D7B84">
        <w:rPr>
          <w:rFonts w:ascii="Times New Roman" w:hAnsi="Times New Roman" w:cs="Times New Roman"/>
          <w:sz w:val="24"/>
          <w:szCs w:val="24"/>
        </w:rPr>
        <w:t xml:space="preserve"> –</w:t>
      </w:r>
      <w:r>
        <w:rPr>
          <w:rFonts w:ascii="Times New Roman" w:hAnsi="Times New Roman" w:cs="Times New Roman"/>
          <w:sz w:val="24"/>
          <w:szCs w:val="24"/>
        </w:rPr>
        <w:t xml:space="preserve">correspondente a cinquenta por cento do patrimônio do falecido </w:t>
      </w:r>
      <w:r w:rsidR="000D7B84">
        <w:rPr>
          <w:rFonts w:ascii="Times New Roman" w:hAnsi="Times New Roman" w:cs="Times New Roman"/>
          <w:sz w:val="24"/>
          <w:szCs w:val="24"/>
        </w:rPr>
        <w:t xml:space="preserve">– </w:t>
      </w:r>
      <w:r w:rsidRPr="002B77B1">
        <w:rPr>
          <w:rFonts w:ascii="Times New Roman" w:hAnsi="Times New Roman" w:cs="Times New Roman"/>
          <w:sz w:val="24"/>
          <w:szCs w:val="24"/>
        </w:rPr>
        <w:t>não poderá ser incluída no testamento.</w:t>
      </w:r>
      <w:r>
        <w:rPr>
          <w:rFonts w:ascii="Times New Roman" w:hAnsi="Times New Roman" w:cs="Times New Roman"/>
          <w:sz w:val="24"/>
          <w:szCs w:val="24"/>
        </w:rPr>
        <w:t xml:space="preserve"> Por fim, admitindo que o testamento </w:t>
      </w:r>
      <w:r w:rsidR="000D7B84">
        <w:rPr>
          <w:rFonts w:ascii="Times New Roman" w:hAnsi="Times New Roman" w:cs="Times New Roman"/>
          <w:sz w:val="24"/>
          <w:szCs w:val="24"/>
        </w:rPr>
        <w:t xml:space="preserve">tenha </w:t>
      </w:r>
      <w:r>
        <w:rPr>
          <w:rFonts w:ascii="Times New Roman" w:hAnsi="Times New Roman" w:cs="Times New Roman"/>
          <w:sz w:val="24"/>
          <w:szCs w:val="24"/>
        </w:rPr>
        <w:t xml:space="preserve">um conteúdo além do patrimônio corpóreo, </w:t>
      </w:r>
      <w:r w:rsidR="000D7B84">
        <w:rPr>
          <w:rFonts w:ascii="Times New Roman" w:hAnsi="Times New Roman" w:cs="Times New Roman"/>
          <w:sz w:val="24"/>
          <w:szCs w:val="24"/>
        </w:rPr>
        <w:t xml:space="preserve">o </w:t>
      </w:r>
      <w:r w:rsidRPr="002B77B1">
        <w:rPr>
          <w:rFonts w:ascii="Times New Roman" w:hAnsi="Times New Roman" w:cs="Times New Roman"/>
          <w:sz w:val="24"/>
          <w:szCs w:val="24"/>
        </w:rPr>
        <w:t>§</w:t>
      </w:r>
      <w:r w:rsidR="000D7B84">
        <w:rPr>
          <w:rFonts w:ascii="Times New Roman" w:hAnsi="Times New Roman" w:cs="Times New Roman"/>
          <w:sz w:val="24"/>
          <w:szCs w:val="24"/>
        </w:rPr>
        <w:t xml:space="preserve"> </w:t>
      </w:r>
      <w:r w:rsidRPr="002B77B1">
        <w:rPr>
          <w:rFonts w:ascii="Times New Roman" w:hAnsi="Times New Roman" w:cs="Times New Roman"/>
          <w:sz w:val="24"/>
          <w:szCs w:val="24"/>
        </w:rPr>
        <w:t>2</w:t>
      </w:r>
      <w:r w:rsidR="00E97DED">
        <w:rPr>
          <w:rFonts w:ascii="Times New Roman" w:hAnsi="Times New Roman" w:cs="Times New Roman"/>
          <w:sz w:val="24"/>
          <w:szCs w:val="24"/>
        </w:rPr>
        <w:t>.</w:t>
      </w:r>
      <w:r>
        <w:rPr>
          <w:rFonts w:ascii="Times New Roman" w:hAnsi="Times New Roman" w:cs="Times New Roman"/>
          <w:sz w:val="24"/>
          <w:szCs w:val="24"/>
        </w:rPr>
        <w:t xml:space="preserve">º desse comando estabelece serem </w:t>
      </w:r>
      <w:r w:rsidR="000D7B84">
        <w:rPr>
          <w:rFonts w:ascii="Times New Roman" w:hAnsi="Times New Roman" w:cs="Times New Roman"/>
          <w:sz w:val="24"/>
          <w:szCs w:val="24"/>
        </w:rPr>
        <w:t>“</w:t>
      </w:r>
      <w:r w:rsidRPr="002B77B1">
        <w:rPr>
          <w:rFonts w:ascii="Times New Roman" w:hAnsi="Times New Roman" w:cs="Times New Roman"/>
          <w:sz w:val="24"/>
          <w:szCs w:val="24"/>
        </w:rPr>
        <w:t>válidas as disposições testamentárias de caráter não patrimonial, ainda que o testador somente a elas se tenha limitado</w:t>
      </w:r>
      <w:r w:rsidR="000D7B84">
        <w:rPr>
          <w:rFonts w:ascii="Times New Roman" w:hAnsi="Times New Roman" w:cs="Times New Roman"/>
          <w:sz w:val="24"/>
          <w:szCs w:val="24"/>
        </w:rPr>
        <w:t>”</w:t>
      </w:r>
      <w:r w:rsidRPr="002B77B1">
        <w:rPr>
          <w:rFonts w:ascii="Times New Roman" w:hAnsi="Times New Roman" w:cs="Times New Roman"/>
          <w:sz w:val="24"/>
          <w:szCs w:val="24"/>
        </w:rPr>
        <w:t>.</w:t>
      </w:r>
      <w:r w:rsidR="00A80308">
        <w:rPr>
          <w:rFonts w:ascii="Times New Roman" w:hAnsi="Times New Roman" w:cs="Times New Roman"/>
          <w:sz w:val="24"/>
          <w:szCs w:val="24"/>
        </w:rPr>
        <w:t xml:space="preserve">  </w:t>
      </w:r>
    </w:p>
    <w:p w:rsidR="002B77B1" w:rsidRPr="002B77B1" w:rsidRDefault="002B77B1" w:rsidP="002B77B1">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Pois bem, em relação ao </w:t>
      </w:r>
      <w:r w:rsidRPr="002B77B1">
        <w:rPr>
          <w:rFonts w:ascii="Times New Roman" w:hAnsi="Times New Roman" w:cs="Times New Roman"/>
          <w:i/>
          <w:sz w:val="24"/>
          <w:szCs w:val="24"/>
        </w:rPr>
        <w:t>caput</w:t>
      </w:r>
      <w:r>
        <w:rPr>
          <w:rFonts w:ascii="Times New Roman" w:hAnsi="Times New Roman" w:cs="Times New Roman"/>
          <w:sz w:val="24"/>
          <w:szCs w:val="24"/>
        </w:rPr>
        <w:t xml:space="preserve"> do art. 1.857 da Lei Civil não se fez qualquer proposta de mudança, estando a primeira proposta relevante a ser destacada no seu §</w:t>
      </w:r>
      <w:r w:rsidR="000D7B84">
        <w:rPr>
          <w:rFonts w:ascii="Times New Roman" w:hAnsi="Times New Roman" w:cs="Times New Roman"/>
          <w:sz w:val="24"/>
          <w:szCs w:val="24"/>
        </w:rPr>
        <w:t xml:space="preserve"> </w:t>
      </w:r>
      <w:r>
        <w:rPr>
          <w:rFonts w:ascii="Times New Roman" w:hAnsi="Times New Roman" w:cs="Times New Roman"/>
          <w:sz w:val="24"/>
          <w:szCs w:val="24"/>
        </w:rPr>
        <w:t>1</w:t>
      </w:r>
      <w:r w:rsidR="00E97DED">
        <w:rPr>
          <w:rFonts w:ascii="Times New Roman" w:hAnsi="Times New Roman" w:cs="Times New Roman"/>
          <w:sz w:val="24"/>
          <w:szCs w:val="24"/>
        </w:rPr>
        <w:t>.</w:t>
      </w:r>
      <w:r>
        <w:rPr>
          <w:rFonts w:ascii="Times New Roman" w:hAnsi="Times New Roman" w:cs="Times New Roman"/>
          <w:sz w:val="24"/>
          <w:szCs w:val="24"/>
        </w:rPr>
        <w:t xml:space="preserve">º. Em sua redação atual, como visto, </w:t>
      </w:r>
      <w:r w:rsidRPr="002B77B1">
        <w:rPr>
          <w:rFonts w:ascii="Times New Roman" w:hAnsi="Times New Roman" w:cs="Times New Roman"/>
          <w:sz w:val="24"/>
          <w:szCs w:val="24"/>
        </w:rPr>
        <w:t xml:space="preserve">os bens da legítima </w:t>
      </w:r>
      <w:r>
        <w:rPr>
          <w:rFonts w:ascii="Times New Roman" w:hAnsi="Times New Roman" w:cs="Times New Roman"/>
          <w:sz w:val="24"/>
          <w:szCs w:val="24"/>
        </w:rPr>
        <w:t>ou</w:t>
      </w:r>
      <w:r w:rsidRPr="002B77B1">
        <w:rPr>
          <w:rFonts w:ascii="Times New Roman" w:hAnsi="Times New Roman" w:cs="Times New Roman"/>
          <w:sz w:val="24"/>
          <w:szCs w:val="24"/>
        </w:rPr>
        <w:t xml:space="preserve"> </w:t>
      </w:r>
      <w:r w:rsidRPr="002B77B1">
        <w:rPr>
          <w:rFonts w:ascii="Times New Roman" w:hAnsi="Times New Roman" w:cs="Times New Roman"/>
          <w:i/>
          <w:sz w:val="24"/>
          <w:szCs w:val="24"/>
        </w:rPr>
        <w:t>legitimários</w:t>
      </w:r>
      <w:r w:rsidRPr="002B77B1">
        <w:rPr>
          <w:rFonts w:ascii="Times New Roman" w:hAnsi="Times New Roman" w:cs="Times New Roman"/>
          <w:sz w:val="24"/>
          <w:szCs w:val="24"/>
        </w:rPr>
        <w:t xml:space="preserve">, que equivalem a cinquenta por cento do patrimônio do testador ou autor da herança, não podem ser objeto de testamento. </w:t>
      </w:r>
    </w:p>
    <w:p w:rsidR="002B77B1" w:rsidRPr="002B77B1" w:rsidRDefault="002B77B1" w:rsidP="002B77B1">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De todo modo, apesar do que está previsto na norma, e</w:t>
      </w:r>
      <w:r w:rsidRPr="002B77B1">
        <w:rPr>
          <w:rFonts w:ascii="Times New Roman" w:hAnsi="Times New Roman" w:cs="Times New Roman"/>
          <w:sz w:val="24"/>
          <w:szCs w:val="24"/>
        </w:rPr>
        <w:t>m rumoroso julgado de 2023, envolvendo a herança do apresentador Gugu Liberato, entendeu a Terceira Turma do Superior Tribunal de Justiça que o testamento até pode tratar de todo o patrimônio, desde que respeitada a parte dos herdeiros necessários. No caso concreto, o apresentador fez testamento em que dispôs sobre a totalidade de seu patrimônio, dividindo-o entre seus filhos e sobrinhos</w:t>
      </w:r>
      <w:r w:rsidR="000D7B84">
        <w:rPr>
          <w:rFonts w:ascii="Times New Roman" w:hAnsi="Times New Roman" w:cs="Times New Roman"/>
          <w:sz w:val="24"/>
          <w:szCs w:val="24"/>
        </w:rPr>
        <w:t>,</w:t>
      </w:r>
      <w:r w:rsidR="000D7B84" w:rsidRPr="002B77B1">
        <w:rPr>
          <w:rFonts w:ascii="Times New Roman" w:hAnsi="Times New Roman" w:cs="Times New Roman"/>
          <w:sz w:val="24"/>
          <w:szCs w:val="24"/>
        </w:rPr>
        <w:t xml:space="preserve"> </w:t>
      </w:r>
      <w:r w:rsidRPr="002B77B1">
        <w:rPr>
          <w:rFonts w:ascii="Times New Roman" w:hAnsi="Times New Roman" w:cs="Times New Roman"/>
          <w:sz w:val="24"/>
          <w:szCs w:val="24"/>
        </w:rPr>
        <w:t>ficando os primeiros com 75% da herança e os últimos com os 25% restantes. No inventário, com total razão</w:t>
      </w:r>
      <w:r w:rsidR="007161E4">
        <w:rPr>
          <w:rFonts w:ascii="Times New Roman" w:hAnsi="Times New Roman" w:cs="Times New Roman"/>
          <w:sz w:val="24"/>
          <w:szCs w:val="24"/>
        </w:rPr>
        <w:t xml:space="preserve">, </w:t>
      </w:r>
      <w:r w:rsidRPr="002B77B1">
        <w:rPr>
          <w:rFonts w:ascii="Times New Roman" w:hAnsi="Times New Roman" w:cs="Times New Roman"/>
          <w:sz w:val="24"/>
          <w:szCs w:val="24"/>
        </w:rPr>
        <w:t>no meu entendimento, duas filhas do falecido questionaram a inclusão da legítima dos herdeiros necessários na base de cálculo dessa divisão, sob a alegação de que o testamento deve compreender apenas a metade disponível do patrimônio. Porém, entendeu o Tribunal da Cidadania o seguinte:</w:t>
      </w:r>
    </w:p>
    <w:p w:rsidR="002B77B1" w:rsidRPr="002B77B1" w:rsidRDefault="002B77B1" w:rsidP="002B77B1">
      <w:pPr>
        <w:pStyle w:val="t"/>
        <w:spacing w:before="120" w:after="120" w:line="360" w:lineRule="auto"/>
        <w:ind w:left="567" w:firstLine="0"/>
        <w:rPr>
          <w:rFonts w:ascii="Times New Roman" w:hAnsi="Times New Roman" w:cs="Times New Roman"/>
          <w:sz w:val="22"/>
          <w:szCs w:val="22"/>
        </w:rPr>
      </w:pPr>
      <w:r w:rsidRPr="002B77B1">
        <w:rPr>
          <w:rFonts w:ascii="Times New Roman" w:hAnsi="Times New Roman" w:cs="Times New Roman"/>
          <w:sz w:val="22"/>
          <w:szCs w:val="22"/>
        </w:rPr>
        <w:t xml:space="preserve">“(...). A legítima dos herdeiros necessários poderá ser referida no testamento porque é lícito ao autor da herança, em vida e desde logo, organizar e estruturar a sucessão, desde que seja mencionada justamente para destinar a metade indisponível, ou mais, aos referidos herdeiros, sem que haja privação ou redução da parcela a que fazem jus por força de lei. Hipótese em que, examinando-se a disposição testamentária transcrita no acórdão recorrido, conclui-se que o testador pretendeu dispor de todo o seu patrimônio e não apenas da parcela disponível. Isso porque o testador se referiu, no ato de disposição, reiteradamente, à totalidade de seu patrimônio, inclusive quando promoveu a divisão dos percentuais entre os filhos, herdeiros necessários que tiveram a legítima respeitada, e os sobrinhos, herdeiros testamentários” (STJ, REsp 2.039.541/SP, 3.ª Turma, Rel. Min. Nancy Andrighi, j. 20.06.2023, DJe 23.06.2023). </w:t>
      </w:r>
    </w:p>
    <w:p w:rsidR="002B77B1" w:rsidRPr="002B77B1" w:rsidRDefault="002B77B1" w:rsidP="002B77B1">
      <w:pPr>
        <w:pStyle w:val="t"/>
        <w:spacing w:before="120" w:after="120" w:line="360" w:lineRule="auto"/>
        <w:ind w:firstLine="1701"/>
        <w:rPr>
          <w:rFonts w:ascii="Times New Roman" w:hAnsi="Times New Roman" w:cs="Times New Roman"/>
          <w:sz w:val="24"/>
          <w:szCs w:val="24"/>
        </w:rPr>
      </w:pPr>
      <w:r w:rsidRPr="002B77B1">
        <w:rPr>
          <w:rFonts w:ascii="Times New Roman" w:hAnsi="Times New Roman" w:cs="Times New Roman"/>
          <w:sz w:val="24"/>
          <w:szCs w:val="24"/>
        </w:rPr>
        <w:lastRenderedPageBreak/>
        <w:t>Com o devido respeito, entendo que o aresto traz em seu conteúdo lesão à le</w:t>
      </w:r>
      <w:r>
        <w:rPr>
          <w:rFonts w:ascii="Times New Roman" w:hAnsi="Times New Roman" w:cs="Times New Roman"/>
          <w:sz w:val="24"/>
          <w:szCs w:val="24"/>
        </w:rPr>
        <w:t>gítima, violando a</w:t>
      </w:r>
      <w:r w:rsidRPr="002B77B1">
        <w:rPr>
          <w:rFonts w:ascii="Times New Roman" w:hAnsi="Times New Roman" w:cs="Times New Roman"/>
          <w:sz w:val="24"/>
          <w:szCs w:val="24"/>
        </w:rPr>
        <w:t xml:space="preserve"> norma peremptória do art. 1.857, § 1.º, do Código Civil, norma cogente </w:t>
      </w:r>
      <w:r w:rsidR="00C81D18">
        <w:rPr>
          <w:rFonts w:ascii="Times New Roman" w:hAnsi="Times New Roman" w:cs="Times New Roman"/>
          <w:sz w:val="24"/>
          <w:szCs w:val="24"/>
        </w:rPr>
        <w:t xml:space="preserve">ou de ordem pública </w:t>
      </w:r>
      <w:r w:rsidRPr="002B77B1">
        <w:rPr>
          <w:rFonts w:ascii="Times New Roman" w:hAnsi="Times New Roman" w:cs="Times New Roman"/>
          <w:sz w:val="24"/>
          <w:szCs w:val="24"/>
        </w:rPr>
        <w:t xml:space="preserve">que não pode ser contrariada, sob pena de caracterização da fraude à lei </w:t>
      </w:r>
      <w:r>
        <w:rPr>
          <w:rFonts w:ascii="Times New Roman" w:hAnsi="Times New Roman" w:cs="Times New Roman"/>
          <w:sz w:val="24"/>
          <w:szCs w:val="24"/>
        </w:rPr>
        <w:t xml:space="preserve">imperativa </w:t>
      </w:r>
      <w:r w:rsidRPr="002B77B1">
        <w:rPr>
          <w:rFonts w:ascii="Times New Roman" w:hAnsi="Times New Roman" w:cs="Times New Roman"/>
          <w:sz w:val="24"/>
          <w:szCs w:val="24"/>
        </w:rPr>
        <w:t xml:space="preserve">e à correspondente nulidade absoluta da disposição, nos termos do art. 166, inc. VI, do Código Civil. </w:t>
      </w:r>
    </w:p>
    <w:p w:rsidR="002B77B1" w:rsidRPr="002B77B1" w:rsidRDefault="00E32682" w:rsidP="002B77B1">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Na verdade, </w:t>
      </w:r>
      <w:r w:rsidR="002B77B1" w:rsidRPr="002B77B1">
        <w:rPr>
          <w:rFonts w:ascii="Times New Roman" w:hAnsi="Times New Roman" w:cs="Times New Roman"/>
          <w:sz w:val="24"/>
          <w:szCs w:val="24"/>
        </w:rPr>
        <w:t>é preciso reparar a norma</w:t>
      </w:r>
      <w:r w:rsidR="00880709">
        <w:rPr>
          <w:rFonts w:ascii="Times New Roman" w:hAnsi="Times New Roman" w:cs="Times New Roman"/>
          <w:sz w:val="24"/>
          <w:szCs w:val="24"/>
        </w:rPr>
        <w:t xml:space="preserve"> em estudo</w:t>
      </w:r>
      <w:r w:rsidR="002B77B1" w:rsidRPr="002B77B1">
        <w:rPr>
          <w:rFonts w:ascii="Times New Roman" w:hAnsi="Times New Roman" w:cs="Times New Roman"/>
          <w:sz w:val="24"/>
          <w:szCs w:val="24"/>
        </w:rPr>
        <w:t xml:space="preserve">, para que se afaste essa divergência, o que está sendo proposto </w:t>
      </w:r>
      <w:r w:rsidR="002B77B1">
        <w:rPr>
          <w:rFonts w:ascii="Times New Roman" w:hAnsi="Times New Roman" w:cs="Times New Roman"/>
          <w:sz w:val="24"/>
          <w:szCs w:val="24"/>
        </w:rPr>
        <w:t xml:space="preserve">justamente </w:t>
      </w:r>
      <w:r w:rsidR="002B77B1" w:rsidRPr="002B77B1">
        <w:rPr>
          <w:rFonts w:ascii="Times New Roman" w:hAnsi="Times New Roman" w:cs="Times New Roman"/>
          <w:sz w:val="24"/>
          <w:szCs w:val="24"/>
        </w:rPr>
        <w:t>pelo Projeto de Reforma do Código Civil, a saber: “§ 1</w:t>
      </w:r>
      <w:r w:rsidR="00DC5ACF">
        <w:rPr>
          <w:rFonts w:ascii="Times New Roman" w:hAnsi="Times New Roman" w:cs="Times New Roman"/>
          <w:sz w:val="24"/>
          <w:szCs w:val="24"/>
        </w:rPr>
        <w:t>.</w:t>
      </w:r>
      <w:r w:rsidR="002B77B1" w:rsidRPr="002B77B1">
        <w:rPr>
          <w:rFonts w:ascii="Times New Roman" w:hAnsi="Times New Roman" w:cs="Times New Roman"/>
          <w:sz w:val="24"/>
          <w:szCs w:val="24"/>
        </w:rPr>
        <w:t>º O testador pode individualizar os bens da legítima dos herdeiros necessários, bem como partilhá-los entre eles, respeitado o limite e a proporção legal”. A proposição, portanto, segue a mesma linha do julgado superior destacado, vencidas as minhas resistências doutrinárias nos debates da Comissão de Juristas.</w:t>
      </w:r>
      <w:r w:rsidR="002B77B1">
        <w:rPr>
          <w:rFonts w:ascii="Times New Roman" w:hAnsi="Times New Roman" w:cs="Times New Roman"/>
          <w:sz w:val="24"/>
          <w:szCs w:val="24"/>
        </w:rPr>
        <w:t xml:space="preserve"> Assim, o tema encontrará a necessária estabilidade, aumentando a liberdade do testador para planejar a </w:t>
      </w:r>
      <w:r w:rsidR="00880709">
        <w:rPr>
          <w:rFonts w:ascii="Times New Roman" w:hAnsi="Times New Roman" w:cs="Times New Roman"/>
          <w:sz w:val="24"/>
          <w:szCs w:val="24"/>
        </w:rPr>
        <w:t xml:space="preserve">sua </w:t>
      </w:r>
      <w:r w:rsidR="002B77B1">
        <w:rPr>
          <w:rFonts w:ascii="Times New Roman" w:hAnsi="Times New Roman" w:cs="Times New Roman"/>
          <w:sz w:val="24"/>
          <w:szCs w:val="24"/>
        </w:rPr>
        <w:t xml:space="preserve">própria sucessão.  </w:t>
      </w:r>
      <w:r w:rsidR="002B77B1" w:rsidRPr="002B77B1">
        <w:rPr>
          <w:rFonts w:ascii="Times New Roman" w:hAnsi="Times New Roman" w:cs="Times New Roman"/>
          <w:sz w:val="24"/>
          <w:szCs w:val="24"/>
        </w:rPr>
        <w:t xml:space="preserve"> </w:t>
      </w:r>
    </w:p>
    <w:p w:rsidR="002B77B1" w:rsidRDefault="002B77B1" w:rsidP="002B77B1">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Com</w:t>
      </w:r>
      <w:r w:rsidR="007161E4">
        <w:rPr>
          <w:rFonts w:ascii="Times New Roman" w:hAnsi="Times New Roman" w:cs="Times New Roman"/>
          <w:sz w:val="24"/>
          <w:szCs w:val="24"/>
        </w:rPr>
        <w:t>o</w:t>
      </w:r>
      <w:r>
        <w:rPr>
          <w:rFonts w:ascii="Times New Roman" w:hAnsi="Times New Roman" w:cs="Times New Roman"/>
          <w:sz w:val="24"/>
          <w:szCs w:val="24"/>
        </w:rPr>
        <w:t xml:space="preserve"> outro aspecto relevante, </w:t>
      </w:r>
      <w:r w:rsidRPr="002B77B1">
        <w:rPr>
          <w:rFonts w:ascii="Times New Roman" w:hAnsi="Times New Roman" w:cs="Times New Roman"/>
          <w:sz w:val="24"/>
          <w:szCs w:val="24"/>
        </w:rPr>
        <w:t xml:space="preserve">pretende-se também incluir nesse art. 1.857 </w:t>
      </w:r>
      <w:r w:rsidR="00C81D18">
        <w:rPr>
          <w:rFonts w:ascii="Times New Roman" w:hAnsi="Times New Roman" w:cs="Times New Roman"/>
          <w:sz w:val="24"/>
          <w:szCs w:val="24"/>
        </w:rPr>
        <w:t xml:space="preserve">da Lei Civil </w:t>
      </w:r>
      <w:r w:rsidRPr="002B77B1">
        <w:rPr>
          <w:rFonts w:ascii="Times New Roman" w:hAnsi="Times New Roman" w:cs="Times New Roman"/>
          <w:sz w:val="24"/>
          <w:szCs w:val="24"/>
        </w:rPr>
        <w:t xml:space="preserve">dois novos parágrafos, tratando das figuras do </w:t>
      </w:r>
      <w:r w:rsidRPr="002B77B1">
        <w:rPr>
          <w:rFonts w:ascii="Times New Roman" w:hAnsi="Times New Roman" w:cs="Times New Roman"/>
          <w:i/>
          <w:sz w:val="24"/>
          <w:szCs w:val="24"/>
        </w:rPr>
        <w:t>testamento pupilar</w:t>
      </w:r>
      <w:r w:rsidRPr="002B77B1">
        <w:rPr>
          <w:rFonts w:ascii="Times New Roman" w:hAnsi="Times New Roman" w:cs="Times New Roman"/>
          <w:sz w:val="24"/>
          <w:szCs w:val="24"/>
        </w:rPr>
        <w:t xml:space="preserve"> e </w:t>
      </w:r>
      <w:r w:rsidRPr="002B77B1">
        <w:rPr>
          <w:rFonts w:ascii="Times New Roman" w:hAnsi="Times New Roman" w:cs="Times New Roman"/>
          <w:i/>
          <w:sz w:val="24"/>
          <w:szCs w:val="24"/>
        </w:rPr>
        <w:t>quase pupilar</w:t>
      </w:r>
      <w:r w:rsidRPr="002B77B1">
        <w:rPr>
          <w:rFonts w:ascii="Times New Roman" w:hAnsi="Times New Roman" w:cs="Times New Roman"/>
          <w:sz w:val="24"/>
          <w:szCs w:val="24"/>
        </w:rPr>
        <w:t>. Conforme o novo § 3</w:t>
      </w:r>
      <w:r w:rsidR="00AE2D47">
        <w:rPr>
          <w:rFonts w:ascii="Times New Roman" w:hAnsi="Times New Roman" w:cs="Times New Roman"/>
          <w:sz w:val="24"/>
          <w:szCs w:val="24"/>
        </w:rPr>
        <w:t>.</w:t>
      </w:r>
      <w:r w:rsidRPr="002B77B1">
        <w:rPr>
          <w:rFonts w:ascii="Times New Roman" w:hAnsi="Times New Roman" w:cs="Times New Roman"/>
          <w:sz w:val="24"/>
          <w:szCs w:val="24"/>
        </w:rPr>
        <w:t>º, “os pais, no exercício da autoridade parental, podem instituir, por testamento público, herdeiros ou legatários aos filhos absolutamente incapazes, para o caso de eles falecerem nesse estado, ficando sem efeito a disposição logo que cesse a incapacidade”. E</w:t>
      </w:r>
      <w:r w:rsidR="00DC5ACF">
        <w:rPr>
          <w:rFonts w:ascii="Times New Roman" w:hAnsi="Times New Roman" w:cs="Times New Roman"/>
          <w:sz w:val="24"/>
          <w:szCs w:val="24"/>
        </w:rPr>
        <w:t>,</w:t>
      </w:r>
      <w:r w:rsidRPr="002B77B1">
        <w:rPr>
          <w:rFonts w:ascii="Times New Roman" w:hAnsi="Times New Roman" w:cs="Times New Roman"/>
          <w:sz w:val="24"/>
          <w:szCs w:val="24"/>
        </w:rPr>
        <w:t xml:space="preserve"> nos termos do § 4</w:t>
      </w:r>
      <w:r w:rsidR="00E97DED">
        <w:rPr>
          <w:rFonts w:ascii="Times New Roman" w:hAnsi="Times New Roman" w:cs="Times New Roman"/>
          <w:sz w:val="24"/>
          <w:szCs w:val="24"/>
        </w:rPr>
        <w:t>.</w:t>
      </w:r>
      <w:r w:rsidRPr="002B77B1">
        <w:rPr>
          <w:rFonts w:ascii="Times New Roman" w:hAnsi="Times New Roman" w:cs="Times New Roman"/>
          <w:sz w:val="24"/>
          <w:szCs w:val="24"/>
        </w:rPr>
        <w:t xml:space="preserve">º, essa norma tem aplicação “a todos os filhos, sem distinção de idade, que não estiverem em condições de expressar sua vontade de forma livre e consciente, no momento do ato, ficando sem efeito a disposição logo que cesse a limitação volitiva”. </w:t>
      </w:r>
    </w:p>
    <w:p w:rsidR="00C81D18" w:rsidRDefault="002B77B1" w:rsidP="00C81D18">
      <w:pPr>
        <w:pStyle w:val="t"/>
        <w:spacing w:before="120" w:after="120" w:line="360" w:lineRule="auto"/>
        <w:ind w:firstLine="1701"/>
        <w:rPr>
          <w:rFonts w:ascii="Times New Roman" w:hAnsi="Times New Roman" w:cs="Times New Roman"/>
          <w:sz w:val="24"/>
          <w:szCs w:val="24"/>
        </w:rPr>
      </w:pPr>
      <w:r w:rsidRPr="002B77B1">
        <w:rPr>
          <w:rFonts w:ascii="Times New Roman" w:hAnsi="Times New Roman" w:cs="Times New Roman"/>
          <w:sz w:val="24"/>
          <w:szCs w:val="24"/>
        </w:rPr>
        <w:t xml:space="preserve">Nas exatas justificativas da subcomissão de Direito das Sucessões, as proposições têm </w:t>
      </w:r>
      <w:r w:rsidR="00DC5ACF">
        <w:rPr>
          <w:rFonts w:ascii="Times New Roman" w:hAnsi="Times New Roman" w:cs="Times New Roman"/>
          <w:sz w:val="24"/>
          <w:szCs w:val="24"/>
        </w:rPr>
        <w:t>“</w:t>
      </w:r>
      <w:r w:rsidRPr="002B77B1">
        <w:rPr>
          <w:rFonts w:ascii="Times New Roman" w:hAnsi="Times New Roman" w:cs="Times New Roman"/>
          <w:sz w:val="24"/>
          <w:szCs w:val="24"/>
        </w:rPr>
        <w:t xml:space="preserve">o objetivo de trazer de volta ao direito interno os testamentos pupilar e quase-pupilar, já bem conhecidos do direito romano e de diversos outros códigos civis da família romanista. O saudoso jurista Zeno Veloso já havia elaborado uma proposta semelhante, a partir de realidades que havia experimentado como tabelião”. </w:t>
      </w:r>
      <w:r w:rsidR="00C81D18">
        <w:rPr>
          <w:rFonts w:ascii="Times New Roman" w:hAnsi="Times New Roman" w:cs="Times New Roman"/>
          <w:sz w:val="24"/>
          <w:szCs w:val="24"/>
        </w:rPr>
        <w:t>Vejamos o que escrevia o Mestre em um dos seus textos</w:t>
      </w:r>
      <w:r w:rsidR="00E32682">
        <w:rPr>
          <w:rFonts w:ascii="Times New Roman" w:hAnsi="Times New Roman" w:cs="Times New Roman"/>
          <w:sz w:val="24"/>
          <w:szCs w:val="24"/>
        </w:rPr>
        <w:t xml:space="preserve">, publicado em 2018, </w:t>
      </w:r>
      <w:r w:rsidR="00C81D18">
        <w:rPr>
          <w:rFonts w:ascii="Times New Roman" w:hAnsi="Times New Roman" w:cs="Times New Roman"/>
          <w:sz w:val="24"/>
          <w:szCs w:val="24"/>
        </w:rPr>
        <w:t xml:space="preserve">em que tratava dessas figuras, demonstrando uma iniciativa anterior de se alterar o Código Civil: </w:t>
      </w:r>
    </w:p>
    <w:p w:rsidR="00C81D18" w:rsidRPr="00C81D18" w:rsidRDefault="00DC5ACF" w:rsidP="00C81D18">
      <w:pPr>
        <w:pStyle w:val="t"/>
        <w:spacing w:before="120" w:after="120" w:line="360" w:lineRule="auto"/>
        <w:ind w:left="567" w:firstLine="0"/>
        <w:rPr>
          <w:rFonts w:ascii="Times New Roman" w:hAnsi="Times New Roman" w:cs="Times New Roman"/>
          <w:sz w:val="22"/>
          <w:szCs w:val="22"/>
        </w:rPr>
      </w:pPr>
      <w:r>
        <w:rPr>
          <w:rFonts w:ascii="Times New Roman" w:hAnsi="Times New Roman" w:cs="Times New Roman"/>
          <w:sz w:val="22"/>
          <w:szCs w:val="22"/>
        </w:rPr>
        <w:t>“</w:t>
      </w:r>
      <w:r w:rsidR="00C81D18" w:rsidRPr="00C81D18">
        <w:rPr>
          <w:rFonts w:ascii="Times New Roman" w:hAnsi="Times New Roman" w:cs="Times New Roman"/>
          <w:sz w:val="22"/>
          <w:szCs w:val="22"/>
        </w:rPr>
        <w:t xml:space="preserve">Se um filho é acometido de doença mental profunda, permanente, e segundo o atual estágio da ciência médica, irreversível, irremediável, achando-se desprovido de vontade, não podendo resolver, escolher, decidir, independentemente de ter havido ou não uma sentença judicial reconhecendo esta situação, não possuindo, ademais, herdeiros </w:t>
      </w:r>
      <w:r w:rsidR="00C81D18" w:rsidRPr="00C81D18">
        <w:rPr>
          <w:rFonts w:ascii="Times New Roman" w:hAnsi="Times New Roman" w:cs="Times New Roman"/>
          <w:sz w:val="22"/>
          <w:szCs w:val="22"/>
        </w:rPr>
        <w:lastRenderedPageBreak/>
        <w:t>necessários, seu pai deve ser autorizado a fazer um testamento, suprindo a incapacidade testamentária do filho, e indicando, por ele, herdeiros ou legatários. Admitida essa possibilidade, o testamento do pai pode abranger todos os bens do filho, sem considerar a procedência dos mesmos. Obviamente, o testamento do pai perde o efeito e caduca, se o filho adquirir ou readquirir o juízo perfeito, ou se tiver herdeiros necessários.</w:t>
      </w:r>
    </w:p>
    <w:p w:rsidR="00C81D18" w:rsidRPr="00C81D18" w:rsidRDefault="00C81D18" w:rsidP="00C81D18">
      <w:pPr>
        <w:pStyle w:val="t"/>
        <w:spacing w:before="120" w:after="120" w:line="360" w:lineRule="auto"/>
        <w:ind w:left="567" w:firstLine="0"/>
        <w:rPr>
          <w:rFonts w:ascii="Times New Roman" w:hAnsi="Times New Roman" w:cs="Times New Roman"/>
          <w:sz w:val="22"/>
          <w:szCs w:val="22"/>
        </w:rPr>
      </w:pPr>
      <w:r w:rsidRPr="00C81D18">
        <w:rPr>
          <w:rFonts w:ascii="Times New Roman" w:hAnsi="Times New Roman" w:cs="Times New Roman"/>
          <w:sz w:val="22"/>
          <w:szCs w:val="22"/>
        </w:rPr>
        <w:t>10. O Instituto Brasileiro de Direito de Família – IBDFAM nomeou uma Comissão de Juristas para promover estudos e oferecer um anteprojeto de reforma do Livro V – Do Direito das Sucessões – do Código Civil. O presidente desta Comissão é o advogado e professor Mário Delgado, e também fazem parte da mesma os professores Ana Luiza Maia Nevares, João Brandão Aguirre e Flávio Tartuce, que neste ano de Copa do Mundo da Rússia, posso dizer que formam uma verdadeira seleção brasileira de juristas. Por eles tenho grande admiração e apreço.</w:t>
      </w:r>
    </w:p>
    <w:p w:rsidR="00C81D18" w:rsidRPr="00C81D18" w:rsidRDefault="00C81D18" w:rsidP="00C81D18">
      <w:pPr>
        <w:pStyle w:val="t"/>
        <w:spacing w:before="120" w:after="120" w:line="360" w:lineRule="auto"/>
        <w:ind w:left="567" w:firstLine="0"/>
        <w:rPr>
          <w:rFonts w:ascii="Times New Roman" w:hAnsi="Times New Roman" w:cs="Times New Roman"/>
          <w:sz w:val="22"/>
          <w:szCs w:val="22"/>
        </w:rPr>
      </w:pPr>
      <w:r w:rsidRPr="00C81D18">
        <w:rPr>
          <w:rFonts w:ascii="Times New Roman" w:hAnsi="Times New Roman" w:cs="Times New Roman"/>
          <w:i/>
          <w:sz w:val="22"/>
          <w:szCs w:val="22"/>
        </w:rPr>
        <w:t>Ex positis</w:t>
      </w:r>
      <w:r w:rsidRPr="00C81D18">
        <w:rPr>
          <w:rFonts w:ascii="Times New Roman" w:hAnsi="Times New Roman" w:cs="Times New Roman"/>
          <w:sz w:val="22"/>
          <w:szCs w:val="22"/>
        </w:rPr>
        <w:t>, e servindo a própria exposição como justificativa, venho oferecer minha colaboração a essa douta Comissão, com base nas reflexões antes feitas. Proponho, então, que, em seguida do art. 1.960 do Código Civil, seja introduzida a Seção III, com dois novos artigos, e a redação seguinte:</w:t>
      </w:r>
    </w:p>
    <w:p w:rsidR="00C81D18" w:rsidRPr="00C81D18" w:rsidRDefault="00DC5ACF" w:rsidP="00C81D18">
      <w:pPr>
        <w:pStyle w:val="t"/>
        <w:spacing w:before="120" w:after="120" w:line="360" w:lineRule="auto"/>
        <w:ind w:left="567" w:firstLine="0"/>
        <w:rPr>
          <w:rFonts w:ascii="Times New Roman" w:hAnsi="Times New Roman" w:cs="Times New Roman"/>
          <w:sz w:val="22"/>
          <w:szCs w:val="22"/>
        </w:rPr>
      </w:pPr>
      <w:r>
        <w:rPr>
          <w:rFonts w:ascii="Times New Roman" w:hAnsi="Times New Roman" w:cs="Times New Roman"/>
          <w:sz w:val="22"/>
          <w:szCs w:val="22"/>
        </w:rPr>
        <w:t>‘</w:t>
      </w:r>
      <w:r w:rsidR="00C81D18" w:rsidRPr="00C81D18">
        <w:rPr>
          <w:rFonts w:ascii="Times New Roman" w:hAnsi="Times New Roman" w:cs="Times New Roman"/>
          <w:sz w:val="22"/>
          <w:szCs w:val="22"/>
        </w:rPr>
        <w:t>Seção III</w:t>
      </w:r>
    </w:p>
    <w:p w:rsidR="00C81D18" w:rsidRPr="00C81D18" w:rsidRDefault="00C81D18" w:rsidP="00C81D18">
      <w:pPr>
        <w:pStyle w:val="t"/>
        <w:spacing w:before="120" w:after="120" w:line="360" w:lineRule="auto"/>
        <w:ind w:left="567" w:firstLine="0"/>
        <w:rPr>
          <w:rFonts w:ascii="Times New Roman" w:hAnsi="Times New Roman" w:cs="Times New Roman"/>
          <w:sz w:val="22"/>
          <w:szCs w:val="22"/>
        </w:rPr>
      </w:pPr>
      <w:r w:rsidRPr="00C81D18">
        <w:rPr>
          <w:rFonts w:ascii="Times New Roman" w:hAnsi="Times New Roman" w:cs="Times New Roman"/>
          <w:sz w:val="22"/>
          <w:szCs w:val="22"/>
        </w:rPr>
        <w:t>Substituição do filho incapaz de testar</w:t>
      </w:r>
    </w:p>
    <w:p w:rsidR="00C81D18" w:rsidRPr="00C81D18" w:rsidRDefault="00C81D18" w:rsidP="00C81D18">
      <w:pPr>
        <w:pStyle w:val="t"/>
        <w:spacing w:before="120" w:after="120" w:line="360" w:lineRule="auto"/>
        <w:ind w:left="567" w:firstLine="0"/>
        <w:rPr>
          <w:rFonts w:ascii="Times New Roman" w:hAnsi="Times New Roman" w:cs="Times New Roman"/>
          <w:sz w:val="22"/>
          <w:szCs w:val="22"/>
        </w:rPr>
      </w:pPr>
      <w:r w:rsidRPr="00C81D18">
        <w:rPr>
          <w:rFonts w:ascii="Times New Roman" w:hAnsi="Times New Roman" w:cs="Times New Roman"/>
          <w:sz w:val="22"/>
          <w:szCs w:val="22"/>
        </w:rPr>
        <w:t>Art. 1.960-A. O ascendente que não teve suspenso nem extinto o poder familiar (arts. 1.635, 1.637, 1.638), cujo filho não pode manifestar a sua vontade, por enfermidade ou deficiência mental, poderá, por testamento, nomear herdeiros ou legatários para este filho.</w:t>
      </w:r>
    </w:p>
    <w:p w:rsidR="00C81D18" w:rsidRPr="00C81D18" w:rsidRDefault="00C81D18" w:rsidP="00C81D18">
      <w:pPr>
        <w:pStyle w:val="t"/>
        <w:spacing w:before="120" w:after="120" w:line="360" w:lineRule="auto"/>
        <w:ind w:left="567" w:firstLine="0"/>
        <w:rPr>
          <w:rFonts w:ascii="Times New Roman" w:hAnsi="Times New Roman" w:cs="Times New Roman"/>
          <w:sz w:val="22"/>
          <w:szCs w:val="22"/>
        </w:rPr>
      </w:pPr>
      <w:r w:rsidRPr="00C81D18">
        <w:rPr>
          <w:rFonts w:ascii="Times New Roman" w:hAnsi="Times New Roman" w:cs="Times New Roman"/>
          <w:sz w:val="22"/>
          <w:szCs w:val="22"/>
        </w:rPr>
        <w:t>Art. 1.960-B. Caduca o testamento se o filho recobrar a razão, ou deixar descendentes, ascendentes, cônjuge ou companheiro</w:t>
      </w:r>
      <w:r w:rsidR="00DC5ACF">
        <w:rPr>
          <w:rFonts w:ascii="Times New Roman" w:hAnsi="Times New Roman" w:cs="Times New Roman"/>
          <w:sz w:val="22"/>
          <w:szCs w:val="22"/>
        </w:rPr>
        <w:t>’”</w:t>
      </w:r>
      <w:r>
        <w:rPr>
          <w:rFonts w:ascii="Times New Roman" w:hAnsi="Times New Roman" w:cs="Times New Roman"/>
          <w:sz w:val="22"/>
          <w:szCs w:val="22"/>
        </w:rPr>
        <w:t xml:space="preserve"> (VELOSO, Zeno. </w:t>
      </w:r>
      <w:r w:rsidRPr="00C81D18">
        <w:rPr>
          <w:rFonts w:ascii="Times New Roman" w:hAnsi="Times New Roman" w:cs="Times New Roman"/>
          <w:sz w:val="22"/>
          <w:szCs w:val="22"/>
        </w:rPr>
        <w:t>Substituição quase-pupilar – deve ser introduzida no Direito Brasileiro?</w:t>
      </w:r>
      <w:r>
        <w:rPr>
          <w:rFonts w:ascii="Times New Roman" w:hAnsi="Times New Roman" w:cs="Times New Roman"/>
          <w:sz w:val="22"/>
          <w:szCs w:val="22"/>
        </w:rPr>
        <w:t xml:space="preserve"> Artigo publicado em 1</w:t>
      </w:r>
      <w:r w:rsidR="00E97DED">
        <w:rPr>
          <w:rFonts w:ascii="Times New Roman" w:hAnsi="Times New Roman" w:cs="Times New Roman"/>
          <w:sz w:val="22"/>
          <w:szCs w:val="22"/>
        </w:rPr>
        <w:t>.</w:t>
      </w:r>
      <w:r>
        <w:rPr>
          <w:rFonts w:ascii="Times New Roman" w:hAnsi="Times New Roman" w:cs="Times New Roman"/>
          <w:sz w:val="22"/>
          <w:szCs w:val="22"/>
        </w:rPr>
        <w:t xml:space="preserve">º de outubro de 2018. Disponível em </w:t>
      </w:r>
      <w:r w:rsidRPr="00C81D18">
        <w:rPr>
          <w:rFonts w:ascii="Times New Roman" w:hAnsi="Times New Roman" w:cs="Times New Roman"/>
          <w:sz w:val="22"/>
          <w:szCs w:val="22"/>
        </w:rPr>
        <w:t>https://www.26notas.com.br/blog/?p=14602</w:t>
      </w:r>
      <w:r>
        <w:rPr>
          <w:rFonts w:ascii="Times New Roman" w:hAnsi="Times New Roman" w:cs="Times New Roman"/>
          <w:sz w:val="22"/>
          <w:szCs w:val="22"/>
        </w:rPr>
        <w:t xml:space="preserve">. Acesso em 18 de maio de 2026). </w:t>
      </w:r>
    </w:p>
    <w:p w:rsidR="00880709" w:rsidRDefault="00E32682" w:rsidP="002B77B1">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Como se pode perceber, os institutos que se pretende inserir na lei há tempos são debatidos no âmbito doutrinário, </w:t>
      </w:r>
      <w:r w:rsidR="00880709">
        <w:rPr>
          <w:rFonts w:ascii="Times New Roman" w:hAnsi="Times New Roman" w:cs="Times New Roman"/>
          <w:sz w:val="24"/>
          <w:szCs w:val="24"/>
        </w:rPr>
        <w:t xml:space="preserve">e admitidos em outras legislações, </w:t>
      </w:r>
      <w:r>
        <w:rPr>
          <w:rFonts w:ascii="Times New Roman" w:hAnsi="Times New Roman" w:cs="Times New Roman"/>
          <w:sz w:val="24"/>
          <w:szCs w:val="24"/>
        </w:rPr>
        <w:t>sendo</w:t>
      </w:r>
      <w:r w:rsidR="00C81D18">
        <w:rPr>
          <w:rFonts w:ascii="Times New Roman" w:hAnsi="Times New Roman" w:cs="Times New Roman"/>
          <w:sz w:val="24"/>
          <w:szCs w:val="24"/>
        </w:rPr>
        <w:t xml:space="preserve"> </w:t>
      </w:r>
      <w:r w:rsidR="002B77B1" w:rsidRPr="002B77B1">
        <w:rPr>
          <w:rFonts w:ascii="Times New Roman" w:hAnsi="Times New Roman" w:cs="Times New Roman"/>
          <w:sz w:val="24"/>
          <w:szCs w:val="24"/>
        </w:rPr>
        <w:t>muito interessantes para a prática</w:t>
      </w:r>
      <w:r w:rsidR="002B77B1">
        <w:rPr>
          <w:rFonts w:ascii="Times New Roman" w:hAnsi="Times New Roman" w:cs="Times New Roman"/>
          <w:sz w:val="24"/>
          <w:szCs w:val="24"/>
        </w:rPr>
        <w:t xml:space="preserve"> </w:t>
      </w:r>
      <w:r w:rsidR="00C81D18">
        <w:rPr>
          <w:rFonts w:ascii="Times New Roman" w:hAnsi="Times New Roman" w:cs="Times New Roman"/>
          <w:sz w:val="24"/>
          <w:szCs w:val="24"/>
        </w:rPr>
        <w:t>d</w:t>
      </w:r>
      <w:r w:rsidR="002B77B1">
        <w:rPr>
          <w:rFonts w:ascii="Times New Roman" w:hAnsi="Times New Roman" w:cs="Times New Roman"/>
          <w:sz w:val="24"/>
          <w:szCs w:val="24"/>
        </w:rPr>
        <w:t>os atos de planejamento sucessório</w:t>
      </w:r>
      <w:r w:rsidR="00C81D18">
        <w:rPr>
          <w:rFonts w:ascii="Times New Roman" w:hAnsi="Times New Roman" w:cs="Times New Roman"/>
          <w:sz w:val="24"/>
          <w:szCs w:val="24"/>
        </w:rPr>
        <w:t>, na linha de outras proposições da própria Reforma</w:t>
      </w:r>
      <w:r w:rsidR="002B77B1" w:rsidRPr="002B77B1">
        <w:rPr>
          <w:rFonts w:ascii="Times New Roman" w:hAnsi="Times New Roman" w:cs="Times New Roman"/>
          <w:sz w:val="24"/>
          <w:szCs w:val="24"/>
        </w:rPr>
        <w:t xml:space="preserve">. </w:t>
      </w:r>
    </w:p>
    <w:p w:rsidR="002B77B1" w:rsidRPr="002B77B1" w:rsidRDefault="00E32682" w:rsidP="002B77B1">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Ainda a respeito </w:t>
      </w:r>
      <w:r w:rsidR="00880709">
        <w:rPr>
          <w:rFonts w:ascii="Times New Roman" w:hAnsi="Times New Roman" w:cs="Times New Roman"/>
          <w:sz w:val="24"/>
          <w:szCs w:val="24"/>
        </w:rPr>
        <w:t xml:space="preserve">desse mesmo assunto, </w:t>
      </w:r>
      <w:r>
        <w:rPr>
          <w:rFonts w:ascii="Times New Roman" w:hAnsi="Times New Roman" w:cs="Times New Roman"/>
          <w:sz w:val="24"/>
          <w:szCs w:val="24"/>
        </w:rPr>
        <w:t>é incluído um novo inciso V no art. 1.801 do Código Civil, prevendo que n</w:t>
      </w:r>
      <w:r w:rsidRPr="00E32682">
        <w:rPr>
          <w:rFonts w:ascii="Times New Roman" w:hAnsi="Times New Roman" w:cs="Times New Roman"/>
          <w:sz w:val="24"/>
          <w:szCs w:val="24"/>
        </w:rPr>
        <w:t>ão podem ser nomeados herdeiros nem legatário</w:t>
      </w:r>
      <w:r w:rsidR="00880709">
        <w:rPr>
          <w:rFonts w:ascii="Times New Roman" w:hAnsi="Times New Roman" w:cs="Times New Roman"/>
          <w:sz w:val="24"/>
          <w:szCs w:val="24"/>
        </w:rPr>
        <w:t>s</w:t>
      </w:r>
      <w:r>
        <w:rPr>
          <w:rFonts w:ascii="Times New Roman" w:hAnsi="Times New Roman" w:cs="Times New Roman"/>
          <w:sz w:val="24"/>
          <w:szCs w:val="24"/>
        </w:rPr>
        <w:t xml:space="preserve"> os </w:t>
      </w:r>
      <w:r w:rsidRPr="00E32682">
        <w:rPr>
          <w:rFonts w:ascii="Times New Roman" w:hAnsi="Times New Roman" w:cs="Times New Roman"/>
          <w:sz w:val="24"/>
          <w:szCs w:val="24"/>
        </w:rPr>
        <w:t>pais que, no exercício da autoridade parental, instituam</w:t>
      </w:r>
      <w:r w:rsidR="00F63D06">
        <w:rPr>
          <w:rFonts w:ascii="Times New Roman" w:hAnsi="Times New Roman" w:cs="Times New Roman"/>
          <w:sz w:val="24"/>
          <w:szCs w:val="24"/>
        </w:rPr>
        <w:t>,</w:t>
      </w:r>
      <w:r w:rsidRPr="00E32682">
        <w:rPr>
          <w:rFonts w:ascii="Times New Roman" w:hAnsi="Times New Roman" w:cs="Times New Roman"/>
          <w:sz w:val="24"/>
          <w:szCs w:val="24"/>
        </w:rPr>
        <w:t xml:space="preserve"> por testamento público, herdeiros ou legatários aos filhos absolutamente incapazes, para o caso de eles </w:t>
      </w:r>
      <w:r w:rsidRPr="00E32682">
        <w:rPr>
          <w:rFonts w:ascii="Times New Roman" w:hAnsi="Times New Roman" w:cs="Times New Roman"/>
          <w:sz w:val="24"/>
          <w:szCs w:val="24"/>
        </w:rPr>
        <w:lastRenderedPageBreak/>
        <w:t xml:space="preserve">falecerem nesse estado, ficando sem efeito a disposição logo que cesse a incapacidade. </w:t>
      </w:r>
    </w:p>
    <w:p w:rsidR="00C81D18" w:rsidRDefault="00C81D18" w:rsidP="002B77B1">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Por fim, </w:t>
      </w:r>
      <w:r w:rsidR="002B77B1">
        <w:rPr>
          <w:rFonts w:ascii="Times New Roman" w:hAnsi="Times New Roman" w:cs="Times New Roman"/>
          <w:sz w:val="24"/>
          <w:szCs w:val="24"/>
        </w:rPr>
        <w:t xml:space="preserve">como outra </w:t>
      </w:r>
      <w:r>
        <w:rPr>
          <w:rFonts w:ascii="Times New Roman" w:hAnsi="Times New Roman" w:cs="Times New Roman"/>
          <w:sz w:val="24"/>
          <w:szCs w:val="24"/>
        </w:rPr>
        <w:t>proposição</w:t>
      </w:r>
      <w:r w:rsidR="002B77B1">
        <w:rPr>
          <w:rFonts w:ascii="Times New Roman" w:hAnsi="Times New Roman" w:cs="Times New Roman"/>
          <w:sz w:val="24"/>
          <w:szCs w:val="24"/>
        </w:rPr>
        <w:t xml:space="preserve"> importante, </w:t>
      </w:r>
      <w:r w:rsidR="002B77B1" w:rsidRPr="002B77B1">
        <w:rPr>
          <w:rFonts w:ascii="Times New Roman" w:hAnsi="Times New Roman" w:cs="Times New Roman"/>
          <w:sz w:val="24"/>
          <w:szCs w:val="24"/>
        </w:rPr>
        <w:t>o § 2</w:t>
      </w:r>
      <w:r w:rsidR="00E97DED">
        <w:rPr>
          <w:rFonts w:ascii="Times New Roman" w:hAnsi="Times New Roman" w:cs="Times New Roman"/>
          <w:sz w:val="24"/>
          <w:szCs w:val="24"/>
        </w:rPr>
        <w:t>.</w:t>
      </w:r>
      <w:r w:rsidR="002B77B1" w:rsidRPr="002B77B1">
        <w:rPr>
          <w:rFonts w:ascii="Times New Roman" w:hAnsi="Times New Roman" w:cs="Times New Roman"/>
          <w:sz w:val="24"/>
          <w:szCs w:val="24"/>
        </w:rPr>
        <w:t xml:space="preserve">º </w:t>
      </w:r>
      <w:r w:rsidR="002B77B1">
        <w:rPr>
          <w:rFonts w:ascii="Times New Roman" w:hAnsi="Times New Roman" w:cs="Times New Roman"/>
          <w:sz w:val="24"/>
          <w:szCs w:val="24"/>
        </w:rPr>
        <w:t xml:space="preserve">do art. 1.857 </w:t>
      </w:r>
      <w:r w:rsidR="002B77B1" w:rsidRPr="002B77B1">
        <w:rPr>
          <w:rFonts w:ascii="Times New Roman" w:hAnsi="Times New Roman" w:cs="Times New Roman"/>
          <w:sz w:val="24"/>
          <w:szCs w:val="24"/>
        </w:rPr>
        <w:t xml:space="preserve">passará a prever que “são válidas as disposições testamentárias de caráter não patrimonial, inclusive as que tenham por objeto situações existenciais, ainda que o testador somente a elas se tenha limitado”. </w:t>
      </w:r>
      <w:r w:rsidR="002B77B1">
        <w:rPr>
          <w:rFonts w:ascii="Times New Roman" w:hAnsi="Times New Roman" w:cs="Times New Roman"/>
          <w:sz w:val="24"/>
          <w:szCs w:val="24"/>
        </w:rPr>
        <w:t>A necessidade de ampliação do texto</w:t>
      </w:r>
      <w:r w:rsidR="00E32682">
        <w:rPr>
          <w:rFonts w:ascii="Times New Roman" w:hAnsi="Times New Roman" w:cs="Times New Roman"/>
          <w:sz w:val="24"/>
          <w:szCs w:val="24"/>
        </w:rPr>
        <w:t xml:space="preserve"> vigente</w:t>
      </w:r>
      <w:r w:rsidR="002B77B1">
        <w:rPr>
          <w:rFonts w:ascii="Times New Roman" w:hAnsi="Times New Roman" w:cs="Times New Roman"/>
          <w:sz w:val="24"/>
          <w:szCs w:val="24"/>
        </w:rPr>
        <w:t xml:space="preserve"> se dá, entre outras razões, pelo fato de o Código Civil passar a tratar da herança digital, podendo ser ela objeto de disposição de última vontade</w:t>
      </w:r>
      <w:r>
        <w:rPr>
          <w:rFonts w:ascii="Times New Roman" w:hAnsi="Times New Roman" w:cs="Times New Roman"/>
          <w:sz w:val="24"/>
          <w:szCs w:val="24"/>
        </w:rPr>
        <w:t>,</w:t>
      </w:r>
      <w:r w:rsidR="00E32682">
        <w:rPr>
          <w:rFonts w:ascii="Times New Roman" w:hAnsi="Times New Roman" w:cs="Times New Roman"/>
          <w:sz w:val="24"/>
          <w:szCs w:val="24"/>
        </w:rPr>
        <w:t xml:space="preserve"> pelo chamado</w:t>
      </w:r>
      <w:r>
        <w:rPr>
          <w:rFonts w:ascii="Times New Roman" w:hAnsi="Times New Roman" w:cs="Times New Roman"/>
          <w:sz w:val="24"/>
          <w:szCs w:val="24"/>
        </w:rPr>
        <w:t xml:space="preserve"> </w:t>
      </w:r>
      <w:r w:rsidRPr="00C81D18">
        <w:rPr>
          <w:rFonts w:ascii="Times New Roman" w:hAnsi="Times New Roman" w:cs="Times New Roman"/>
          <w:i/>
          <w:sz w:val="24"/>
          <w:szCs w:val="24"/>
        </w:rPr>
        <w:t>testamento digital</w:t>
      </w:r>
      <w:r>
        <w:rPr>
          <w:rFonts w:ascii="Times New Roman" w:hAnsi="Times New Roman" w:cs="Times New Roman"/>
          <w:sz w:val="24"/>
          <w:szCs w:val="24"/>
        </w:rPr>
        <w:t xml:space="preserve">. </w:t>
      </w:r>
    </w:p>
    <w:p w:rsidR="00341469" w:rsidRDefault="00C81D18" w:rsidP="0034146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Destaque-se, ainda, o fato de que, aprovado o PL n. 4/2025</w:t>
      </w:r>
      <w:r w:rsidR="00E32682">
        <w:rPr>
          <w:rFonts w:ascii="Times New Roman" w:hAnsi="Times New Roman" w:cs="Times New Roman"/>
          <w:sz w:val="24"/>
          <w:szCs w:val="24"/>
        </w:rPr>
        <w:t>,</w:t>
      </w:r>
      <w:r>
        <w:rPr>
          <w:rFonts w:ascii="Times New Roman" w:hAnsi="Times New Roman" w:cs="Times New Roman"/>
          <w:sz w:val="24"/>
          <w:szCs w:val="24"/>
        </w:rPr>
        <w:t xml:space="preserve"> será </w:t>
      </w:r>
      <w:r w:rsidR="00341469">
        <w:rPr>
          <w:rFonts w:ascii="Times New Roman" w:hAnsi="Times New Roman" w:cs="Times New Roman"/>
          <w:sz w:val="24"/>
          <w:szCs w:val="24"/>
        </w:rPr>
        <w:t xml:space="preserve">também </w:t>
      </w:r>
      <w:r>
        <w:rPr>
          <w:rFonts w:ascii="Times New Roman" w:hAnsi="Times New Roman" w:cs="Times New Roman"/>
          <w:sz w:val="24"/>
          <w:szCs w:val="24"/>
        </w:rPr>
        <w:t xml:space="preserve">possível o </w:t>
      </w:r>
      <w:r w:rsidRPr="00341469">
        <w:rPr>
          <w:rFonts w:ascii="Times New Roman" w:hAnsi="Times New Roman" w:cs="Times New Roman"/>
          <w:i/>
          <w:sz w:val="24"/>
          <w:szCs w:val="24"/>
        </w:rPr>
        <w:t>testamento genético</w:t>
      </w:r>
      <w:r>
        <w:rPr>
          <w:rFonts w:ascii="Times New Roman" w:hAnsi="Times New Roman" w:cs="Times New Roman"/>
          <w:sz w:val="24"/>
          <w:szCs w:val="24"/>
        </w:rPr>
        <w:t>, ou seja, que o ato de última vontade trate do destino do material genético</w:t>
      </w:r>
      <w:r w:rsidR="00341469">
        <w:rPr>
          <w:rFonts w:ascii="Times New Roman" w:hAnsi="Times New Roman" w:cs="Times New Roman"/>
          <w:sz w:val="24"/>
          <w:szCs w:val="24"/>
        </w:rPr>
        <w:t xml:space="preserve"> ou de embriões</w:t>
      </w:r>
      <w:r w:rsidR="00E32682">
        <w:rPr>
          <w:rFonts w:ascii="Times New Roman" w:hAnsi="Times New Roman" w:cs="Times New Roman"/>
          <w:sz w:val="24"/>
          <w:szCs w:val="24"/>
        </w:rPr>
        <w:t>,</w:t>
      </w:r>
      <w:r>
        <w:rPr>
          <w:rFonts w:ascii="Times New Roman" w:hAnsi="Times New Roman" w:cs="Times New Roman"/>
          <w:sz w:val="24"/>
          <w:szCs w:val="24"/>
        </w:rPr>
        <w:t xml:space="preserve"> para os fins de reprodução assistida.</w:t>
      </w:r>
      <w:r w:rsidR="00341469">
        <w:rPr>
          <w:rFonts w:ascii="Times New Roman" w:hAnsi="Times New Roman" w:cs="Times New Roman"/>
          <w:sz w:val="24"/>
          <w:szCs w:val="24"/>
        </w:rPr>
        <w:t xml:space="preserve"> </w:t>
      </w:r>
      <w:r>
        <w:rPr>
          <w:rFonts w:ascii="Times New Roman" w:hAnsi="Times New Roman" w:cs="Times New Roman"/>
          <w:sz w:val="24"/>
          <w:szCs w:val="24"/>
        </w:rPr>
        <w:t xml:space="preserve"> </w:t>
      </w:r>
      <w:r w:rsidR="00341469">
        <w:rPr>
          <w:rFonts w:ascii="Times New Roman" w:hAnsi="Times New Roman" w:cs="Times New Roman"/>
          <w:sz w:val="24"/>
          <w:szCs w:val="24"/>
        </w:rPr>
        <w:t>Conforme a proposta de um novo a</w:t>
      </w:r>
      <w:r w:rsidR="00341469" w:rsidRPr="00341469">
        <w:rPr>
          <w:rFonts w:ascii="Times New Roman" w:hAnsi="Times New Roman" w:cs="Times New Roman"/>
          <w:sz w:val="24"/>
          <w:szCs w:val="24"/>
        </w:rPr>
        <w:t>rt. 1.629-Q</w:t>
      </w:r>
      <w:r w:rsidR="00341469">
        <w:rPr>
          <w:rFonts w:ascii="Times New Roman" w:hAnsi="Times New Roman" w:cs="Times New Roman"/>
          <w:sz w:val="24"/>
          <w:szCs w:val="24"/>
        </w:rPr>
        <w:t xml:space="preserve"> </w:t>
      </w:r>
      <w:r w:rsidR="00E32682">
        <w:rPr>
          <w:rFonts w:ascii="Times New Roman" w:hAnsi="Times New Roman" w:cs="Times New Roman"/>
          <w:sz w:val="24"/>
          <w:szCs w:val="24"/>
        </w:rPr>
        <w:t>d</w:t>
      </w:r>
      <w:r w:rsidR="00341469">
        <w:rPr>
          <w:rFonts w:ascii="Times New Roman" w:hAnsi="Times New Roman" w:cs="Times New Roman"/>
          <w:sz w:val="24"/>
          <w:szCs w:val="24"/>
        </w:rPr>
        <w:t>o Código Civil</w:t>
      </w:r>
      <w:r w:rsidR="00F63D06">
        <w:rPr>
          <w:rFonts w:ascii="Times New Roman" w:hAnsi="Times New Roman" w:cs="Times New Roman"/>
          <w:sz w:val="24"/>
          <w:szCs w:val="24"/>
        </w:rPr>
        <w:t>,</w:t>
      </w:r>
      <w:r w:rsidR="00341469">
        <w:rPr>
          <w:rFonts w:ascii="Times New Roman" w:hAnsi="Times New Roman" w:cs="Times New Roman"/>
          <w:sz w:val="24"/>
          <w:szCs w:val="24"/>
        </w:rPr>
        <w:t xml:space="preserve"> será </w:t>
      </w:r>
      <w:r w:rsidR="00341469" w:rsidRPr="00341469">
        <w:rPr>
          <w:rFonts w:ascii="Times New Roman" w:hAnsi="Times New Roman" w:cs="Times New Roman"/>
          <w:sz w:val="24"/>
          <w:szCs w:val="24"/>
        </w:rPr>
        <w:t xml:space="preserve">permitido o uso de material genético de qualquer pessoa após a sua morte, seja óvulo, espermatozoide ou embrião, desde que haja expressa manifestação, em documento escrito, autorizando o seu uso e indicando: </w:t>
      </w:r>
      <w:r w:rsidR="00341469" w:rsidRPr="00341469">
        <w:rPr>
          <w:rFonts w:ascii="Times New Roman" w:hAnsi="Times New Roman" w:cs="Times New Roman"/>
          <w:i/>
          <w:sz w:val="24"/>
          <w:szCs w:val="24"/>
        </w:rPr>
        <w:t>a)</w:t>
      </w:r>
      <w:r w:rsidR="00341469">
        <w:rPr>
          <w:rFonts w:ascii="Times New Roman" w:hAnsi="Times New Roman" w:cs="Times New Roman"/>
          <w:sz w:val="24"/>
          <w:szCs w:val="24"/>
        </w:rPr>
        <w:t xml:space="preserve"> </w:t>
      </w:r>
      <w:r w:rsidR="00341469" w:rsidRPr="00341469">
        <w:rPr>
          <w:rFonts w:ascii="Times New Roman" w:hAnsi="Times New Roman" w:cs="Times New Roman"/>
          <w:sz w:val="24"/>
          <w:szCs w:val="24"/>
        </w:rPr>
        <w:t>a quem deverá ser destinado o gameta, seja óvulo ou espermatozoide, e quem o deverá gestar após a concepção;</w:t>
      </w:r>
      <w:r w:rsidR="00341469">
        <w:rPr>
          <w:rFonts w:ascii="Times New Roman" w:hAnsi="Times New Roman" w:cs="Times New Roman"/>
          <w:sz w:val="24"/>
          <w:szCs w:val="24"/>
        </w:rPr>
        <w:t xml:space="preserve"> </w:t>
      </w:r>
      <w:r w:rsidR="00341469" w:rsidRPr="00341469">
        <w:rPr>
          <w:rFonts w:ascii="Times New Roman" w:hAnsi="Times New Roman" w:cs="Times New Roman"/>
          <w:i/>
          <w:sz w:val="24"/>
          <w:szCs w:val="24"/>
        </w:rPr>
        <w:t>b)</w:t>
      </w:r>
      <w:r w:rsidR="00341469">
        <w:rPr>
          <w:rFonts w:ascii="Times New Roman" w:hAnsi="Times New Roman" w:cs="Times New Roman"/>
          <w:sz w:val="24"/>
          <w:szCs w:val="24"/>
        </w:rPr>
        <w:t xml:space="preserve"> </w:t>
      </w:r>
      <w:r w:rsidR="00341469" w:rsidRPr="00341469">
        <w:rPr>
          <w:rFonts w:ascii="Times New Roman" w:hAnsi="Times New Roman" w:cs="Times New Roman"/>
          <w:sz w:val="24"/>
          <w:szCs w:val="24"/>
        </w:rPr>
        <w:t xml:space="preserve">a pessoa que deverá gestar o ser já concebido, em caso de embrião. </w:t>
      </w:r>
      <w:r w:rsidR="00341469">
        <w:rPr>
          <w:rFonts w:ascii="Times New Roman" w:hAnsi="Times New Roman" w:cs="Times New Roman"/>
          <w:sz w:val="24"/>
          <w:szCs w:val="24"/>
        </w:rPr>
        <w:t>E</w:t>
      </w:r>
      <w:r w:rsidR="00F63D06">
        <w:rPr>
          <w:rFonts w:ascii="Times New Roman" w:hAnsi="Times New Roman" w:cs="Times New Roman"/>
          <w:sz w:val="24"/>
          <w:szCs w:val="24"/>
        </w:rPr>
        <w:t>,</w:t>
      </w:r>
      <w:r w:rsidR="00341469">
        <w:rPr>
          <w:rFonts w:ascii="Times New Roman" w:hAnsi="Times New Roman" w:cs="Times New Roman"/>
          <w:sz w:val="24"/>
          <w:szCs w:val="24"/>
        </w:rPr>
        <w:t xml:space="preserve"> conforme o parágrafo único dessa norma projetada, </w:t>
      </w:r>
      <w:r w:rsidR="00F63D06">
        <w:rPr>
          <w:rFonts w:ascii="Times New Roman" w:hAnsi="Times New Roman" w:cs="Times New Roman"/>
          <w:sz w:val="24"/>
          <w:szCs w:val="24"/>
        </w:rPr>
        <w:t>“</w:t>
      </w:r>
      <w:r w:rsidR="00341469">
        <w:rPr>
          <w:rFonts w:ascii="Times New Roman" w:hAnsi="Times New Roman" w:cs="Times New Roman"/>
          <w:sz w:val="24"/>
          <w:szCs w:val="24"/>
        </w:rPr>
        <w:t>e</w:t>
      </w:r>
      <w:r w:rsidR="00341469" w:rsidRPr="00341469">
        <w:rPr>
          <w:rFonts w:ascii="Times New Roman" w:hAnsi="Times New Roman" w:cs="Times New Roman"/>
          <w:sz w:val="24"/>
          <w:szCs w:val="24"/>
        </w:rPr>
        <w:t xml:space="preserve">m caso de filiação </w:t>
      </w:r>
      <w:r w:rsidR="00341469" w:rsidRPr="00341469">
        <w:rPr>
          <w:rFonts w:ascii="Times New Roman" w:hAnsi="Times New Roman" w:cs="Times New Roman"/>
          <w:i/>
          <w:sz w:val="24"/>
          <w:szCs w:val="24"/>
        </w:rPr>
        <w:t>post mortem</w:t>
      </w:r>
      <w:r w:rsidR="00341469" w:rsidRPr="00341469">
        <w:rPr>
          <w:rFonts w:ascii="Times New Roman" w:hAnsi="Times New Roman" w:cs="Times New Roman"/>
          <w:sz w:val="24"/>
          <w:szCs w:val="24"/>
        </w:rPr>
        <w:t>, o vínculo entre o filho concebido e o genitor falecido se estabelecerá para todos os efeitos jurídicos de uma relação paterno-filial”</w:t>
      </w:r>
      <w:r w:rsidR="00341469">
        <w:rPr>
          <w:rFonts w:ascii="Times New Roman" w:hAnsi="Times New Roman" w:cs="Times New Roman"/>
          <w:sz w:val="24"/>
          <w:szCs w:val="24"/>
        </w:rPr>
        <w:t xml:space="preserve">. </w:t>
      </w:r>
    </w:p>
    <w:p w:rsidR="002B77B1" w:rsidRDefault="00341469" w:rsidP="0034146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Além disso, com vistas à segurança jurídica, o novo a</w:t>
      </w:r>
      <w:r w:rsidRPr="00341469">
        <w:rPr>
          <w:rFonts w:ascii="Times New Roman" w:hAnsi="Times New Roman" w:cs="Times New Roman"/>
          <w:sz w:val="24"/>
          <w:szCs w:val="24"/>
        </w:rPr>
        <w:t>rt. 1.629-R</w:t>
      </w:r>
      <w:r>
        <w:rPr>
          <w:rFonts w:ascii="Times New Roman" w:hAnsi="Times New Roman" w:cs="Times New Roman"/>
          <w:sz w:val="24"/>
          <w:szCs w:val="24"/>
        </w:rPr>
        <w:t xml:space="preserve"> da codificação privada enunciará que n</w:t>
      </w:r>
      <w:r w:rsidRPr="00341469">
        <w:rPr>
          <w:rFonts w:ascii="Times New Roman" w:hAnsi="Times New Roman" w:cs="Times New Roman"/>
          <w:sz w:val="24"/>
          <w:szCs w:val="24"/>
        </w:rPr>
        <w:t>ão serão permitidas a coleta e a utilização de material genético daquele que não consentiu expressamente, ainda que haja manifestação de seus familiares em sentido contrário.</w:t>
      </w:r>
      <w:r>
        <w:rPr>
          <w:rFonts w:ascii="Times New Roman" w:hAnsi="Times New Roman" w:cs="Times New Roman"/>
          <w:sz w:val="24"/>
          <w:szCs w:val="24"/>
        </w:rPr>
        <w:t xml:space="preserve"> Portanto, justifica-se plenamente a ampliação do texto do art. 1.857, §</w:t>
      </w:r>
      <w:r w:rsidR="00F63D06">
        <w:rPr>
          <w:rFonts w:ascii="Times New Roman" w:hAnsi="Times New Roman" w:cs="Times New Roman"/>
          <w:sz w:val="24"/>
          <w:szCs w:val="24"/>
        </w:rPr>
        <w:t xml:space="preserve"> </w:t>
      </w:r>
      <w:r>
        <w:rPr>
          <w:rFonts w:ascii="Times New Roman" w:hAnsi="Times New Roman" w:cs="Times New Roman"/>
          <w:sz w:val="24"/>
          <w:szCs w:val="24"/>
        </w:rPr>
        <w:t>2</w:t>
      </w:r>
      <w:r w:rsidR="00E97DED">
        <w:rPr>
          <w:rFonts w:ascii="Times New Roman" w:hAnsi="Times New Roman" w:cs="Times New Roman"/>
          <w:sz w:val="24"/>
          <w:szCs w:val="24"/>
        </w:rPr>
        <w:t>.</w:t>
      </w:r>
      <w:r>
        <w:rPr>
          <w:rFonts w:ascii="Times New Roman" w:hAnsi="Times New Roman" w:cs="Times New Roman"/>
          <w:sz w:val="24"/>
          <w:szCs w:val="24"/>
        </w:rPr>
        <w:t>º, para que o testador manifeste atos existenciais, como são essa</w:t>
      </w:r>
      <w:r w:rsidR="00E97DED">
        <w:rPr>
          <w:rFonts w:ascii="Times New Roman" w:hAnsi="Times New Roman" w:cs="Times New Roman"/>
          <w:sz w:val="24"/>
          <w:szCs w:val="24"/>
        </w:rPr>
        <w:t>s</w:t>
      </w:r>
      <w:r>
        <w:rPr>
          <w:rFonts w:ascii="Times New Roman" w:hAnsi="Times New Roman" w:cs="Times New Roman"/>
          <w:sz w:val="24"/>
          <w:szCs w:val="24"/>
        </w:rPr>
        <w:t xml:space="preserve"> disposições relativas à reprodução assistida </w:t>
      </w:r>
      <w:r w:rsidRPr="00341469">
        <w:rPr>
          <w:rFonts w:ascii="Times New Roman" w:hAnsi="Times New Roman" w:cs="Times New Roman"/>
          <w:i/>
          <w:sz w:val="24"/>
          <w:szCs w:val="24"/>
        </w:rPr>
        <w:t>post mortem</w:t>
      </w:r>
      <w:r>
        <w:rPr>
          <w:rFonts w:ascii="Times New Roman" w:hAnsi="Times New Roman" w:cs="Times New Roman"/>
          <w:sz w:val="24"/>
          <w:szCs w:val="24"/>
        </w:rPr>
        <w:t xml:space="preserve">. </w:t>
      </w:r>
    </w:p>
    <w:p w:rsidR="002B77B1" w:rsidRPr="002B77B1" w:rsidRDefault="002B77B1" w:rsidP="002B77B1">
      <w:pPr>
        <w:rPr>
          <w:lang w:eastAsia="pt-BR"/>
        </w:rPr>
      </w:pPr>
    </w:p>
    <w:sectPr w:rsidR="002B77B1" w:rsidRPr="002B77B1" w:rsidSect="007F14FB">
      <w:footerReference w:type="default" r:id="rId8"/>
      <w:pgSz w:w="11906" w:h="16838"/>
      <w:pgMar w:top="1417" w:right="1701" w:bottom="1417" w:left="1701"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01DAE0A" w15:done="0"/>
  <w15:commentEx w15:paraId="37C012F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E7B5659" w16cex:dateUtc="2025-05-20T23:46:00Z"/>
  <w16cex:commentExtensible w16cex:durableId="505E6900" w16cex:dateUtc="2025-05-20T23:4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01DAE0A" w16cid:durableId="0E7B5659"/>
  <w16cid:commentId w16cid:paraId="37C012F6" w16cid:durableId="505E6900"/>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7E3F" w:rsidRDefault="00D97E3F" w:rsidP="00B15AD0">
      <w:pPr>
        <w:spacing w:after="0" w:line="240" w:lineRule="auto"/>
      </w:pPr>
      <w:r>
        <w:separator/>
      </w:r>
    </w:p>
  </w:endnote>
  <w:endnote w:type="continuationSeparator" w:id="0">
    <w:p w:rsidR="00D97E3F" w:rsidRDefault="00D97E3F" w:rsidP="00B15A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Pro-Regular">
    <w:altName w:val="Calibri"/>
    <w:panose1 w:val="00000000000000000000"/>
    <w:charset w:val="00"/>
    <w:family w:val="auto"/>
    <w:notTrueType/>
    <w:pitch w:val="default"/>
    <w:sig w:usb0="00000003" w:usb1="00000000" w:usb2="00000000" w:usb3="00000000" w:csb0="00000001" w:csb1="00000000"/>
  </w:font>
  <w:font w:name="游明朝">
    <w:panose1 w:val="00000000000000000000"/>
    <w:charset w:val="80"/>
    <w:family w:val="roman"/>
    <w:notTrueType/>
    <w:pitch w:val="default"/>
    <w:sig w:usb0="00000001" w:usb1="08070000" w:usb2="00000010" w:usb3="00000000" w:csb0="00020000" w:csb1="00000000"/>
  </w:font>
  <w:font w:name="MyriadPro-Regular">
    <w:altName w:val="Calibri"/>
    <w:panose1 w:val="00000000000000000000"/>
    <w:charset w:val="00"/>
    <w:family w:val="auto"/>
    <w:notTrueType/>
    <w:pitch w:val="default"/>
    <w:sig w:usb0="00000003" w:usb1="00000000" w:usb2="00000000" w:usb3="00000000" w:csb0="00000001" w:csb1="00000000"/>
  </w:font>
  <w:font w:name="游ゴシック Light">
    <w:panose1 w:val="00000000000000000000"/>
    <w:charset w:val="80"/>
    <w:family w:val="roman"/>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59919016"/>
      <w:docPartObj>
        <w:docPartGallery w:val="Page Numbers (Bottom of Page)"/>
        <w:docPartUnique/>
      </w:docPartObj>
    </w:sdtPr>
    <w:sdtContent>
      <w:p w:rsidR="00BF18DC" w:rsidRDefault="001257FC">
        <w:pPr>
          <w:pStyle w:val="Rodap"/>
          <w:jc w:val="right"/>
        </w:pPr>
        <w:r>
          <w:fldChar w:fldCharType="begin"/>
        </w:r>
        <w:r w:rsidR="00880709">
          <w:instrText xml:space="preserve"> PAGE   \* MERGEFORMAT </w:instrText>
        </w:r>
        <w:r>
          <w:fldChar w:fldCharType="separate"/>
        </w:r>
        <w:r w:rsidR="007161E4">
          <w:rPr>
            <w:noProof/>
          </w:rPr>
          <w:t>1</w:t>
        </w:r>
        <w:r>
          <w:rPr>
            <w:noProof/>
          </w:rPr>
          <w:fldChar w:fldCharType="end"/>
        </w:r>
      </w:p>
    </w:sdtContent>
  </w:sdt>
  <w:p w:rsidR="00BF18DC" w:rsidRDefault="00BF18DC">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7E3F" w:rsidRDefault="00D97E3F" w:rsidP="00B15AD0">
      <w:pPr>
        <w:spacing w:after="0" w:line="240" w:lineRule="auto"/>
      </w:pPr>
      <w:r>
        <w:separator/>
      </w:r>
    </w:p>
  </w:footnote>
  <w:footnote w:type="continuationSeparator" w:id="0">
    <w:p w:rsidR="00D97E3F" w:rsidRDefault="00D97E3F" w:rsidP="00B15AD0">
      <w:pPr>
        <w:spacing w:after="0" w:line="240" w:lineRule="auto"/>
      </w:pPr>
      <w:r>
        <w:continuationSeparator/>
      </w:r>
    </w:p>
  </w:footnote>
  <w:footnote w:id="1">
    <w:p w:rsidR="00BF18DC" w:rsidRPr="00197971" w:rsidRDefault="00BF18DC" w:rsidP="00B15AD0">
      <w:pPr>
        <w:pStyle w:val="Textodenotaderodap"/>
        <w:jc w:val="both"/>
      </w:pPr>
      <w:r w:rsidRPr="003B2F06">
        <w:rPr>
          <w:rStyle w:val="Refdenotaderodap"/>
        </w:rPr>
        <w:footnoteRef/>
      </w:r>
      <w:r w:rsidRPr="003B2F06">
        <w:t xml:space="preserve"> </w:t>
      </w:r>
      <w:r>
        <w:t xml:space="preserve">Pós-Doutor e </w:t>
      </w:r>
      <w:r w:rsidRPr="003B2F06">
        <w:t xml:space="preserve">Doutor em Direito Civil pela USP. Mestre em Direito Civil Comparado pela PUCSP. Professor </w:t>
      </w:r>
      <w:r>
        <w:t>T</w:t>
      </w:r>
      <w:r w:rsidRPr="003B2F06">
        <w:t xml:space="preserve">itular permanente </w:t>
      </w:r>
      <w:r>
        <w:t xml:space="preserve">e coordenador do mestrado da Escola Paulista de Direito (EPD). </w:t>
      </w:r>
      <w:r w:rsidRPr="003B2F06">
        <w:t xml:space="preserve">Professor </w:t>
      </w:r>
      <w:r>
        <w:t xml:space="preserve">e coordenador </w:t>
      </w:r>
      <w:r w:rsidRPr="003B2F06">
        <w:t xml:space="preserve">dos cursos de pós-graduação </w:t>
      </w:r>
      <w:r w:rsidRPr="00511B17">
        <w:rPr>
          <w:i/>
        </w:rPr>
        <w:t>lato sensu</w:t>
      </w:r>
      <w:r w:rsidRPr="003B2F06">
        <w:t xml:space="preserve"> </w:t>
      </w:r>
      <w:r>
        <w:t xml:space="preserve">em Direito Privado </w:t>
      </w:r>
      <w:r w:rsidRPr="003B2F06">
        <w:t>da EPD.</w:t>
      </w:r>
      <w:r>
        <w:t xml:space="preserve"> Relator do Projeto de Reforma do Código Civil. Primeiro Presidente e Fundador do Instituto Brasileiro de Direito Contratual (IBDCONT). Conselheiro Federal da OAB, pela OABSP. </w:t>
      </w:r>
      <w:r w:rsidRPr="003B2F06">
        <w:t xml:space="preserve">Advogado </w:t>
      </w:r>
      <w:r>
        <w:t xml:space="preserve">em São Paulo, parecerista, árbitro </w:t>
      </w:r>
      <w:r w:rsidRPr="003B2F06">
        <w:t>e consultor jurídico</w:t>
      </w:r>
      <w:r w:rsidRPr="00197971">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666753"/>
    <w:multiLevelType w:val="hybridMultilevel"/>
    <w:tmpl w:val="54162384"/>
    <w:lvl w:ilvl="0" w:tplc="F97CC47C">
      <w:start w:val="1"/>
      <w:numFmt w:val="decimal"/>
      <w:lvlText w:val="%1)"/>
      <w:lvlJc w:val="left"/>
      <w:pPr>
        <w:ind w:left="1020" w:hanging="360"/>
      </w:pPr>
    </w:lvl>
    <w:lvl w:ilvl="1" w:tplc="4D3C6446">
      <w:start w:val="1"/>
      <w:numFmt w:val="decimal"/>
      <w:lvlText w:val="%2)"/>
      <w:lvlJc w:val="left"/>
      <w:pPr>
        <w:ind w:left="1020" w:hanging="360"/>
      </w:pPr>
    </w:lvl>
    <w:lvl w:ilvl="2" w:tplc="579EAB1A">
      <w:start w:val="1"/>
      <w:numFmt w:val="decimal"/>
      <w:lvlText w:val="%3)"/>
      <w:lvlJc w:val="left"/>
      <w:pPr>
        <w:ind w:left="1020" w:hanging="360"/>
      </w:pPr>
    </w:lvl>
    <w:lvl w:ilvl="3" w:tplc="952E9B12">
      <w:start w:val="1"/>
      <w:numFmt w:val="decimal"/>
      <w:lvlText w:val="%4)"/>
      <w:lvlJc w:val="left"/>
      <w:pPr>
        <w:ind w:left="1020" w:hanging="360"/>
      </w:pPr>
    </w:lvl>
    <w:lvl w:ilvl="4" w:tplc="6D360AEA">
      <w:start w:val="1"/>
      <w:numFmt w:val="decimal"/>
      <w:lvlText w:val="%5)"/>
      <w:lvlJc w:val="left"/>
      <w:pPr>
        <w:ind w:left="1020" w:hanging="360"/>
      </w:pPr>
    </w:lvl>
    <w:lvl w:ilvl="5" w:tplc="2E0E23EA">
      <w:start w:val="1"/>
      <w:numFmt w:val="decimal"/>
      <w:lvlText w:val="%6)"/>
      <w:lvlJc w:val="left"/>
      <w:pPr>
        <w:ind w:left="1020" w:hanging="360"/>
      </w:pPr>
    </w:lvl>
    <w:lvl w:ilvl="6" w:tplc="4BD0F8E6">
      <w:start w:val="1"/>
      <w:numFmt w:val="decimal"/>
      <w:lvlText w:val="%7)"/>
      <w:lvlJc w:val="left"/>
      <w:pPr>
        <w:ind w:left="1020" w:hanging="360"/>
      </w:pPr>
    </w:lvl>
    <w:lvl w:ilvl="7" w:tplc="4296E6EA">
      <w:start w:val="1"/>
      <w:numFmt w:val="decimal"/>
      <w:lvlText w:val="%8)"/>
      <w:lvlJc w:val="left"/>
      <w:pPr>
        <w:ind w:left="1020" w:hanging="360"/>
      </w:pPr>
    </w:lvl>
    <w:lvl w:ilvl="8" w:tplc="3DD4651E">
      <w:start w:val="1"/>
      <w:numFmt w:val="decimal"/>
      <w:lvlText w:val="%9)"/>
      <w:lvlJc w:val="left"/>
      <w:pPr>
        <w:ind w:left="1020" w:hanging="360"/>
      </w:pPr>
    </w:lvl>
  </w:abstractNum>
  <w:abstractNum w:abstractNumId="1">
    <w:nsid w:val="6C6E78FF"/>
    <w:multiLevelType w:val="hybridMultilevel"/>
    <w:tmpl w:val="3A94B62E"/>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Revisão_KH">
    <w15:presenceInfo w15:providerId="None" w15:userId="Revisão_KH"/>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trackRevisions/>
  <w:defaultTabStop w:val="708"/>
  <w:hyphenationZone w:val="425"/>
  <w:characterSpacingControl w:val="doNotCompress"/>
  <w:footnotePr>
    <w:footnote w:id="-1"/>
    <w:footnote w:id="0"/>
  </w:footnotePr>
  <w:endnotePr>
    <w:endnote w:id="-1"/>
    <w:endnote w:id="0"/>
  </w:endnotePr>
  <w:compat/>
  <w:rsids>
    <w:rsidRoot w:val="0079684D"/>
    <w:rsid w:val="00002059"/>
    <w:rsid w:val="00004278"/>
    <w:rsid w:val="00012D24"/>
    <w:rsid w:val="00014A13"/>
    <w:rsid w:val="000163F9"/>
    <w:rsid w:val="000272D3"/>
    <w:rsid w:val="00042DD9"/>
    <w:rsid w:val="0006022B"/>
    <w:rsid w:val="000618D8"/>
    <w:rsid w:val="00061D24"/>
    <w:rsid w:val="00061D89"/>
    <w:rsid w:val="00065809"/>
    <w:rsid w:val="00081B5A"/>
    <w:rsid w:val="00084038"/>
    <w:rsid w:val="00090984"/>
    <w:rsid w:val="00091C4D"/>
    <w:rsid w:val="00092468"/>
    <w:rsid w:val="000967F8"/>
    <w:rsid w:val="000A0500"/>
    <w:rsid w:val="000A1BE1"/>
    <w:rsid w:val="000A1DAE"/>
    <w:rsid w:val="000A4AFE"/>
    <w:rsid w:val="000A6A8E"/>
    <w:rsid w:val="000B0D00"/>
    <w:rsid w:val="000B199E"/>
    <w:rsid w:val="000B4F9A"/>
    <w:rsid w:val="000D4EB5"/>
    <w:rsid w:val="000D6AB7"/>
    <w:rsid w:val="000D7B84"/>
    <w:rsid w:val="000E7C7A"/>
    <w:rsid w:val="000F397F"/>
    <w:rsid w:val="00101681"/>
    <w:rsid w:val="001115BE"/>
    <w:rsid w:val="001164E8"/>
    <w:rsid w:val="00121038"/>
    <w:rsid w:val="001257FC"/>
    <w:rsid w:val="0013242A"/>
    <w:rsid w:val="00140F1A"/>
    <w:rsid w:val="001431C6"/>
    <w:rsid w:val="00147FD2"/>
    <w:rsid w:val="00154A54"/>
    <w:rsid w:val="001604A2"/>
    <w:rsid w:val="00162445"/>
    <w:rsid w:val="00174761"/>
    <w:rsid w:val="00176E7D"/>
    <w:rsid w:val="001A1246"/>
    <w:rsid w:val="001A33D9"/>
    <w:rsid w:val="001A3BB7"/>
    <w:rsid w:val="001A3C52"/>
    <w:rsid w:val="001B0CD7"/>
    <w:rsid w:val="001B36E1"/>
    <w:rsid w:val="001B45D7"/>
    <w:rsid w:val="001C20B6"/>
    <w:rsid w:val="001D23C5"/>
    <w:rsid w:val="001D26B5"/>
    <w:rsid w:val="001D2FCE"/>
    <w:rsid w:val="001D4C59"/>
    <w:rsid w:val="001E3A72"/>
    <w:rsid w:val="001E5FD0"/>
    <w:rsid w:val="001F0B30"/>
    <w:rsid w:val="001F7416"/>
    <w:rsid w:val="00204797"/>
    <w:rsid w:val="002173DE"/>
    <w:rsid w:val="00223883"/>
    <w:rsid w:val="00231DBA"/>
    <w:rsid w:val="00234405"/>
    <w:rsid w:val="00240103"/>
    <w:rsid w:val="00240B32"/>
    <w:rsid w:val="002628DD"/>
    <w:rsid w:val="0027030E"/>
    <w:rsid w:val="00275DC5"/>
    <w:rsid w:val="0027678B"/>
    <w:rsid w:val="0027700F"/>
    <w:rsid w:val="002809A2"/>
    <w:rsid w:val="00295C84"/>
    <w:rsid w:val="00296B3B"/>
    <w:rsid w:val="00297F8D"/>
    <w:rsid w:val="002A1A09"/>
    <w:rsid w:val="002A4A94"/>
    <w:rsid w:val="002A60FF"/>
    <w:rsid w:val="002B77B1"/>
    <w:rsid w:val="002B7E62"/>
    <w:rsid w:val="002C20BD"/>
    <w:rsid w:val="002D7126"/>
    <w:rsid w:val="002E0A51"/>
    <w:rsid w:val="002E2013"/>
    <w:rsid w:val="002F013F"/>
    <w:rsid w:val="002F1032"/>
    <w:rsid w:val="002F1277"/>
    <w:rsid w:val="002F6BCE"/>
    <w:rsid w:val="00310780"/>
    <w:rsid w:val="00311DC8"/>
    <w:rsid w:val="003156EB"/>
    <w:rsid w:val="00316B68"/>
    <w:rsid w:val="00331477"/>
    <w:rsid w:val="003358E3"/>
    <w:rsid w:val="00341469"/>
    <w:rsid w:val="00341F09"/>
    <w:rsid w:val="00351820"/>
    <w:rsid w:val="00354174"/>
    <w:rsid w:val="00356BC1"/>
    <w:rsid w:val="0038223F"/>
    <w:rsid w:val="003869F0"/>
    <w:rsid w:val="003A2D67"/>
    <w:rsid w:val="003B0F36"/>
    <w:rsid w:val="003D1130"/>
    <w:rsid w:val="003D758C"/>
    <w:rsid w:val="003E6BFA"/>
    <w:rsid w:val="00416565"/>
    <w:rsid w:val="00416BAE"/>
    <w:rsid w:val="00420F7D"/>
    <w:rsid w:val="00421AAD"/>
    <w:rsid w:val="004231D8"/>
    <w:rsid w:val="004263CC"/>
    <w:rsid w:val="00440E97"/>
    <w:rsid w:val="0044129B"/>
    <w:rsid w:val="00451CC8"/>
    <w:rsid w:val="00463CAE"/>
    <w:rsid w:val="00465B35"/>
    <w:rsid w:val="004702C9"/>
    <w:rsid w:val="00473561"/>
    <w:rsid w:val="00475A7F"/>
    <w:rsid w:val="004B0CC8"/>
    <w:rsid w:val="004B1ABA"/>
    <w:rsid w:val="004C28CC"/>
    <w:rsid w:val="004C2B01"/>
    <w:rsid w:val="004D192A"/>
    <w:rsid w:val="004D3C8B"/>
    <w:rsid w:val="004F108D"/>
    <w:rsid w:val="00505F81"/>
    <w:rsid w:val="00510D5E"/>
    <w:rsid w:val="0051186F"/>
    <w:rsid w:val="00513172"/>
    <w:rsid w:val="00520F3F"/>
    <w:rsid w:val="00521AD5"/>
    <w:rsid w:val="00525923"/>
    <w:rsid w:val="005264F9"/>
    <w:rsid w:val="00540A1C"/>
    <w:rsid w:val="00550067"/>
    <w:rsid w:val="00551126"/>
    <w:rsid w:val="00560AB1"/>
    <w:rsid w:val="005803EC"/>
    <w:rsid w:val="00581D80"/>
    <w:rsid w:val="00582E0D"/>
    <w:rsid w:val="0058340B"/>
    <w:rsid w:val="005A0224"/>
    <w:rsid w:val="005A5D67"/>
    <w:rsid w:val="005A6CC3"/>
    <w:rsid w:val="005B6FDC"/>
    <w:rsid w:val="005C2B81"/>
    <w:rsid w:val="005C3438"/>
    <w:rsid w:val="005C3619"/>
    <w:rsid w:val="005C4502"/>
    <w:rsid w:val="005E4456"/>
    <w:rsid w:val="005E5BC0"/>
    <w:rsid w:val="005F164A"/>
    <w:rsid w:val="005F1820"/>
    <w:rsid w:val="005F25C9"/>
    <w:rsid w:val="005F41FE"/>
    <w:rsid w:val="006067E7"/>
    <w:rsid w:val="00606C96"/>
    <w:rsid w:val="00613516"/>
    <w:rsid w:val="0063474C"/>
    <w:rsid w:val="00635A77"/>
    <w:rsid w:val="0063631C"/>
    <w:rsid w:val="00637D4E"/>
    <w:rsid w:val="0064646B"/>
    <w:rsid w:val="0065126D"/>
    <w:rsid w:val="0065327B"/>
    <w:rsid w:val="00653FEF"/>
    <w:rsid w:val="006551BA"/>
    <w:rsid w:val="0065579F"/>
    <w:rsid w:val="00664651"/>
    <w:rsid w:val="00666DBB"/>
    <w:rsid w:val="00684049"/>
    <w:rsid w:val="00684EAE"/>
    <w:rsid w:val="00687D4D"/>
    <w:rsid w:val="00692442"/>
    <w:rsid w:val="006931D3"/>
    <w:rsid w:val="00693231"/>
    <w:rsid w:val="0069517F"/>
    <w:rsid w:val="006A1DE3"/>
    <w:rsid w:val="006A24C2"/>
    <w:rsid w:val="006A3397"/>
    <w:rsid w:val="006A4626"/>
    <w:rsid w:val="006B0194"/>
    <w:rsid w:val="006B64C9"/>
    <w:rsid w:val="006D389F"/>
    <w:rsid w:val="006E0C8C"/>
    <w:rsid w:val="006E1F16"/>
    <w:rsid w:val="006F666B"/>
    <w:rsid w:val="007018A3"/>
    <w:rsid w:val="0070682D"/>
    <w:rsid w:val="00711BF6"/>
    <w:rsid w:val="0071408C"/>
    <w:rsid w:val="007154AD"/>
    <w:rsid w:val="007161E4"/>
    <w:rsid w:val="0075158E"/>
    <w:rsid w:val="00752FEE"/>
    <w:rsid w:val="007745E9"/>
    <w:rsid w:val="00777567"/>
    <w:rsid w:val="0078277B"/>
    <w:rsid w:val="00783334"/>
    <w:rsid w:val="00786CE4"/>
    <w:rsid w:val="007914E9"/>
    <w:rsid w:val="0079684D"/>
    <w:rsid w:val="007A0FB1"/>
    <w:rsid w:val="007A54E4"/>
    <w:rsid w:val="007B113F"/>
    <w:rsid w:val="007B3258"/>
    <w:rsid w:val="007B5E1B"/>
    <w:rsid w:val="007C17F4"/>
    <w:rsid w:val="007C1C26"/>
    <w:rsid w:val="007C517C"/>
    <w:rsid w:val="007D0849"/>
    <w:rsid w:val="007D7E1C"/>
    <w:rsid w:val="007E25B9"/>
    <w:rsid w:val="007E6471"/>
    <w:rsid w:val="007F14FB"/>
    <w:rsid w:val="00801384"/>
    <w:rsid w:val="00802F39"/>
    <w:rsid w:val="0080683F"/>
    <w:rsid w:val="00830464"/>
    <w:rsid w:val="00831927"/>
    <w:rsid w:val="00832AE4"/>
    <w:rsid w:val="00851514"/>
    <w:rsid w:val="00852DEB"/>
    <w:rsid w:val="008674E3"/>
    <w:rsid w:val="00867E84"/>
    <w:rsid w:val="00880709"/>
    <w:rsid w:val="00880ACE"/>
    <w:rsid w:val="00885120"/>
    <w:rsid w:val="00895E9B"/>
    <w:rsid w:val="008A46FF"/>
    <w:rsid w:val="008B65F8"/>
    <w:rsid w:val="008C19E7"/>
    <w:rsid w:val="008D1456"/>
    <w:rsid w:val="008D1E6F"/>
    <w:rsid w:val="008E513D"/>
    <w:rsid w:val="008F63CA"/>
    <w:rsid w:val="00902BB5"/>
    <w:rsid w:val="00907993"/>
    <w:rsid w:val="00920A9B"/>
    <w:rsid w:val="00920C6E"/>
    <w:rsid w:val="0092561C"/>
    <w:rsid w:val="00925730"/>
    <w:rsid w:val="00932490"/>
    <w:rsid w:val="009464A7"/>
    <w:rsid w:val="00946888"/>
    <w:rsid w:val="00956D2B"/>
    <w:rsid w:val="00960F98"/>
    <w:rsid w:val="00961295"/>
    <w:rsid w:val="00964A37"/>
    <w:rsid w:val="00965DB6"/>
    <w:rsid w:val="009667C7"/>
    <w:rsid w:val="00971484"/>
    <w:rsid w:val="009715B4"/>
    <w:rsid w:val="00975C0F"/>
    <w:rsid w:val="0097659D"/>
    <w:rsid w:val="0098731E"/>
    <w:rsid w:val="009B666C"/>
    <w:rsid w:val="009B75BF"/>
    <w:rsid w:val="009C00DA"/>
    <w:rsid w:val="009C3361"/>
    <w:rsid w:val="009C4399"/>
    <w:rsid w:val="009C5018"/>
    <w:rsid w:val="009D6C03"/>
    <w:rsid w:val="009E1D79"/>
    <w:rsid w:val="009E65DC"/>
    <w:rsid w:val="00A01D37"/>
    <w:rsid w:val="00A07A6F"/>
    <w:rsid w:val="00A1091B"/>
    <w:rsid w:val="00A109C6"/>
    <w:rsid w:val="00A10A11"/>
    <w:rsid w:val="00A15C1C"/>
    <w:rsid w:val="00A17286"/>
    <w:rsid w:val="00A20C07"/>
    <w:rsid w:val="00A21CE5"/>
    <w:rsid w:val="00A2489D"/>
    <w:rsid w:val="00A327F6"/>
    <w:rsid w:val="00A57D4B"/>
    <w:rsid w:val="00A73016"/>
    <w:rsid w:val="00A76A82"/>
    <w:rsid w:val="00A76C5C"/>
    <w:rsid w:val="00A80308"/>
    <w:rsid w:val="00A81FFC"/>
    <w:rsid w:val="00A82E3B"/>
    <w:rsid w:val="00A84FDB"/>
    <w:rsid w:val="00A86B2F"/>
    <w:rsid w:val="00A90F25"/>
    <w:rsid w:val="00A97842"/>
    <w:rsid w:val="00AA00C0"/>
    <w:rsid w:val="00AB0E85"/>
    <w:rsid w:val="00AC193D"/>
    <w:rsid w:val="00AD19E0"/>
    <w:rsid w:val="00AD4060"/>
    <w:rsid w:val="00AD4158"/>
    <w:rsid w:val="00AD4464"/>
    <w:rsid w:val="00AE2D47"/>
    <w:rsid w:val="00AE43D6"/>
    <w:rsid w:val="00AE6358"/>
    <w:rsid w:val="00AE6736"/>
    <w:rsid w:val="00AF079D"/>
    <w:rsid w:val="00AF41E1"/>
    <w:rsid w:val="00AF5CA9"/>
    <w:rsid w:val="00B01459"/>
    <w:rsid w:val="00B11339"/>
    <w:rsid w:val="00B15AD0"/>
    <w:rsid w:val="00B15C5A"/>
    <w:rsid w:val="00B26B79"/>
    <w:rsid w:val="00B30B9D"/>
    <w:rsid w:val="00B3241B"/>
    <w:rsid w:val="00B35B11"/>
    <w:rsid w:val="00B36E19"/>
    <w:rsid w:val="00B40CF5"/>
    <w:rsid w:val="00B46C1C"/>
    <w:rsid w:val="00B47D6E"/>
    <w:rsid w:val="00B57D95"/>
    <w:rsid w:val="00B62174"/>
    <w:rsid w:val="00B70904"/>
    <w:rsid w:val="00B83A19"/>
    <w:rsid w:val="00B87B12"/>
    <w:rsid w:val="00B92183"/>
    <w:rsid w:val="00B92548"/>
    <w:rsid w:val="00B92F1F"/>
    <w:rsid w:val="00B96D42"/>
    <w:rsid w:val="00B975F2"/>
    <w:rsid w:val="00BA5F05"/>
    <w:rsid w:val="00BB541E"/>
    <w:rsid w:val="00BB60D6"/>
    <w:rsid w:val="00BC1801"/>
    <w:rsid w:val="00BC23E3"/>
    <w:rsid w:val="00BC3E67"/>
    <w:rsid w:val="00BD35D8"/>
    <w:rsid w:val="00BD40C8"/>
    <w:rsid w:val="00BE1CB2"/>
    <w:rsid w:val="00BE49BF"/>
    <w:rsid w:val="00BE77F7"/>
    <w:rsid w:val="00BE7A99"/>
    <w:rsid w:val="00BF18DC"/>
    <w:rsid w:val="00BF7D04"/>
    <w:rsid w:val="00C11874"/>
    <w:rsid w:val="00C31189"/>
    <w:rsid w:val="00C404EB"/>
    <w:rsid w:val="00C45AC9"/>
    <w:rsid w:val="00C53FB9"/>
    <w:rsid w:val="00C55C23"/>
    <w:rsid w:val="00C55F21"/>
    <w:rsid w:val="00C5797D"/>
    <w:rsid w:val="00C81C6B"/>
    <w:rsid w:val="00C81D18"/>
    <w:rsid w:val="00C82083"/>
    <w:rsid w:val="00C92E87"/>
    <w:rsid w:val="00CA24B4"/>
    <w:rsid w:val="00CA27DC"/>
    <w:rsid w:val="00CA41F7"/>
    <w:rsid w:val="00CA5D25"/>
    <w:rsid w:val="00CA6F54"/>
    <w:rsid w:val="00CA7E3B"/>
    <w:rsid w:val="00CB34BC"/>
    <w:rsid w:val="00CC5417"/>
    <w:rsid w:val="00CD2BEF"/>
    <w:rsid w:val="00CD50B1"/>
    <w:rsid w:val="00CE63DB"/>
    <w:rsid w:val="00CE7C6D"/>
    <w:rsid w:val="00CF55C8"/>
    <w:rsid w:val="00D01AB6"/>
    <w:rsid w:val="00D0211A"/>
    <w:rsid w:val="00D046C6"/>
    <w:rsid w:val="00D13683"/>
    <w:rsid w:val="00D146BD"/>
    <w:rsid w:val="00D166F9"/>
    <w:rsid w:val="00D167BF"/>
    <w:rsid w:val="00D22AC7"/>
    <w:rsid w:val="00D31F45"/>
    <w:rsid w:val="00D373E2"/>
    <w:rsid w:val="00D4240B"/>
    <w:rsid w:val="00D44E5A"/>
    <w:rsid w:val="00D57F00"/>
    <w:rsid w:val="00D623D8"/>
    <w:rsid w:val="00D63892"/>
    <w:rsid w:val="00D70256"/>
    <w:rsid w:val="00D73535"/>
    <w:rsid w:val="00D75992"/>
    <w:rsid w:val="00D84097"/>
    <w:rsid w:val="00D85EFE"/>
    <w:rsid w:val="00D85FDA"/>
    <w:rsid w:val="00D87DAF"/>
    <w:rsid w:val="00D91A06"/>
    <w:rsid w:val="00D94656"/>
    <w:rsid w:val="00D97E3F"/>
    <w:rsid w:val="00DA5F58"/>
    <w:rsid w:val="00DB1C32"/>
    <w:rsid w:val="00DC0085"/>
    <w:rsid w:val="00DC17C3"/>
    <w:rsid w:val="00DC2D95"/>
    <w:rsid w:val="00DC49FD"/>
    <w:rsid w:val="00DC5ACF"/>
    <w:rsid w:val="00DD25AE"/>
    <w:rsid w:val="00DD4193"/>
    <w:rsid w:val="00DE4010"/>
    <w:rsid w:val="00E03BC8"/>
    <w:rsid w:val="00E10301"/>
    <w:rsid w:val="00E1042B"/>
    <w:rsid w:val="00E10CC7"/>
    <w:rsid w:val="00E144F9"/>
    <w:rsid w:val="00E154BB"/>
    <w:rsid w:val="00E16C47"/>
    <w:rsid w:val="00E209D4"/>
    <w:rsid w:val="00E25D63"/>
    <w:rsid w:val="00E32682"/>
    <w:rsid w:val="00E35E71"/>
    <w:rsid w:val="00E36342"/>
    <w:rsid w:val="00E405B6"/>
    <w:rsid w:val="00E4119F"/>
    <w:rsid w:val="00E41630"/>
    <w:rsid w:val="00E53BFA"/>
    <w:rsid w:val="00E5446C"/>
    <w:rsid w:val="00E611F8"/>
    <w:rsid w:val="00E621E1"/>
    <w:rsid w:val="00E62628"/>
    <w:rsid w:val="00E80E0C"/>
    <w:rsid w:val="00E821F9"/>
    <w:rsid w:val="00E827C1"/>
    <w:rsid w:val="00E83783"/>
    <w:rsid w:val="00E84574"/>
    <w:rsid w:val="00E866C6"/>
    <w:rsid w:val="00E97DED"/>
    <w:rsid w:val="00E97E60"/>
    <w:rsid w:val="00EB139C"/>
    <w:rsid w:val="00EC15F6"/>
    <w:rsid w:val="00EC5820"/>
    <w:rsid w:val="00EC6D8C"/>
    <w:rsid w:val="00EC6F29"/>
    <w:rsid w:val="00ED029D"/>
    <w:rsid w:val="00ED11CD"/>
    <w:rsid w:val="00ED7CE4"/>
    <w:rsid w:val="00EE5673"/>
    <w:rsid w:val="00EE56AE"/>
    <w:rsid w:val="00EE67EA"/>
    <w:rsid w:val="00EF7463"/>
    <w:rsid w:val="00F11002"/>
    <w:rsid w:val="00F17013"/>
    <w:rsid w:val="00F215A0"/>
    <w:rsid w:val="00F2527F"/>
    <w:rsid w:val="00F327F5"/>
    <w:rsid w:val="00F37CBA"/>
    <w:rsid w:val="00F4508D"/>
    <w:rsid w:val="00F47016"/>
    <w:rsid w:val="00F63D06"/>
    <w:rsid w:val="00F67913"/>
    <w:rsid w:val="00F6792C"/>
    <w:rsid w:val="00F857F3"/>
    <w:rsid w:val="00F95D83"/>
    <w:rsid w:val="00FA4B9B"/>
    <w:rsid w:val="00FB11D8"/>
    <w:rsid w:val="00FB52CB"/>
    <w:rsid w:val="00FC17DC"/>
    <w:rsid w:val="00FD72D8"/>
    <w:rsid w:val="00FE20A8"/>
    <w:rsid w:val="00FE3106"/>
    <w:rsid w:val="00FF1A0B"/>
    <w:rsid w:val="00FF2F67"/>
    <w:rsid w:val="00FF3081"/>
    <w:rsid w:val="00FF4191"/>
    <w:rsid w:val="00FF6E5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5FDA"/>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C81C6B"/>
    <w:rPr>
      <w:color w:val="0563C1" w:themeColor="hyperlink"/>
      <w:u w:val="single"/>
    </w:rPr>
  </w:style>
  <w:style w:type="character" w:customStyle="1" w:styleId="MenoPendente1">
    <w:name w:val="Menção Pendente1"/>
    <w:basedOn w:val="Fontepargpadro"/>
    <w:uiPriority w:val="99"/>
    <w:semiHidden/>
    <w:unhideWhenUsed/>
    <w:rsid w:val="00C81C6B"/>
    <w:rPr>
      <w:color w:val="605E5C"/>
      <w:shd w:val="clear" w:color="auto" w:fill="E1DFDD"/>
    </w:rPr>
  </w:style>
  <w:style w:type="paragraph" w:styleId="Textodenotaderodap">
    <w:name w:val="footnote text"/>
    <w:aliases w:val=" Char Char,Char Char, Char Char Char Char,Nota de rodapé,fn,ALTS FOOTNOTE,Footnote Text Char,footnote text char, Char3,Char3,Texto de rodapé,Char3 Char Char Char Char, Char3 Char Char Char Char, Char3 Char Char,Char3 Char Char,f"/>
    <w:basedOn w:val="Normal"/>
    <w:link w:val="TextodenotaderodapChar"/>
    <w:uiPriority w:val="99"/>
    <w:qFormat/>
    <w:rsid w:val="00B15AD0"/>
    <w:pPr>
      <w:spacing w:after="0" w:line="240" w:lineRule="auto"/>
    </w:pPr>
    <w:rPr>
      <w:rFonts w:ascii="Times New Roman" w:eastAsia="Times New Roman" w:hAnsi="Times New Roman" w:cs="Times New Roman"/>
      <w:sz w:val="20"/>
      <w:szCs w:val="20"/>
      <w:lang w:eastAsia="pt-BR"/>
    </w:rPr>
  </w:style>
  <w:style w:type="character" w:customStyle="1" w:styleId="TextodenotaderodapChar">
    <w:name w:val="Texto de nota de rodapé Char"/>
    <w:aliases w:val=" Char Char Char,Char Char Char, Char Char Char Char Char,Nota de rodapé Char,fn Char,ALTS FOOTNOTE Char,Footnote Text Char Char,footnote text char Char, Char3 Char,Char3 Char,Texto de rodapé Char, Char3 Char Char Char,f Char"/>
    <w:basedOn w:val="Fontepargpadro"/>
    <w:link w:val="Textodenotaderodap"/>
    <w:uiPriority w:val="99"/>
    <w:qFormat/>
    <w:rsid w:val="00B15AD0"/>
    <w:rPr>
      <w:rFonts w:ascii="Times New Roman" w:eastAsia="Times New Roman" w:hAnsi="Times New Roman" w:cs="Times New Roman"/>
      <w:sz w:val="20"/>
      <w:szCs w:val="20"/>
      <w:lang w:eastAsia="pt-BR"/>
    </w:rPr>
  </w:style>
  <w:style w:type="character" w:styleId="Refdenotaderodap">
    <w:name w:val="footnote reference"/>
    <w:aliases w:val="sobrescrito,Ref,de nota al pie,FC,_Footnote Reference,_Footnote text,_Footnote,_Footnote Text,_Footnote base Reference,Footnote symbol,Style 12,(NECG) Footnote Reference,Referência de rodapé,Ref. de nota de rodapé monografia.,fr,o"/>
    <w:link w:val="frCharChar1"/>
    <w:uiPriority w:val="99"/>
    <w:qFormat/>
    <w:rsid w:val="00B15AD0"/>
    <w:rPr>
      <w:vertAlign w:val="superscript"/>
    </w:rPr>
  </w:style>
  <w:style w:type="paragraph" w:styleId="Cabealho">
    <w:name w:val="header"/>
    <w:basedOn w:val="Normal"/>
    <w:link w:val="CabealhoChar"/>
    <w:uiPriority w:val="99"/>
    <w:unhideWhenUsed/>
    <w:rsid w:val="00A327F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327F6"/>
  </w:style>
  <w:style w:type="paragraph" w:styleId="Rodap">
    <w:name w:val="footer"/>
    <w:basedOn w:val="Normal"/>
    <w:link w:val="RodapChar"/>
    <w:uiPriority w:val="99"/>
    <w:unhideWhenUsed/>
    <w:rsid w:val="00A327F6"/>
    <w:pPr>
      <w:tabs>
        <w:tab w:val="center" w:pos="4252"/>
        <w:tab w:val="right" w:pos="8504"/>
      </w:tabs>
      <w:spacing w:after="0" w:line="240" w:lineRule="auto"/>
    </w:pPr>
  </w:style>
  <w:style w:type="character" w:customStyle="1" w:styleId="RodapChar">
    <w:name w:val="Rodapé Char"/>
    <w:basedOn w:val="Fontepargpadro"/>
    <w:link w:val="Rodap"/>
    <w:uiPriority w:val="99"/>
    <w:rsid w:val="00A327F6"/>
  </w:style>
  <w:style w:type="character" w:styleId="Refdecomentrio">
    <w:name w:val="annotation reference"/>
    <w:basedOn w:val="Fontepargpadro"/>
    <w:uiPriority w:val="99"/>
    <w:semiHidden/>
    <w:unhideWhenUsed/>
    <w:rsid w:val="00D87DAF"/>
    <w:rPr>
      <w:sz w:val="16"/>
      <w:szCs w:val="16"/>
    </w:rPr>
  </w:style>
  <w:style w:type="paragraph" w:styleId="Textodecomentrio">
    <w:name w:val="annotation text"/>
    <w:basedOn w:val="Normal"/>
    <w:link w:val="TextodecomentrioChar"/>
    <w:uiPriority w:val="99"/>
    <w:unhideWhenUsed/>
    <w:rsid w:val="00D87DAF"/>
    <w:pPr>
      <w:spacing w:line="240" w:lineRule="auto"/>
    </w:pPr>
    <w:rPr>
      <w:sz w:val="20"/>
      <w:szCs w:val="20"/>
    </w:rPr>
  </w:style>
  <w:style w:type="character" w:customStyle="1" w:styleId="TextodecomentrioChar">
    <w:name w:val="Texto de comentário Char"/>
    <w:basedOn w:val="Fontepargpadro"/>
    <w:link w:val="Textodecomentrio"/>
    <w:uiPriority w:val="99"/>
    <w:rsid w:val="00D87DAF"/>
    <w:rPr>
      <w:sz w:val="20"/>
      <w:szCs w:val="20"/>
    </w:rPr>
  </w:style>
  <w:style w:type="paragraph" w:styleId="Assuntodocomentrio">
    <w:name w:val="annotation subject"/>
    <w:basedOn w:val="Textodecomentrio"/>
    <w:next w:val="Textodecomentrio"/>
    <w:link w:val="AssuntodocomentrioChar"/>
    <w:uiPriority w:val="99"/>
    <w:semiHidden/>
    <w:unhideWhenUsed/>
    <w:rsid w:val="00D87DAF"/>
    <w:rPr>
      <w:b/>
      <w:bCs/>
    </w:rPr>
  </w:style>
  <w:style w:type="character" w:customStyle="1" w:styleId="AssuntodocomentrioChar">
    <w:name w:val="Assunto do comentário Char"/>
    <w:basedOn w:val="TextodecomentrioChar"/>
    <w:link w:val="Assuntodocomentrio"/>
    <w:uiPriority w:val="99"/>
    <w:semiHidden/>
    <w:rsid w:val="00D87DAF"/>
    <w:rPr>
      <w:b/>
      <w:bCs/>
      <w:sz w:val="20"/>
      <w:szCs w:val="20"/>
    </w:rPr>
  </w:style>
  <w:style w:type="paragraph" w:styleId="Textodebalo">
    <w:name w:val="Balloon Text"/>
    <w:basedOn w:val="Normal"/>
    <w:link w:val="TextodebaloChar"/>
    <w:uiPriority w:val="99"/>
    <w:semiHidden/>
    <w:unhideWhenUsed/>
    <w:rsid w:val="002628D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2628DD"/>
    <w:rPr>
      <w:rFonts w:ascii="Segoe UI" w:hAnsi="Segoe UI" w:cs="Segoe UI"/>
      <w:sz w:val="18"/>
      <w:szCs w:val="18"/>
    </w:rPr>
  </w:style>
  <w:style w:type="paragraph" w:customStyle="1" w:styleId="recmenor">
    <w:name w:val="rec menor"/>
    <w:basedOn w:val="Normal"/>
    <w:uiPriority w:val="99"/>
    <w:rsid w:val="00C92E87"/>
    <w:pPr>
      <w:widowControl w:val="0"/>
      <w:suppressAutoHyphens/>
      <w:autoSpaceDE w:val="0"/>
      <w:autoSpaceDN w:val="0"/>
      <w:adjustRightInd w:val="0"/>
      <w:spacing w:before="170" w:after="283" w:line="220" w:lineRule="atLeast"/>
      <w:ind w:left="454" w:right="397"/>
      <w:jc w:val="both"/>
      <w:textAlignment w:val="center"/>
    </w:pPr>
    <w:rPr>
      <w:rFonts w:ascii="MinionPro-Regular" w:eastAsiaTheme="minorEastAsia" w:hAnsi="MinionPro-Regular" w:cs="MinionPro-Regular"/>
      <w:color w:val="000000"/>
      <w:w w:val="101"/>
      <w:sz w:val="20"/>
      <w:szCs w:val="20"/>
      <w:lang w:eastAsia="pt-BR"/>
    </w:rPr>
  </w:style>
  <w:style w:type="paragraph" w:customStyle="1" w:styleId="nota">
    <w:name w:val="nota"/>
    <w:basedOn w:val="Normal"/>
    <w:uiPriority w:val="99"/>
    <w:rsid w:val="00C92E87"/>
    <w:pPr>
      <w:widowControl w:val="0"/>
      <w:tabs>
        <w:tab w:val="left" w:pos="320"/>
      </w:tabs>
      <w:autoSpaceDE w:val="0"/>
      <w:autoSpaceDN w:val="0"/>
      <w:adjustRightInd w:val="0"/>
      <w:spacing w:after="57" w:line="200" w:lineRule="atLeast"/>
      <w:ind w:left="227" w:hanging="227"/>
      <w:jc w:val="both"/>
      <w:textAlignment w:val="center"/>
    </w:pPr>
    <w:rPr>
      <w:rFonts w:ascii="MyriadPro-Regular" w:eastAsiaTheme="minorEastAsia" w:hAnsi="MyriadPro-Regular" w:cs="MyriadPro-Regular"/>
      <w:color w:val="000000"/>
      <w:sz w:val="17"/>
      <w:szCs w:val="17"/>
      <w:lang w:eastAsia="pt-BR"/>
    </w:rPr>
  </w:style>
  <w:style w:type="character" w:customStyle="1" w:styleId="italico">
    <w:name w:val="italico"/>
    <w:uiPriority w:val="99"/>
    <w:rsid w:val="00C92E87"/>
    <w:rPr>
      <w:i/>
      <w:color w:val="000000"/>
    </w:rPr>
  </w:style>
  <w:style w:type="character" w:customStyle="1" w:styleId="elevado">
    <w:name w:val="elevado"/>
    <w:uiPriority w:val="99"/>
    <w:rsid w:val="00C92E87"/>
    <w:rPr>
      <w:color w:val="000000"/>
      <w:vertAlign w:val="superscript"/>
    </w:rPr>
  </w:style>
  <w:style w:type="paragraph" w:customStyle="1" w:styleId="t">
    <w:name w:val="t"/>
    <w:basedOn w:val="Normal"/>
    <w:next w:val="Normal"/>
    <w:uiPriority w:val="99"/>
    <w:rsid w:val="00D167BF"/>
    <w:pPr>
      <w:widowControl w:val="0"/>
      <w:autoSpaceDE w:val="0"/>
      <w:autoSpaceDN w:val="0"/>
      <w:adjustRightInd w:val="0"/>
      <w:spacing w:after="57" w:line="240" w:lineRule="atLeast"/>
      <w:ind w:firstLine="454"/>
      <w:jc w:val="both"/>
      <w:textAlignment w:val="center"/>
    </w:pPr>
    <w:rPr>
      <w:rFonts w:ascii="MinionPro-Regular" w:eastAsiaTheme="minorEastAsia" w:hAnsi="MinionPro-Regular" w:cs="MinionPro-Regular"/>
      <w:color w:val="000000"/>
      <w:sz w:val="21"/>
      <w:szCs w:val="21"/>
      <w:lang w:eastAsia="pt-BR"/>
    </w:rPr>
  </w:style>
  <w:style w:type="paragraph" w:styleId="PargrafodaLista">
    <w:name w:val="List Paragraph"/>
    <w:basedOn w:val="Normal"/>
    <w:uiPriority w:val="34"/>
    <w:qFormat/>
    <w:rsid w:val="00FC17DC"/>
    <w:pPr>
      <w:ind w:left="720"/>
      <w:contextualSpacing/>
    </w:pPr>
  </w:style>
  <w:style w:type="paragraph" w:styleId="Reviso">
    <w:name w:val="Revision"/>
    <w:hidden/>
    <w:uiPriority w:val="99"/>
    <w:semiHidden/>
    <w:rsid w:val="00174761"/>
    <w:pPr>
      <w:spacing w:after="0" w:line="240" w:lineRule="auto"/>
    </w:pPr>
  </w:style>
  <w:style w:type="paragraph" w:customStyle="1" w:styleId="recmenorfim">
    <w:name w:val="rec menor fim"/>
    <w:basedOn w:val="t"/>
    <w:uiPriority w:val="99"/>
    <w:rsid w:val="00A97842"/>
    <w:pPr>
      <w:suppressAutoHyphens/>
      <w:spacing w:after="283" w:line="220" w:lineRule="atLeast"/>
      <w:ind w:left="454" w:right="397" w:firstLine="0"/>
    </w:pPr>
    <w:rPr>
      <w:rFonts w:eastAsia="Times New Roman"/>
      <w:sz w:val="20"/>
      <w:szCs w:val="20"/>
    </w:rPr>
  </w:style>
  <w:style w:type="paragraph" w:customStyle="1" w:styleId="recmenorinicio">
    <w:name w:val="rec menor inicio"/>
    <w:basedOn w:val="t"/>
    <w:uiPriority w:val="99"/>
    <w:rsid w:val="00A97842"/>
    <w:pPr>
      <w:suppressAutoHyphens/>
      <w:spacing w:before="170" w:line="220" w:lineRule="atLeast"/>
      <w:ind w:left="454" w:right="397" w:firstLine="0"/>
    </w:pPr>
    <w:rPr>
      <w:rFonts w:eastAsia="Times New Roman"/>
      <w:sz w:val="20"/>
      <w:szCs w:val="20"/>
    </w:rPr>
  </w:style>
  <w:style w:type="paragraph" w:customStyle="1" w:styleId="recmenormeio">
    <w:name w:val="rec menor meio"/>
    <w:basedOn w:val="t"/>
    <w:uiPriority w:val="99"/>
    <w:rsid w:val="00A97842"/>
    <w:pPr>
      <w:suppressAutoHyphens/>
      <w:spacing w:line="220" w:lineRule="atLeast"/>
      <w:ind w:left="454" w:right="397" w:firstLine="0"/>
    </w:pPr>
    <w:rPr>
      <w:rFonts w:eastAsia="Times New Roman"/>
      <w:sz w:val="20"/>
      <w:szCs w:val="20"/>
    </w:rPr>
  </w:style>
  <w:style w:type="paragraph" w:customStyle="1" w:styleId="07-Citaolegal-CLG">
    <w:name w:val="07 - Citação legal - CLG"/>
    <w:qFormat/>
    <w:rsid w:val="00E5446C"/>
    <w:pPr>
      <w:spacing w:after="120" w:line="240" w:lineRule="auto"/>
      <w:ind w:left="1985" w:firstLine="567"/>
      <w:jc w:val="both"/>
    </w:pPr>
    <w:rPr>
      <w:rFonts w:ascii="Times New Roman" w:eastAsia="Times New Roman" w:hAnsi="Times New Roman" w:cs="Times New Roman"/>
      <w:bCs/>
      <w:sz w:val="24"/>
      <w:szCs w:val="20"/>
      <w:lang w:eastAsia="pt-BR"/>
    </w:rPr>
  </w:style>
  <w:style w:type="character" w:customStyle="1" w:styleId="MenoPendente2">
    <w:name w:val="Menção Pendente2"/>
    <w:basedOn w:val="Fontepargpadro"/>
    <w:uiPriority w:val="99"/>
    <w:semiHidden/>
    <w:unhideWhenUsed/>
    <w:rsid w:val="008B65F8"/>
    <w:rPr>
      <w:color w:val="605E5C"/>
      <w:shd w:val="clear" w:color="auto" w:fill="E1DFDD"/>
    </w:rPr>
  </w:style>
  <w:style w:type="paragraph" w:customStyle="1" w:styleId="05-PargrafodetextoPROJETO-CLG">
    <w:name w:val="05 - Parágrafo de texto PROJETO- CLG"/>
    <w:qFormat/>
    <w:rsid w:val="00B62174"/>
    <w:pPr>
      <w:spacing w:after="360" w:line="240" w:lineRule="auto"/>
      <w:ind w:firstLine="1418"/>
      <w:jc w:val="both"/>
    </w:pPr>
    <w:rPr>
      <w:rFonts w:ascii="Times New Roman" w:eastAsia="Times New Roman" w:hAnsi="Times New Roman" w:cs="Times New Roman"/>
      <w:sz w:val="28"/>
      <w:szCs w:val="20"/>
      <w:lang w:eastAsia="pt-BR"/>
    </w:rPr>
  </w:style>
  <w:style w:type="paragraph" w:customStyle="1" w:styleId="frCharChar1">
    <w:name w:val="fr Char Char1"/>
    <w:aliases w:val="fr Char Char Char, Char Char6 Char Char Char Char Char Char Char Char Char Char Char, Char6 Char Char Char Char Char Char Char Char Char Char Char Char,Char Char6 Char Char Char Char Char Char Char Char Char Char Char"/>
    <w:basedOn w:val="Normal"/>
    <w:link w:val="Refdenotaderodap"/>
    <w:uiPriority w:val="99"/>
    <w:rsid w:val="00B62174"/>
    <w:pPr>
      <w:spacing w:after="120" w:line="360" w:lineRule="auto"/>
      <w:jc w:val="center"/>
    </w:pPr>
    <w:rPr>
      <w:vertAlign w:val="superscript"/>
    </w:rPr>
  </w:style>
  <w:style w:type="paragraph" w:styleId="Textodenotadefim">
    <w:name w:val="endnote text"/>
    <w:basedOn w:val="Normal"/>
    <w:link w:val="TextodenotadefimChar"/>
    <w:uiPriority w:val="99"/>
    <w:semiHidden/>
    <w:unhideWhenUsed/>
    <w:rsid w:val="00E4119F"/>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E4119F"/>
    <w:rPr>
      <w:sz w:val="20"/>
      <w:szCs w:val="20"/>
    </w:rPr>
  </w:style>
  <w:style w:type="character" w:styleId="Refdenotadefim">
    <w:name w:val="endnote reference"/>
    <w:basedOn w:val="Fontepargpadro"/>
    <w:uiPriority w:val="99"/>
    <w:semiHidden/>
    <w:unhideWhenUsed/>
    <w:rsid w:val="00E4119F"/>
    <w:rPr>
      <w:vertAlign w:val="superscript"/>
    </w:rPr>
  </w:style>
</w:styles>
</file>

<file path=word/webSettings.xml><?xml version="1.0" encoding="utf-8"?>
<w:webSettings xmlns:r="http://schemas.openxmlformats.org/officeDocument/2006/relationships" xmlns:w="http://schemas.openxmlformats.org/wordprocessingml/2006/main">
  <w:divs>
    <w:div w:id="2009480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microsoft.com/office/2018/08/relationships/commentsExtensible" Target="commentsExtensi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6DBFFC-87A2-4851-A2E7-1DDB7055D0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5</Pages>
  <Words>1797</Words>
  <Characters>9710</Characters>
  <Application>Microsoft Office Word</Application>
  <DocSecurity>0</DocSecurity>
  <Lines>80</Lines>
  <Paragraphs>22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lider</dc:creator>
  <cp:lastModifiedBy>Flavio</cp:lastModifiedBy>
  <cp:revision>2</cp:revision>
  <dcterms:created xsi:type="dcterms:W3CDTF">2025-05-21T16:47:00Z</dcterms:created>
  <dcterms:modified xsi:type="dcterms:W3CDTF">2025-05-21T16:47:00Z</dcterms:modified>
</cp:coreProperties>
</file>